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70757" w14:textId="77777777" w:rsidR="001E6E6F" w:rsidRPr="007932AD" w:rsidRDefault="00000000" w:rsidP="007932AD">
      <w:pPr>
        <w:rPr>
          <w:rFonts w:ascii="Times New Roman" w:hAnsi="Times New Roman" w:cs="Times New Roman"/>
          <w:b/>
          <w:bCs/>
          <w:lang w:val="en-US"/>
        </w:rPr>
      </w:pPr>
      <w:r w:rsidRPr="007932AD">
        <w:rPr>
          <w:rFonts w:ascii="Times New Roman" w:hAnsi="Times New Roman" w:cs="Times New Roman"/>
          <w:b/>
          <w:bCs/>
          <w:lang w:val="en-US"/>
        </w:rPr>
        <w:t xml:space="preserve">An Investigative Report on Uruguay’s National RealTime Suicide Attempt Surveillance System for Suicide Attempts: Implementation, Legal Context, </w:t>
      </w:r>
      <w:proofErr w:type="spellStart"/>
      <w:r w:rsidRPr="007932AD">
        <w:rPr>
          <w:rFonts w:ascii="Times New Roman" w:hAnsi="Times New Roman" w:cs="Times New Roman"/>
          <w:b/>
          <w:bCs/>
          <w:lang w:val="en-US"/>
        </w:rPr>
        <w:t>FirstYear</w:t>
      </w:r>
      <w:proofErr w:type="spellEnd"/>
      <w:r w:rsidRPr="007932AD">
        <w:rPr>
          <w:rFonts w:ascii="Times New Roman" w:hAnsi="Times New Roman" w:cs="Times New Roman"/>
          <w:b/>
          <w:bCs/>
          <w:lang w:val="en-US"/>
        </w:rPr>
        <w:t xml:space="preserve"> Findings, and a Synthetic Supervised </w:t>
      </w:r>
      <w:proofErr w:type="spellStart"/>
      <w:r w:rsidRPr="007932AD">
        <w:rPr>
          <w:rFonts w:ascii="Times New Roman" w:hAnsi="Times New Roman" w:cs="Times New Roman"/>
          <w:b/>
          <w:bCs/>
          <w:lang w:val="en-US"/>
        </w:rPr>
        <w:t>RiskModel</w:t>
      </w:r>
      <w:proofErr w:type="spellEnd"/>
      <w:r w:rsidRPr="007932AD">
        <w:rPr>
          <w:rFonts w:ascii="Times New Roman" w:hAnsi="Times New Roman" w:cs="Times New Roman"/>
          <w:b/>
          <w:bCs/>
          <w:lang w:val="en-US"/>
        </w:rPr>
        <w:t xml:space="preserve"> Prototype</w:t>
      </w:r>
    </w:p>
    <w:p w14:paraId="427192DC" w14:textId="77777777" w:rsidR="001E6E6F" w:rsidRPr="007932AD" w:rsidRDefault="00000000" w:rsidP="007932AD">
      <w:pPr>
        <w:rPr>
          <w:rFonts w:ascii="Times New Roman" w:hAnsi="Times New Roman" w:cs="Times New Roman"/>
          <w:b/>
          <w:bCs/>
          <w:lang w:val="en-US"/>
        </w:rPr>
      </w:pPr>
      <w:r w:rsidRPr="007932AD">
        <w:rPr>
          <w:rFonts w:ascii="Times New Roman" w:hAnsi="Times New Roman" w:cs="Times New Roman"/>
          <w:b/>
          <w:bCs/>
          <w:lang w:val="en-US"/>
        </w:rPr>
        <w:t>Abstract</w:t>
      </w:r>
    </w:p>
    <w:p w14:paraId="1A1BE9B3" w14:textId="77777777" w:rsidR="001E6E6F" w:rsidRDefault="00000000" w:rsidP="007932AD">
      <w:pPr>
        <w:rPr>
          <w:rFonts w:ascii="Times New Roman" w:hAnsi="Times New Roman" w:cs="Times New Roman"/>
          <w:lang w:val="en-US"/>
        </w:rPr>
      </w:pPr>
      <w:r w:rsidRPr="007932AD">
        <w:rPr>
          <w:rFonts w:ascii="Times New Roman" w:hAnsi="Times New Roman" w:cs="Times New Roman"/>
          <w:lang w:val="en-US"/>
        </w:rPr>
        <w:t xml:space="preserve">Uruguay launched a </w:t>
      </w:r>
      <w:proofErr w:type="spellStart"/>
      <w:r w:rsidRPr="007932AD">
        <w:rPr>
          <w:rFonts w:ascii="Times New Roman" w:hAnsi="Times New Roman" w:cs="Times New Roman"/>
          <w:lang w:val="en-US"/>
        </w:rPr>
        <w:t>realtime</w:t>
      </w:r>
      <w:proofErr w:type="spellEnd"/>
      <w:r w:rsidRPr="007932AD">
        <w:rPr>
          <w:rFonts w:ascii="Times New Roman" w:hAnsi="Times New Roman" w:cs="Times New Roman"/>
          <w:lang w:val="en-US"/>
        </w:rPr>
        <w:t xml:space="preserve"> national registry of suicide attempts in 2022 to equip services with timely, standardized information for prevention and follow</w:t>
      </w:r>
      <w:r w:rsidR="007932AD">
        <w:rPr>
          <w:rFonts w:ascii="Times New Roman" w:hAnsi="Times New Roman" w:cs="Times New Roman"/>
          <w:lang w:val="en-US"/>
        </w:rPr>
        <w:t xml:space="preserve"> </w:t>
      </w:r>
      <w:r w:rsidRPr="007932AD">
        <w:rPr>
          <w:rFonts w:ascii="Times New Roman" w:hAnsi="Times New Roman" w:cs="Times New Roman"/>
          <w:lang w:val="en-US"/>
        </w:rPr>
        <w:t xml:space="preserve">up. </w:t>
      </w:r>
      <w:r w:rsidR="007932AD">
        <w:rPr>
          <w:rFonts w:ascii="Times New Roman" w:hAnsi="Times New Roman" w:cs="Times New Roman"/>
          <w:lang w:val="en-US"/>
        </w:rPr>
        <w:t>I have</w:t>
      </w:r>
      <w:r w:rsidRPr="007932AD">
        <w:rPr>
          <w:rFonts w:ascii="Times New Roman" w:hAnsi="Times New Roman" w:cs="Times New Roman"/>
          <w:lang w:val="en-US"/>
        </w:rPr>
        <w:t xml:space="preserve"> summarize</w:t>
      </w:r>
      <w:r w:rsidR="007932AD">
        <w:rPr>
          <w:rFonts w:ascii="Times New Roman" w:hAnsi="Times New Roman" w:cs="Times New Roman"/>
          <w:lang w:val="en-US"/>
        </w:rPr>
        <w:t>d</w:t>
      </w:r>
      <w:r w:rsidRPr="007932AD">
        <w:rPr>
          <w:rFonts w:ascii="Times New Roman" w:hAnsi="Times New Roman" w:cs="Times New Roman"/>
          <w:lang w:val="en-US"/>
        </w:rPr>
        <w:t xml:space="preserve"> the first year of operation (2023), during which the system recorded an age</w:t>
      </w:r>
      <w:r w:rsidR="007932AD">
        <w:rPr>
          <w:rFonts w:ascii="Times New Roman" w:hAnsi="Times New Roman" w:cs="Times New Roman"/>
          <w:lang w:val="en-US"/>
        </w:rPr>
        <w:t xml:space="preserve"> </w:t>
      </w:r>
      <w:r w:rsidRPr="007932AD">
        <w:rPr>
          <w:rFonts w:ascii="Times New Roman" w:hAnsi="Times New Roman" w:cs="Times New Roman"/>
          <w:lang w:val="en-US"/>
        </w:rPr>
        <w:t xml:space="preserve">standardized attempt rate of 140.44 per 100,000 and a marked predominance among women and adolescents/young adults, with </w:t>
      </w:r>
      <w:proofErr w:type="spellStart"/>
      <w:r w:rsidRPr="007932AD">
        <w:rPr>
          <w:rFonts w:ascii="Times New Roman" w:hAnsi="Times New Roman" w:cs="Times New Roman"/>
          <w:lang w:val="en-US"/>
        </w:rPr>
        <w:t>self</w:t>
      </w:r>
      <w:r w:rsidR="007932AD">
        <w:rPr>
          <w:rFonts w:ascii="Times New Roman" w:hAnsi="Times New Roman" w:cs="Times New Roman"/>
          <w:lang w:val="en-US"/>
        </w:rPr>
        <w:t xml:space="preserve"> </w:t>
      </w:r>
      <w:r w:rsidRPr="007932AD">
        <w:rPr>
          <w:rFonts w:ascii="Times New Roman" w:hAnsi="Times New Roman" w:cs="Times New Roman"/>
          <w:lang w:val="en-US"/>
        </w:rPr>
        <w:t>poisoning</w:t>
      </w:r>
      <w:proofErr w:type="spellEnd"/>
      <w:r w:rsidRPr="007932AD">
        <w:rPr>
          <w:rFonts w:ascii="Times New Roman" w:hAnsi="Times New Roman" w:cs="Times New Roman"/>
          <w:lang w:val="en-US"/>
        </w:rPr>
        <w:t xml:space="preserve"> as the leading method. To illustrate how surveillance data could support proactive care, </w:t>
      </w:r>
      <w:r w:rsidR="007932AD">
        <w:rPr>
          <w:rFonts w:ascii="Times New Roman" w:hAnsi="Times New Roman" w:cs="Times New Roman"/>
          <w:lang w:val="en-US"/>
        </w:rPr>
        <w:t>I have</w:t>
      </w:r>
      <w:r w:rsidRPr="007932AD">
        <w:rPr>
          <w:rFonts w:ascii="Times New Roman" w:hAnsi="Times New Roman" w:cs="Times New Roman"/>
          <w:lang w:val="en-US"/>
        </w:rPr>
        <w:t xml:space="preserve"> develop an synthetic supervised learning prototype that estimates the probability of same</w:t>
      </w:r>
      <w:r w:rsidR="007932AD">
        <w:rPr>
          <w:rFonts w:ascii="Times New Roman" w:hAnsi="Times New Roman" w:cs="Times New Roman"/>
          <w:lang w:val="en-US"/>
        </w:rPr>
        <w:t xml:space="preserve"> </w:t>
      </w:r>
      <w:r w:rsidRPr="007932AD">
        <w:rPr>
          <w:rFonts w:ascii="Times New Roman" w:hAnsi="Times New Roman" w:cs="Times New Roman"/>
          <w:lang w:val="en-US"/>
        </w:rPr>
        <w:t>year repetition at the index presentation. Pipelines include a regularized logistic regression and a calibrated histogram</w:t>
      </w:r>
      <w:r w:rsidR="007932AD">
        <w:rPr>
          <w:rFonts w:ascii="Times New Roman" w:hAnsi="Times New Roman" w:cs="Times New Roman"/>
          <w:lang w:val="en-US"/>
        </w:rPr>
        <w:t xml:space="preserve"> </w:t>
      </w:r>
      <w:r w:rsidRPr="007932AD">
        <w:rPr>
          <w:rFonts w:ascii="Times New Roman" w:hAnsi="Times New Roman" w:cs="Times New Roman"/>
          <w:lang w:val="en-US"/>
        </w:rPr>
        <w:t>based gradient</w:t>
      </w:r>
      <w:r w:rsidR="007932AD">
        <w:rPr>
          <w:rFonts w:ascii="Times New Roman" w:hAnsi="Times New Roman" w:cs="Times New Roman"/>
          <w:lang w:val="en-US"/>
        </w:rPr>
        <w:t xml:space="preserve">  </w:t>
      </w:r>
      <w:r w:rsidRPr="007932AD">
        <w:rPr>
          <w:rFonts w:ascii="Times New Roman" w:hAnsi="Times New Roman" w:cs="Times New Roman"/>
          <w:lang w:val="en-US"/>
        </w:rPr>
        <w:t>boosting model, evaluated with a time</w:t>
      </w:r>
      <w:r w:rsidR="007932AD">
        <w:rPr>
          <w:rFonts w:ascii="Times New Roman" w:hAnsi="Times New Roman" w:cs="Times New Roman"/>
          <w:lang w:val="en-US"/>
        </w:rPr>
        <w:t xml:space="preserve"> </w:t>
      </w:r>
      <w:r w:rsidRPr="007932AD">
        <w:rPr>
          <w:rFonts w:ascii="Times New Roman" w:hAnsi="Times New Roman" w:cs="Times New Roman"/>
          <w:lang w:val="en-US"/>
        </w:rPr>
        <w:t xml:space="preserve">aware split and probability calibration. Because all data and model outputs </w:t>
      </w:r>
      <w:r w:rsidRPr="007932AD">
        <w:rPr>
          <w:rFonts w:ascii="Times New Roman" w:hAnsi="Times New Roman" w:cs="Times New Roman"/>
          <w:highlight w:val="yellow"/>
          <w:lang w:val="en-US"/>
        </w:rPr>
        <w:t>are synthetic</w:t>
      </w:r>
      <w:r w:rsidRPr="007932AD">
        <w:rPr>
          <w:rFonts w:ascii="Times New Roman" w:hAnsi="Times New Roman" w:cs="Times New Roman"/>
          <w:lang w:val="en-US"/>
        </w:rPr>
        <w:t xml:space="preserve">, results are for workflow </w:t>
      </w:r>
      <w:r w:rsidRPr="007932AD">
        <w:rPr>
          <w:rFonts w:ascii="Times New Roman" w:hAnsi="Times New Roman" w:cs="Times New Roman"/>
          <w:highlight w:val="yellow"/>
          <w:lang w:val="en-US"/>
        </w:rPr>
        <w:t>demonstration only.</w:t>
      </w:r>
      <w:r w:rsidRPr="007932AD">
        <w:rPr>
          <w:rFonts w:ascii="Times New Roman" w:hAnsi="Times New Roman" w:cs="Times New Roman"/>
          <w:lang w:val="en-US"/>
        </w:rPr>
        <w:t xml:space="preserve"> </w:t>
      </w:r>
      <w:r w:rsidR="007932AD">
        <w:rPr>
          <w:rFonts w:ascii="Times New Roman" w:hAnsi="Times New Roman" w:cs="Times New Roman"/>
          <w:lang w:val="en-US"/>
        </w:rPr>
        <w:t xml:space="preserve">I also </w:t>
      </w:r>
      <w:r w:rsidRPr="007932AD">
        <w:rPr>
          <w:rFonts w:ascii="Times New Roman" w:hAnsi="Times New Roman" w:cs="Times New Roman"/>
          <w:lang w:val="en-US"/>
        </w:rPr>
        <w:t>outline a governance pathwa</w:t>
      </w:r>
      <w:r w:rsidR="007932AD">
        <w:rPr>
          <w:rFonts w:ascii="Times New Roman" w:hAnsi="Times New Roman" w:cs="Times New Roman"/>
          <w:lang w:val="en-US"/>
        </w:rPr>
        <w:t xml:space="preserve">y, </w:t>
      </w:r>
      <w:r w:rsidRPr="007932AD">
        <w:rPr>
          <w:rFonts w:ascii="Times New Roman" w:hAnsi="Times New Roman" w:cs="Times New Roman"/>
          <w:lang w:val="en-US"/>
        </w:rPr>
        <w:t>prospective validation on real data, fairness and calibration monitoring, and</w:t>
      </w:r>
      <w:r w:rsidR="007932AD">
        <w:rPr>
          <w:rFonts w:ascii="Times New Roman" w:hAnsi="Times New Roman" w:cs="Times New Roman"/>
          <w:lang w:val="en-US"/>
        </w:rPr>
        <w:t xml:space="preserve"> human control, that must be </w:t>
      </w:r>
      <w:r w:rsidRPr="007932AD">
        <w:rPr>
          <w:rFonts w:ascii="Times New Roman" w:hAnsi="Times New Roman" w:cs="Times New Roman"/>
          <w:lang w:val="en-US"/>
        </w:rPr>
        <w:t>required before any operational adoption.</w:t>
      </w:r>
    </w:p>
    <w:p w14:paraId="3BE14175" w14:textId="77777777" w:rsidR="007932AD" w:rsidRPr="007932AD" w:rsidRDefault="007932AD" w:rsidP="007932AD">
      <w:pPr>
        <w:rPr>
          <w:rFonts w:ascii="Times New Roman" w:hAnsi="Times New Roman" w:cs="Times New Roman"/>
          <w:lang w:val="en-US"/>
        </w:rPr>
      </w:pPr>
    </w:p>
    <w:p w14:paraId="4B98FFA4" w14:textId="77777777" w:rsidR="001E6E6F" w:rsidRPr="007932AD" w:rsidRDefault="00000000" w:rsidP="007932AD">
      <w:pPr>
        <w:rPr>
          <w:rFonts w:ascii="Times New Roman" w:hAnsi="Times New Roman" w:cs="Times New Roman"/>
          <w:b/>
          <w:bCs/>
          <w:lang w:val="en-US"/>
        </w:rPr>
      </w:pPr>
      <w:r w:rsidRPr="007932AD">
        <w:rPr>
          <w:rFonts w:ascii="Times New Roman" w:hAnsi="Times New Roman" w:cs="Times New Roman"/>
          <w:b/>
          <w:bCs/>
          <w:lang w:val="en-US"/>
        </w:rPr>
        <w:t>1. Introduction</w:t>
      </w:r>
    </w:p>
    <w:p w14:paraId="47942420"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Suicide remains a major public health concern, with an estimated 700,000 deaths annually worldwide (World Health Organization [WHO], 2021). While global mortality has generally declined since 2000, trends in the Americas have been less favorable (Pan American Health Organization [PAHO], 2022). Uruguay has historically reported among the region’s highest </w:t>
      </w:r>
      <w:r w:rsidRPr="007932AD">
        <w:rPr>
          <w:rFonts w:ascii="Times New Roman" w:hAnsi="Times New Roman" w:cs="Times New Roman"/>
          <w:lang w:val="en-US"/>
        </w:rPr>
        <w:lastRenderedPageBreak/>
        <w:t>suicide mortality rates, prompting the creation of the National Honorary Commission on Suicide Prevention (2011) and a National Suicide Prevention Strategy (2021–2025). An important development within this strategy was the transition, in 2022, from a partially fulfilled paper system to a digital real</w:t>
      </w:r>
      <w:r w:rsidR="00171B97">
        <w:rPr>
          <w:rFonts w:ascii="Times New Roman" w:hAnsi="Times New Roman" w:cs="Times New Roman"/>
          <w:lang w:val="en-US"/>
        </w:rPr>
        <w:t xml:space="preserve"> </w:t>
      </w:r>
      <w:r w:rsidRPr="007932AD">
        <w:rPr>
          <w:rFonts w:ascii="Times New Roman" w:hAnsi="Times New Roman" w:cs="Times New Roman"/>
          <w:lang w:val="en-US"/>
        </w:rPr>
        <w:t>time registry of suicide attempts, with mandatory reporting across emergency departments and expected submission within 24 hours (</w:t>
      </w:r>
      <w:proofErr w:type="spellStart"/>
      <w:r w:rsidRPr="007932AD">
        <w:rPr>
          <w:rFonts w:ascii="Times New Roman" w:hAnsi="Times New Roman" w:cs="Times New Roman"/>
          <w:lang w:val="en-US"/>
        </w:rPr>
        <w:t>Ministerio</w:t>
      </w:r>
      <w:proofErr w:type="spellEnd"/>
      <w:r w:rsidRPr="007932AD">
        <w:rPr>
          <w:rFonts w:ascii="Times New Roman" w:hAnsi="Times New Roman" w:cs="Times New Roman"/>
          <w:lang w:val="en-US"/>
        </w:rPr>
        <w:t xml:space="preserve"> de Salud Pública [MSP], 2017, 2020, 2024; PAHO, 2018; WHO, 2016).</w:t>
      </w:r>
    </w:p>
    <w:p w14:paraId="193AA888"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 </w:t>
      </w:r>
    </w:p>
    <w:p w14:paraId="7A603920"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The registry’s primary aims are to estimate the incidence and repetition of suicide attempts, identify </w:t>
      </w:r>
      <w:r w:rsidR="00171B97">
        <w:rPr>
          <w:rFonts w:ascii="Times New Roman" w:hAnsi="Times New Roman" w:cs="Times New Roman"/>
          <w:lang w:val="en-US"/>
        </w:rPr>
        <w:t>incidence</w:t>
      </w:r>
      <w:r w:rsidRPr="007932AD">
        <w:rPr>
          <w:rFonts w:ascii="Times New Roman" w:hAnsi="Times New Roman" w:cs="Times New Roman"/>
          <w:lang w:val="en-US"/>
        </w:rPr>
        <w:t xml:space="preserve"> groups, and provide timely information that can guide </w:t>
      </w:r>
      <w:r w:rsidR="00171B97">
        <w:rPr>
          <w:rFonts w:ascii="Times New Roman" w:hAnsi="Times New Roman" w:cs="Times New Roman"/>
          <w:lang w:val="en-US"/>
        </w:rPr>
        <w:t>any care</w:t>
      </w:r>
      <w:r w:rsidRPr="007932AD">
        <w:rPr>
          <w:rFonts w:ascii="Times New Roman" w:hAnsi="Times New Roman" w:cs="Times New Roman"/>
          <w:lang w:val="en-US"/>
        </w:rPr>
        <w:t xml:space="preserve"> and service allocation. These aims align with international guidance on suicide surveillance and public health ethics (WHO, 2016, 2017). Uruguay’s legal and policy environment</w:t>
      </w:r>
      <w:r w:rsidR="00171B97">
        <w:rPr>
          <w:rFonts w:ascii="Times New Roman" w:hAnsi="Times New Roman" w:cs="Times New Roman"/>
          <w:lang w:val="en-US"/>
        </w:rPr>
        <w:t>, like</w:t>
      </w:r>
      <w:r w:rsidRPr="007932AD">
        <w:rPr>
          <w:rFonts w:ascii="Times New Roman" w:hAnsi="Times New Roman" w:cs="Times New Roman"/>
          <w:lang w:val="en-US"/>
        </w:rPr>
        <w:t xml:space="preserve"> the Mental Health Law (2017), the National Mental Health Plan (2020–2027), and national clinical guidelines</w:t>
      </w:r>
      <w:r w:rsidR="00171B97">
        <w:rPr>
          <w:rFonts w:ascii="Times New Roman" w:hAnsi="Times New Roman" w:cs="Times New Roman"/>
          <w:lang w:val="en-US"/>
        </w:rPr>
        <w:t xml:space="preserve">, </w:t>
      </w:r>
      <w:r w:rsidRPr="007932AD">
        <w:rPr>
          <w:rFonts w:ascii="Times New Roman" w:hAnsi="Times New Roman" w:cs="Times New Roman"/>
          <w:lang w:val="en-US"/>
        </w:rPr>
        <w:t>provides an enabling framework for the registry’s sustainability and quality improvement.</w:t>
      </w:r>
    </w:p>
    <w:p w14:paraId="587C8B04"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 </w:t>
      </w:r>
    </w:p>
    <w:p w14:paraId="3CEE052D" w14:textId="77777777" w:rsidR="001E6E6F" w:rsidRPr="007932AD" w:rsidRDefault="00000000" w:rsidP="007932AD">
      <w:pPr>
        <w:rPr>
          <w:rFonts w:ascii="Times New Roman" w:hAnsi="Times New Roman" w:cs="Times New Roman"/>
          <w:b/>
          <w:bCs/>
          <w:lang w:val="en-US"/>
        </w:rPr>
      </w:pPr>
      <w:r w:rsidRPr="007932AD">
        <w:rPr>
          <w:rFonts w:ascii="Times New Roman" w:hAnsi="Times New Roman" w:cs="Times New Roman"/>
          <w:b/>
          <w:bCs/>
          <w:lang w:val="en-US"/>
        </w:rPr>
        <w:t>2. Legal and Policy Context</w:t>
      </w:r>
    </w:p>
    <w:p w14:paraId="12495855"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Uruguay’s registry is embedded in a multilayered legal architecture. Registration of suicide attempts is mandatory, access to the system is role</w:t>
      </w:r>
      <w:r w:rsidR="00171B97">
        <w:rPr>
          <w:rFonts w:ascii="Times New Roman" w:hAnsi="Times New Roman" w:cs="Times New Roman"/>
          <w:lang w:val="en-US"/>
        </w:rPr>
        <w:t xml:space="preserve"> </w:t>
      </w:r>
      <w:r w:rsidRPr="007932AD">
        <w:rPr>
          <w:rFonts w:ascii="Times New Roman" w:hAnsi="Times New Roman" w:cs="Times New Roman"/>
          <w:lang w:val="en-US"/>
        </w:rPr>
        <w:t xml:space="preserve">based and audited, and </w:t>
      </w:r>
      <w:r w:rsidR="00171B97" w:rsidRPr="007932AD">
        <w:rPr>
          <w:rFonts w:ascii="Times New Roman" w:hAnsi="Times New Roman" w:cs="Times New Roman"/>
          <w:lang w:val="en-US"/>
        </w:rPr>
        <w:t>post attempt</w:t>
      </w:r>
      <w:r w:rsidRPr="007932AD">
        <w:rPr>
          <w:rFonts w:ascii="Times New Roman" w:hAnsi="Times New Roman" w:cs="Times New Roman"/>
          <w:lang w:val="en-US"/>
        </w:rPr>
        <w:t xml:space="preserve"> care is governed by national clinical protocols (MSP, 2017, 2020, 2024). Complementary policies include expanded access to psychological treatments and a national 24/7 helpline. In this context, the registry functions not as a siloed database but as a tool for ongoing clinical governance and public health action (PAHO, 2018; WHO, 2017).</w:t>
      </w:r>
    </w:p>
    <w:p w14:paraId="22CE6536"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 </w:t>
      </w:r>
    </w:p>
    <w:p w14:paraId="630D8229" w14:textId="77777777" w:rsidR="001E6E6F" w:rsidRPr="007932AD" w:rsidRDefault="00000000" w:rsidP="007932AD">
      <w:pPr>
        <w:rPr>
          <w:rFonts w:ascii="Times New Roman" w:hAnsi="Times New Roman" w:cs="Times New Roman"/>
          <w:b/>
          <w:bCs/>
          <w:lang w:val="en-US"/>
        </w:rPr>
      </w:pPr>
      <w:r w:rsidRPr="007932AD">
        <w:rPr>
          <w:rFonts w:ascii="Times New Roman" w:hAnsi="Times New Roman" w:cs="Times New Roman"/>
          <w:b/>
          <w:bCs/>
          <w:lang w:val="en-US"/>
        </w:rPr>
        <w:lastRenderedPageBreak/>
        <w:t>3. System Implementation</w:t>
      </w:r>
    </w:p>
    <w:p w14:paraId="18474BEB"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Operational definition and coverage. A suicide attempt is recorded when the act is oriented toward ending one’s life, as declared by the person and/or diagnosed by a clinician. All 97 emergency departments report into the system within 24 hours.</w:t>
      </w:r>
    </w:p>
    <w:p w14:paraId="023834DE"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Inclusion/exclusion. Nonfatal attempts with confirmed suicidal intent are included; ideation without attempt, accidental injury, and fatal cases (captured via mortality registries) are excluded (PAHO, 2018; WHO, 2016).</w:t>
      </w:r>
    </w:p>
    <w:p w14:paraId="4150C87E"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Core variables and quality assurance. The registry captures anonymized ID, country of origin, sex, date of birth, method, attempt date, previous attempts, treatment status, referral, healthcare institution, ED of record, and registration timestamp. A central team conducts daily quality checks for completeness and internal consistency.</w:t>
      </w:r>
    </w:p>
    <w:p w14:paraId="53286B2F"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Ethics and data protection. The registry adheres to WHO surveillance ethics and Uruguay’s data</w:t>
      </w:r>
      <w:r w:rsidR="00D8678A">
        <w:rPr>
          <w:rFonts w:ascii="Times New Roman" w:hAnsi="Times New Roman" w:cs="Times New Roman"/>
          <w:lang w:val="en-US"/>
        </w:rPr>
        <w:t xml:space="preserve"> </w:t>
      </w:r>
      <w:r w:rsidRPr="007932AD">
        <w:rPr>
          <w:rFonts w:ascii="Times New Roman" w:hAnsi="Times New Roman" w:cs="Times New Roman"/>
          <w:lang w:val="en-US"/>
        </w:rPr>
        <w:t>protection regulations; access is limited to authorized staff and fully audited (WHO, 2017).</w:t>
      </w:r>
    </w:p>
    <w:p w14:paraId="50A4B9A6"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 </w:t>
      </w:r>
    </w:p>
    <w:p w14:paraId="5A72EB65" w14:textId="77777777" w:rsidR="001E6E6F" w:rsidRPr="007932AD" w:rsidRDefault="00000000" w:rsidP="007932AD">
      <w:pPr>
        <w:rPr>
          <w:rFonts w:ascii="Times New Roman" w:hAnsi="Times New Roman" w:cs="Times New Roman"/>
          <w:b/>
          <w:bCs/>
          <w:lang w:val="en-US"/>
        </w:rPr>
      </w:pPr>
      <w:r w:rsidRPr="007932AD">
        <w:rPr>
          <w:rFonts w:ascii="Times New Roman" w:hAnsi="Times New Roman" w:cs="Times New Roman"/>
          <w:b/>
          <w:bCs/>
          <w:lang w:val="en-US"/>
        </w:rPr>
        <w:t xml:space="preserve">3.6 Synthetic Supervised </w:t>
      </w:r>
      <w:proofErr w:type="spellStart"/>
      <w:r w:rsidRPr="007932AD">
        <w:rPr>
          <w:rFonts w:ascii="Times New Roman" w:hAnsi="Times New Roman" w:cs="Times New Roman"/>
          <w:b/>
          <w:bCs/>
          <w:lang w:val="en-US"/>
        </w:rPr>
        <w:t>RiskModel</w:t>
      </w:r>
      <w:proofErr w:type="spellEnd"/>
      <w:r w:rsidRPr="007932AD">
        <w:rPr>
          <w:rFonts w:ascii="Times New Roman" w:hAnsi="Times New Roman" w:cs="Times New Roman"/>
          <w:b/>
          <w:bCs/>
          <w:lang w:val="en-US"/>
        </w:rPr>
        <w:t xml:space="preserve"> Prototype</w:t>
      </w:r>
    </w:p>
    <w:p w14:paraId="05BD7695"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Rationale. Follow</w:t>
      </w:r>
      <w:r w:rsidR="00FC60FF">
        <w:rPr>
          <w:rFonts w:ascii="Times New Roman" w:hAnsi="Times New Roman" w:cs="Times New Roman"/>
          <w:lang w:val="en-US"/>
        </w:rPr>
        <w:t xml:space="preserve"> </w:t>
      </w:r>
      <w:r w:rsidRPr="007932AD">
        <w:rPr>
          <w:rFonts w:ascii="Times New Roman" w:hAnsi="Times New Roman" w:cs="Times New Roman"/>
          <w:lang w:val="en-US"/>
        </w:rPr>
        <w:t>up after a suicide attempt is time</w:t>
      </w:r>
      <w:r w:rsidR="00FC60FF">
        <w:rPr>
          <w:rFonts w:ascii="Times New Roman" w:hAnsi="Times New Roman" w:cs="Times New Roman"/>
          <w:lang w:val="en-US"/>
        </w:rPr>
        <w:t xml:space="preserve"> </w:t>
      </w:r>
      <w:r w:rsidRPr="007932AD">
        <w:rPr>
          <w:rFonts w:ascii="Times New Roman" w:hAnsi="Times New Roman" w:cs="Times New Roman"/>
          <w:lang w:val="en-US"/>
        </w:rPr>
        <w:t>sensitive; the risk of near</w:t>
      </w:r>
      <w:r w:rsidR="00FC60FF">
        <w:rPr>
          <w:rFonts w:ascii="Times New Roman" w:hAnsi="Times New Roman" w:cs="Times New Roman"/>
          <w:lang w:val="en-US"/>
        </w:rPr>
        <w:t xml:space="preserve"> </w:t>
      </w:r>
      <w:r w:rsidRPr="007932AD">
        <w:rPr>
          <w:rFonts w:ascii="Times New Roman" w:hAnsi="Times New Roman" w:cs="Times New Roman"/>
          <w:lang w:val="en-US"/>
        </w:rPr>
        <w:t>term repetition is elevated, and structured outreach can improve outcomes (Hawton et al., 2016). Risk scores</w:t>
      </w:r>
      <w:r w:rsidR="007932AD">
        <w:rPr>
          <w:rFonts w:ascii="Times New Roman" w:hAnsi="Times New Roman" w:cs="Times New Roman"/>
          <w:lang w:val="en-US"/>
        </w:rPr>
        <w:t xml:space="preserve"> </w:t>
      </w:r>
      <w:r w:rsidRPr="007932AD">
        <w:rPr>
          <w:rFonts w:ascii="Times New Roman" w:hAnsi="Times New Roman" w:cs="Times New Roman"/>
          <w:lang w:val="en-US"/>
        </w:rPr>
        <w:t>used with clinician judgment</w:t>
      </w:r>
      <w:r w:rsidR="007932AD">
        <w:rPr>
          <w:rFonts w:ascii="Times New Roman" w:hAnsi="Times New Roman" w:cs="Times New Roman"/>
          <w:lang w:val="en-US"/>
        </w:rPr>
        <w:t xml:space="preserve">, </w:t>
      </w:r>
      <w:r w:rsidRPr="007932AD">
        <w:rPr>
          <w:rFonts w:ascii="Times New Roman" w:hAnsi="Times New Roman" w:cs="Times New Roman"/>
          <w:lang w:val="en-US"/>
        </w:rPr>
        <w:t xml:space="preserve">can help prioritize contact when resources are constrained. To demonstrate this concept without touching personal data, </w:t>
      </w:r>
      <w:r w:rsidR="007932AD">
        <w:rPr>
          <w:rFonts w:ascii="Times New Roman" w:hAnsi="Times New Roman" w:cs="Times New Roman"/>
          <w:lang w:val="en-US"/>
        </w:rPr>
        <w:t xml:space="preserve">a </w:t>
      </w:r>
      <w:r w:rsidRPr="007932AD">
        <w:rPr>
          <w:rFonts w:ascii="Times New Roman" w:hAnsi="Times New Roman" w:cs="Times New Roman"/>
          <w:lang w:val="en-US"/>
        </w:rPr>
        <w:t>synthetic prototype that outputs calibrated probabilities of same</w:t>
      </w:r>
      <w:r w:rsidR="00FC60FF">
        <w:rPr>
          <w:rFonts w:ascii="Times New Roman" w:hAnsi="Times New Roman" w:cs="Times New Roman"/>
          <w:lang w:val="en-US"/>
        </w:rPr>
        <w:t xml:space="preserve"> </w:t>
      </w:r>
      <w:r w:rsidRPr="007932AD">
        <w:rPr>
          <w:rFonts w:ascii="Times New Roman" w:hAnsi="Times New Roman" w:cs="Times New Roman"/>
          <w:lang w:val="en-US"/>
        </w:rPr>
        <w:t>year repetition at the index presentation</w:t>
      </w:r>
      <w:r w:rsidR="007932AD">
        <w:rPr>
          <w:rFonts w:ascii="Times New Roman" w:hAnsi="Times New Roman" w:cs="Times New Roman"/>
          <w:lang w:val="en-US"/>
        </w:rPr>
        <w:t xml:space="preserve">, has been created. </w:t>
      </w:r>
    </w:p>
    <w:p w14:paraId="507AF364" w14:textId="77777777" w:rsidR="001E6E6F" w:rsidRPr="007932AD" w:rsidRDefault="007932AD" w:rsidP="007932AD">
      <w:pPr>
        <w:rPr>
          <w:rFonts w:ascii="Times New Roman" w:hAnsi="Times New Roman" w:cs="Times New Roman"/>
          <w:lang w:val="en-US"/>
        </w:rPr>
      </w:pPr>
      <w:r>
        <w:rPr>
          <w:rFonts w:ascii="Times New Roman" w:hAnsi="Times New Roman" w:cs="Times New Roman"/>
          <w:lang w:val="en-US"/>
        </w:rPr>
        <w:lastRenderedPageBreak/>
        <w:t>I have simulated</w:t>
      </w:r>
      <w:r w:rsidRPr="007932AD">
        <w:rPr>
          <w:rFonts w:ascii="Times New Roman" w:hAnsi="Times New Roman" w:cs="Times New Roman"/>
          <w:lang w:val="en-US"/>
        </w:rPr>
        <w:t xml:space="preserve"> multiyear records that mirror the registry’s schema and reproduce key 2023 margins: a predominance of women (~71.6%), an age distribution centered around young people, </w:t>
      </w:r>
      <w:proofErr w:type="spellStart"/>
      <w:r w:rsidRPr="007932AD">
        <w:rPr>
          <w:rFonts w:ascii="Times New Roman" w:hAnsi="Times New Roman" w:cs="Times New Roman"/>
          <w:lang w:val="en-US"/>
        </w:rPr>
        <w:t>self</w:t>
      </w:r>
      <w:r w:rsidR="0034443E">
        <w:rPr>
          <w:rFonts w:ascii="Times New Roman" w:hAnsi="Times New Roman" w:cs="Times New Roman"/>
          <w:lang w:val="en-US"/>
        </w:rPr>
        <w:t xml:space="preserve"> </w:t>
      </w:r>
      <w:r w:rsidRPr="007932AD">
        <w:rPr>
          <w:rFonts w:ascii="Times New Roman" w:hAnsi="Times New Roman" w:cs="Times New Roman"/>
          <w:lang w:val="en-US"/>
        </w:rPr>
        <w:t>poisoning</w:t>
      </w:r>
      <w:proofErr w:type="spellEnd"/>
      <w:r w:rsidRPr="007932AD">
        <w:rPr>
          <w:rFonts w:ascii="Times New Roman" w:hAnsi="Times New Roman" w:cs="Times New Roman"/>
          <w:lang w:val="en-US"/>
        </w:rPr>
        <w:t xml:space="preserve"> as the leading method, modest Monday/Sunday elevation and an October peak, ~50.6% with prior attempts, and ~8.17% with same</w:t>
      </w:r>
      <w:r w:rsidR="0034443E">
        <w:rPr>
          <w:rFonts w:ascii="Times New Roman" w:hAnsi="Times New Roman" w:cs="Times New Roman"/>
          <w:lang w:val="en-US"/>
        </w:rPr>
        <w:t xml:space="preserve"> </w:t>
      </w:r>
      <w:r w:rsidRPr="007932AD">
        <w:rPr>
          <w:rFonts w:ascii="Times New Roman" w:hAnsi="Times New Roman" w:cs="Times New Roman"/>
          <w:lang w:val="en-US"/>
        </w:rPr>
        <w:t>year repetition (median 54 days). Generation used pandas and NumPy for data structures and sampling (Harris et al., 2020; McKinney, 2010).</w:t>
      </w:r>
    </w:p>
    <w:p w14:paraId="17D82530"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Prediction target and features. The binary label was “same</w:t>
      </w:r>
      <w:r w:rsidR="0034443E">
        <w:rPr>
          <w:rFonts w:ascii="Times New Roman" w:hAnsi="Times New Roman" w:cs="Times New Roman"/>
          <w:lang w:val="en-US"/>
        </w:rPr>
        <w:t xml:space="preserve"> </w:t>
      </w:r>
      <w:r w:rsidRPr="007932AD">
        <w:rPr>
          <w:rFonts w:ascii="Times New Roman" w:hAnsi="Times New Roman" w:cs="Times New Roman"/>
          <w:lang w:val="en-US"/>
        </w:rPr>
        <w:t xml:space="preserve">year repetition” (present vs. absent </w:t>
      </w:r>
      <w:proofErr w:type="spellStart"/>
      <w:r w:rsidRPr="007932AD">
        <w:rPr>
          <w:rFonts w:ascii="Times New Roman" w:hAnsi="Times New Roman" w:cs="Times New Roman"/>
          <w:lang w:val="en-US"/>
        </w:rPr>
        <w:t>Second_Attempt_Date_Same_Year</w:t>
      </w:r>
      <w:proofErr w:type="spellEnd"/>
      <w:r w:rsidRPr="007932AD">
        <w:rPr>
          <w:rFonts w:ascii="Times New Roman" w:hAnsi="Times New Roman" w:cs="Times New Roman"/>
          <w:lang w:val="en-US"/>
        </w:rPr>
        <w:t>). Candidate predictors were limited to variables observable at or before the index presentation: sex; age; method; month and day</w:t>
      </w:r>
      <w:r w:rsidR="0034443E">
        <w:rPr>
          <w:rFonts w:ascii="Times New Roman" w:hAnsi="Times New Roman" w:cs="Times New Roman"/>
          <w:lang w:val="en-US"/>
        </w:rPr>
        <w:t xml:space="preserve"> </w:t>
      </w:r>
      <w:r w:rsidRPr="007932AD">
        <w:rPr>
          <w:rFonts w:ascii="Times New Roman" w:hAnsi="Times New Roman" w:cs="Times New Roman"/>
          <w:lang w:val="en-US"/>
        </w:rPr>
        <w:t>of</w:t>
      </w:r>
      <w:r w:rsidR="0034443E">
        <w:rPr>
          <w:rFonts w:ascii="Times New Roman" w:hAnsi="Times New Roman" w:cs="Times New Roman"/>
          <w:lang w:val="en-US"/>
        </w:rPr>
        <w:t xml:space="preserve"> </w:t>
      </w:r>
      <w:r w:rsidRPr="007932AD">
        <w:rPr>
          <w:rFonts w:ascii="Times New Roman" w:hAnsi="Times New Roman" w:cs="Times New Roman"/>
          <w:lang w:val="en-US"/>
        </w:rPr>
        <w:t>week; previous attempts (yes/no); treatment status (yes/no); healthcare institution; country of origin; and ED of record.</w:t>
      </w:r>
    </w:p>
    <w:p w14:paraId="5A175E74"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Modeling and validation. </w:t>
      </w:r>
      <w:r w:rsidR="007932AD">
        <w:rPr>
          <w:rFonts w:ascii="Times New Roman" w:hAnsi="Times New Roman" w:cs="Times New Roman"/>
          <w:lang w:val="en-US"/>
        </w:rPr>
        <w:t>I</w:t>
      </w:r>
      <w:r w:rsidRPr="007932AD">
        <w:rPr>
          <w:rFonts w:ascii="Times New Roman" w:hAnsi="Times New Roman" w:cs="Times New Roman"/>
          <w:lang w:val="en-US"/>
        </w:rPr>
        <w:t xml:space="preserve"> trained two </w:t>
      </w:r>
      <w:proofErr w:type="spellStart"/>
      <w:r w:rsidRPr="007932AD">
        <w:rPr>
          <w:rFonts w:ascii="Times New Roman" w:hAnsi="Times New Roman" w:cs="Times New Roman"/>
          <w:lang w:val="en-US"/>
        </w:rPr>
        <w:t>scikitlearn</w:t>
      </w:r>
      <w:proofErr w:type="spellEnd"/>
      <w:r w:rsidRPr="007932AD">
        <w:rPr>
          <w:rFonts w:ascii="Times New Roman" w:hAnsi="Times New Roman" w:cs="Times New Roman"/>
          <w:lang w:val="en-US"/>
        </w:rPr>
        <w:t xml:space="preserve"> pipelines (Pedregosa et al., 2011): (1) logistic regression with class weighting for interpretability and stable calibration; and (2) </w:t>
      </w:r>
      <w:proofErr w:type="spellStart"/>
      <w:r w:rsidRPr="007932AD">
        <w:rPr>
          <w:rFonts w:ascii="Times New Roman" w:hAnsi="Times New Roman" w:cs="Times New Roman"/>
          <w:lang w:val="en-US"/>
        </w:rPr>
        <w:t>histogrambased</w:t>
      </w:r>
      <w:proofErr w:type="spellEnd"/>
      <w:r w:rsidRPr="007932AD">
        <w:rPr>
          <w:rFonts w:ascii="Times New Roman" w:hAnsi="Times New Roman" w:cs="Times New Roman"/>
          <w:lang w:val="en-US"/>
        </w:rPr>
        <w:t xml:space="preserve"> gradient boosting (nonlinear interactions), followed by </w:t>
      </w:r>
      <w:proofErr w:type="spellStart"/>
      <w:r w:rsidRPr="007932AD">
        <w:rPr>
          <w:rFonts w:ascii="Times New Roman" w:hAnsi="Times New Roman" w:cs="Times New Roman"/>
          <w:lang w:val="en-US"/>
        </w:rPr>
        <w:t>CalibratedClassifierCV</w:t>
      </w:r>
      <w:proofErr w:type="spellEnd"/>
      <w:r w:rsidRPr="007932AD">
        <w:rPr>
          <w:rFonts w:ascii="Times New Roman" w:hAnsi="Times New Roman" w:cs="Times New Roman"/>
          <w:lang w:val="en-US"/>
        </w:rPr>
        <w:t xml:space="preserve"> with isotonic regression to improve probability accuracy (</w:t>
      </w:r>
      <w:proofErr w:type="spellStart"/>
      <w:r w:rsidRPr="007932AD">
        <w:rPr>
          <w:rFonts w:ascii="Times New Roman" w:hAnsi="Times New Roman" w:cs="Times New Roman"/>
          <w:lang w:val="en-US"/>
        </w:rPr>
        <w:t>NiculescuMizil</w:t>
      </w:r>
      <w:proofErr w:type="spellEnd"/>
      <w:r w:rsidRPr="007932AD">
        <w:rPr>
          <w:rFonts w:ascii="Times New Roman" w:hAnsi="Times New Roman" w:cs="Times New Roman"/>
          <w:lang w:val="en-US"/>
        </w:rPr>
        <w:t xml:space="preserve"> &amp; Caruana, 2005; Zadrozny &amp; Elkan, 2002). Preprocessing consisted of imputation, one</w:t>
      </w:r>
      <w:r w:rsidR="0034443E">
        <w:rPr>
          <w:rFonts w:ascii="Times New Roman" w:hAnsi="Times New Roman" w:cs="Times New Roman"/>
          <w:lang w:val="en-US"/>
        </w:rPr>
        <w:t xml:space="preserve"> </w:t>
      </w:r>
      <w:r w:rsidRPr="007932AD">
        <w:rPr>
          <w:rFonts w:ascii="Times New Roman" w:hAnsi="Times New Roman" w:cs="Times New Roman"/>
          <w:lang w:val="en-US"/>
        </w:rPr>
        <w:t xml:space="preserve">hot encoding for </w:t>
      </w:r>
      <w:proofErr w:type="spellStart"/>
      <w:r w:rsidRPr="007932AD">
        <w:rPr>
          <w:rFonts w:ascii="Times New Roman" w:hAnsi="Times New Roman" w:cs="Times New Roman"/>
          <w:lang w:val="en-US"/>
        </w:rPr>
        <w:t>categoricals</w:t>
      </w:r>
      <w:proofErr w:type="spellEnd"/>
      <w:r w:rsidRPr="007932AD">
        <w:rPr>
          <w:rFonts w:ascii="Times New Roman" w:hAnsi="Times New Roman" w:cs="Times New Roman"/>
          <w:lang w:val="en-US"/>
        </w:rPr>
        <w:t xml:space="preserve">, and scaling for </w:t>
      </w:r>
      <w:proofErr w:type="spellStart"/>
      <w:r w:rsidRPr="007932AD">
        <w:rPr>
          <w:rFonts w:ascii="Times New Roman" w:hAnsi="Times New Roman" w:cs="Times New Roman"/>
          <w:lang w:val="en-US"/>
        </w:rPr>
        <w:t>numerics</w:t>
      </w:r>
      <w:proofErr w:type="spellEnd"/>
      <w:r w:rsidRPr="007932AD">
        <w:rPr>
          <w:rFonts w:ascii="Times New Roman" w:hAnsi="Times New Roman" w:cs="Times New Roman"/>
          <w:lang w:val="en-US"/>
        </w:rPr>
        <w:t xml:space="preserve"> within each pipeline. To mimic prospective use and avoid leakage, we used a time</w:t>
      </w:r>
      <w:r w:rsidR="0034443E">
        <w:rPr>
          <w:rFonts w:ascii="Times New Roman" w:hAnsi="Times New Roman" w:cs="Times New Roman"/>
          <w:lang w:val="en-US"/>
        </w:rPr>
        <w:t xml:space="preserve"> </w:t>
      </w:r>
      <w:r w:rsidRPr="007932AD">
        <w:rPr>
          <w:rFonts w:ascii="Times New Roman" w:hAnsi="Times New Roman" w:cs="Times New Roman"/>
          <w:lang w:val="en-US"/>
        </w:rPr>
        <w:t>based split (earlier years for training; the last year as a holdout). Discrimination was summarized with ROCAUC and PRAUC, and calibration was assessed with reliability curves. Given class imbalance (~8% positive), modest PRAUC is expected; calibration is critical for actionable thresholds.</w:t>
      </w:r>
    </w:p>
    <w:p w14:paraId="4D8F74F0"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Outpu</w:t>
      </w:r>
      <w:r w:rsidR="007932AD">
        <w:rPr>
          <w:rFonts w:ascii="Times New Roman" w:hAnsi="Times New Roman" w:cs="Times New Roman"/>
          <w:lang w:val="en-US"/>
        </w:rPr>
        <w:t>t: I p</w:t>
      </w:r>
      <w:r w:rsidRPr="007932AD">
        <w:rPr>
          <w:rFonts w:ascii="Times New Roman" w:hAnsi="Times New Roman" w:cs="Times New Roman"/>
          <w:lang w:val="en-US"/>
        </w:rPr>
        <w:t xml:space="preserve">ersisted trained artifacts with </w:t>
      </w:r>
      <w:proofErr w:type="spellStart"/>
      <w:r w:rsidRPr="007932AD">
        <w:rPr>
          <w:rFonts w:ascii="Times New Roman" w:hAnsi="Times New Roman" w:cs="Times New Roman"/>
          <w:lang w:val="en-US"/>
        </w:rPr>
        <w:t>joblib</w:t>
      </w:r>
      <w:proofErr w:type="spellEnd"/>
      <w:r w:rsidRPr="007932AD">
        <w:rPr>
          <w:rFonts w:ascii="Times New Roman" w:hAnsi="Times New Roman" w:cs="Times New Roman"/>
          <w:lang w:val="en-US"/>
        </w:rPr>
        <w:t xml:space="preserve"> and implemented two action formats: (a) </w:t>
      </w:r>
      <w:proofErr w:type="spellStart"/>
      <w:r w:rsidRPr="007932AD">
        <w:rPr>
          <w:rFonts w:ascii="Times New Roman" w:hAnsi="Times New Roman" w:cs="Times New Roman"/>
          <w:lang w:val="en-US"/>
        </w:rPr>
        <w:t>TopK</w:t>
      </w:r>
      <w:proofErr w:type="spellEnd"/>
      <w:r w:rsidRPr="007932AD">
        <w:rPr>
          <w:rFonts w:ascii="Times New Roman" w:hAnsi="Times New Roman" w:cs="Times New Roman"/>
          <w:lang w:val="en-US"/>
        </w:rPr>
        <w:t xml:space="preserve"> daily triage lists, which are robust when capacity is fixed, and (b) </w:t>
      </w:r>
      <w:proofErr w:type="spellStart"/>
      <w:r w:rsidRPr="007932AD">
        <w:rPr>
          <w:rFonts w:ascii="Times New Roman" w:hAnsi="Times New Roman" w:cs="Times New Roman"/>
          <w:lang w:val="en-US"/>
        </w:rPr>
        <w:t>thresholded</w:t>
      </w:r>
      <w:proofErr w:type="spellEnd"/>
      <w:r w:rsidRPr="007932AD">
        <w:rPr>
          <w:rFonts w:ascii="Times New Roman" w:hAnsi="Times New Roman" w:cs="Times New Roman"/>
          <w:lang w:val="en-US"/>
        </w:rPr>
        <w:t xml:space="preserve"> flags, where the cutoff is selected on the holdout to meet a target precision or recall. For sandbox demonstration, a </w:t>
      </w:r>
      <w:r w:rsidRPr="007932AD">
        <w:rPr>
          <w:rFonts w:ascii="Times New Roman" w:hAnsi="Times New Roman" w:cs="Times New Roman"/>
          <w:lang w:val="en-US"/>
        </w:rPr>
        <w:lastRenderedPageBreak/>
        <w:t xml:space="preserve">minimal </w:t>
      </w:r>
      <w:proofErr w:type="spellStart"/>
      <w:r w:rsidRPr="007932AD">
        <w:rPr>
          <w:rFonts w:ascii="Times New Roman" w:hAnsi="Times New Roman" w:cs="Times New Roman"/>
          <w:lang w:val="en-US"/>
        </w:rPr>
        <w:t>FastAPI</w:t>
      </w:r>
      <w:proofErr w:type="spellEnd"/>
      <w:r w:rsidRPr="007932AD">
        <w:rPr>
          <w:rFonts w:ascii="Times New Roman" w:hAnsi="Times New Roman" w:cs="Times New Roman"/>
          <w:lang w:val="en-US"/>
        </w:rPr>
        <w:t xml:space="preserve"> endpoint (served by </w:t>
      </w:r>
      <w:proofErr w:type="spellStart"/>
      <w:r w:rsidRPr="007932AD">
        <w:rPr>
          <w:rFonts w:ascii="Times New Roman" w:hAnsi="Times New Roman" w:cs="Times New Roman"/>
          <w:lang w:val="en-US"/>
        </w:rPr>
        <w:t>Uvicorn</w:t>
      </w:r>
      <w:proofErr w:type="spellEnd"/>
      <w:r w:rsidRPr="007932AD">
        <w:rPr>
          <w:rFonts w:ascii="Times New Roman" w:hAnsi="Times New Roman" w:cs="Times New Roman"/>
          <w:lang w:val="en-US"/>
        </w:rPr>
        <w:t>) provides batched scoring. All artifacts are synthetic</w:t>
      </w:r>
      <w:r w:rsidR="002D7E83">
        <w:rPr>
          <w:rFonts w:ascii="Times New Roman" w:hAnsi="Times New Roman" w:cs="Times New Roman"/>
          <w:lang w:val="en-US"/>
        </w:rPr>
        <w:t xml:space="preserve"> </w:t>
      </w:r>
      <w:r w:rsidRPr="007932AD">
        <w:rPr>
          <w:rFonts w:ascii="Times New Roman" w:hAnsi="Times New Roman" w:cs="Times New Roman"/>
          <w:lang w:val="en-US"/>
        </w:rPr>
        <w:t xml:space="preserve">only and </w:t>
      </w:r>
      <w:r w:rsidRPr="007932AD">
        <w:rPr>
          <w:rFonts w:ascii="Times New Roman" w:hAnsi="Times New Roman" w:cs="Times New Roman"/>
          <w:b/>
          <w:bCs/>
          <w:highlight w:val="yellow"/>
          <w:lang w:val="en-US"/>
        </w:rPr>
        <w:t>nonclinical.</w:t>
      </w:r>
    </w:p>
    <w:p w14:paraId="1385EB24" w14:textId="77777777" w:rsidR="001E6E6F" w:rsidRPr="007932AD" w:rsidRDefault="00000000" w:rsidP="007932AD">
      <w:pPr>
        <w:rPr>
          <w:rFonts w:ascii="Times New Roman" w:hAnsi="Times New Roman" w:cs="Times New Roman"/>
          <w:b/>
          <w:bCs/>
          <w:lang w:val="en-US"/>
        </w:rPr>
      </w:pPr>
      <w:r w:rsidRPr="007932AD">
        <w:rPr>
          <w:rFonts w:ascii="Times New Roman" w:hAnsi="Times New Roman" w:cs="Times New Roman"/>
          <w:b/>
          <w:bCs/>
          <w:lang w:val="en-US"/>
        </w:rPr>
        <w:t xml:space="preserve">4. </w:t>
      </w:r>
      <w:proofErr w:type="spellStart"/>
      <w:r w:rsidRPr="007932AD">
        <w:rPr>
          <w:rFonts w:ascii="Times New Roman" w:hAnsi="Times New Roman" w:cs="Times New Roman"/>
          <w:b/>
          <w:bCs/>
          <w:lang w:val="en-US"/>
        </w:rPr>
        <w:t>FirstYear</w:t>
      </w:r>
      <w:proofErr w:type="spellEnd"/>
      <w:r w:rsidRPr="007932AD">
        <w:rPr>
          <w:rFonts w:ascii="Times New Roman" w:hAnsi="Times New Roman" w:cs="Times New Roman"/>
          <w:b/>
          <w:bCs/>
          <w:lang w:val="en-US"/>
        </w:rPr>
        <w:t xml:space="preserve"> Findings (2023)</w:t>
      </w:r>
    </w:p>
    <w:p w14:paraId="139A704A" w14:textId="77777777" w:rsidR="00DF0067" w:rsidRDefault="00000000">
      <w:pPr>
        <w:jc w:val="center"/>
      </w:pPr>
      <w:r>
        <w:rPr>
          <w:noProof/>
        </w:rPr>
        <w:drawing>
          <wp:inline distT="0" distB="0" distL="0" distR="0" wp14:anchorId="4E242D3A" wp14:editId="5CE7D898">
            <wp:extent cx="5486400" cy="3767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mpts_by_sex.png"/>
                    <pic:cNvPicPr/>
                  </pic:nvPicPr>
                  <pic:blipFill>
                    <a:blip r:embed="rId6"/>
                    <a:stretch>
                      <a:fillRect/>
                    </a:stretch>
                  </pic:blipFill>
                  <pic:spPr>
                    <a:xfrm>
                      <a:off x="0" y="0"/>
                      <a:ext cx="5486400" cy="3767769"/>
                    </a:xfrm>
                    <a:prstGeom prst="rect">
                      <a:avLst/>
                    </a:prstGeom>
                  </pic:spPr>
                </pic:pic>
              </a:graphicData>
            </a:graphic>
          </wp:inline>
        </w:drawing>
      </w:r>
    </w:p>
    <w:p w14:paraId="26D280CE" w14:textId="77777777" w:rsidR="00DF0067" w:rsidRPr="00327425" w:rsidRDefault="00000000">
      <w:pPr>
        <w:jc w:val="center"/>
        <w:rPr>
          <w:lang w:val="en-US"/>
        </w:rPr>
      </w:pPr>
      <w:r w:rsidRPr="00327425">
        <w:rPr>
          <w:rFonts w:ascii="Times New Roman" w:eastAsia="Times New Roman" w:hAnsi="Times New Roman" w:cs="Times New Roman"/>
          <w:i/>
          <w:lang w:val="en-US"/>
        </w:rPr>
        <w:t>Figure 1. Attempt presentations by sex.</w:t>
      </w:r>
    </w:p>
    <w:p w14:paraId="74A421F8" w14:textId="77777777" w:rsidR="00DF0067" w:rsidRDefault="00000000">
      <w:pPr>
        <w:jc w:val="center"/>
      </w:pPr>
      <w:r>
        <w:rPr>
          <w:noProof/>
        </w:rPr>
        <w:lastRenderedPageBreak/>
        <w:drawing>
          <wp:inline distT="0" distB="0" distL="0" distR="0" wp14:anchorId="456D26D8" wp14:editId="07780E54">
            <wp:extent cx="5486400" cy="4649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_overall.png"/>
                    <pic:cNvPicPr/>
                  </pic:nvPicPr>
                  <pic:blipFill>
                    <a:blip r:embed="rId7"/>
                    <a:stretch>
                      <a:fillRect/>
                    </a:stretch>
                  </pic:blipFill>
                  <pic:spPr>
                    <a:xfrm>
                      <a:off x="0" y="0"/>
                      <a:ext cx="5486400" cy="4649002"/>
                    </a:xfrm>
                    <a:prstGeom prst="rect">
                      <a:avLst/>
                    </a:prstGeom>
                  </pic:spPr>
                </pic:pic>
              </a:graphicData>
            </a:graphic>
          </wp:inline>
        </w:drawing>
      </w:r>
    </w:p>
    <w:p w14:paraId="57B81DB4" w14:textId="77777777" w:rsidR="00DF0067" w:rsidRPr="00327425" w:rsidRDefault="00000000">
      <w:pPr>
        <w:jc w:val="center"/>
        <w:rPr>
          <w:lang w:val="en-US"/>
        </w:rPr>
      </w:pPr>
      <w:r w:rsidRPr="00327425">
        <w:rPr>
          <w:rFonts w:ascii="Times New Roman" w:eastAsia="Times New Roman" w:hAnsi="Times New Roman" w:cs="Times New Roman"/>
          <w:i/>
          <w:lang w:val="en-US"/>
        </w:rPr>
        <w:t>Figure 2. Method of attempt (overall).</w:t>
      </w:r>
    </w:p>
    <w:p w14:paraId="4D5870E9" w14:textId="77777777" w:rsidR="00DF0067" w:rsidRDefault="00000000">
      <w:pPr>
        <w:jc w:val="center"/>
      </w:pPr>
      <w:r>
        <w:rPr>
          <w:noProof/>
        </w:rPr>
        <w:lastRenderedPageBreak/>
        <w:drawing>
          <wp:inline distT="0" distB="0" distL="0" distR="0" wp14:anchorId="23CA6889" wp14:editId="27191634">
            <wp:extent cx="5486400" cy="4649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_by_sex.png"/>
                    <pic:cNvPicPr/>
                  </pic:nvPicPr>
                  <pic:blipFill>
                    <a:blip r:embed="rId8"/>
                    <a:stretch>
                      <a:fillRect/>
                    </a:stretch>
                  </pic:blipFill>
                  <pic:spPr>
                    <a:xfrm>
                      <a:off x="0" y="0"/>
                      <a:ext cx="5486400" cy="4649002"/>
                    </a:xfrm>
                    <a:prstGeom prst="rect">
                      <a:avLst/>
                    </a:prstGeom>
                  </pic:spPr>
                </pic:pic>
              </a:graphicData>
            </a:graphic>
          </wp:inline>
        </w:drawing>
      </w:r>
    </w:p>
    <w:p w14:paraId="54F07169" w14:textId="77777777" w:rsidR="00DF0067" w:rsidRPr="00327425" w:rsidRDefault="00000000">
      <w:pPr>
        <w:jc w:val="center"/>
        <w:rPr>
          <w:lang w:val="en-US"/>
        </w:rPr>
      </w:pPr>
      <w:r w:rsidRPr="00327425">
        <w:rPr>
          <w:rFonts w:ascii="Times New Roman" w:eastAsia="Times New Roman" w:hAnsi="Times New Roman" w:cs="Times New Roman"/>
          <w:i/>
          <w:lang w:val="en-US"/>
        </w:rPr>
        <w:t>Figure 3. Method of attempt by sex.</w:t>
      </w:r>
    </w:p>
    <w:p w14:paraId="273BB006" w14:textId="77777777" w:rsidR="00DF0067" w:rsidRDefault="00000000">
      <w:pPr>
        <w:jc w:val="center"/>
      </w:pPr>
      <w:r>
        <w:rPr>
          <w:noProof/>
        </w:rPr>
        <w:lastRenderedPageBreak/>
        <w:drawing>
          <wp:inline distT="0" distB="0" distL="0" distR="0" wp14:anchorId="087598D8" wp14:editId="227542AE">
            <wp:extent cx="5486400" cy="354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hist.png"/>
                    <pic:cNvPicPr/>
                  </pic:nvPicPr>
                  <pic:blipFill>
                    <a:blip r:embed="rId9"/>
                    <a:stretch>
                      <a:fillRect/>
                    </a:stretch>
                  </pic:blipFill>
                  <pic:spPr>
                    <a:xfrm>
                      <a:off x="0" y="0"/>
                      <a:ext cx="5486400" cy="3540045"/>
                    </a:xfrm>
                    <a:prstGeom prst="rect">
                      <a:avLst/>
                    </a:prstGeom>
                  </pic:spPr>
                </pic:pic>
              </a:graphicData>
            </a:graphic>
          </wp:inline>
        </w:drawing>
      </w:r>
    </w:p>
    <w:p w14:paraId="37DC98B8" w14:textId="77777777" w:rsidR="00DF0067" w:rsidRPr="00327425" w:rsidRDefault="00000000">
      <w:pPr>
        <w:jc w:val="center"/>
        <w:rPr>
          <w:lang w:val="en-US"/>
        </w:rPr>
      </w:pPr>
      <w:r w:rsidRPr="00327425">
        <w:rPr>
          <w:rFonts w:ascii="Times New Roman" w:eastAsia="Times New Roman" w:hAnsi="Times New Roman" w:cs="Times New Roman"/>
          <w:i/>
          <w:lang w:val="en-US"/>
        </w:rPr>
        <w:t>Figure 4. Age at attempt (histogram).</w:t>
      </w:r>
    </w:p>
    <w:p w14:paraId="24DB89B6" w14:textId="77777777" w:rsidR="00DF0067" w:rsidRDefault="00000000">
      <w:pPr>
        <w:jc w:val="center"/>
      </w:pPr>
      <w:r>
        <w:rPr>
          <w:noProof/>
        </w:rPr>
        <w:drawing>
          <wp:inline distT="0" distB="0" distL="0" distR="0" wp14:anchorId="078BC722" wp14:editId="1863267D">
            <wp:extent cx="5486400" cy="3566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mpts_by_month.png"/>
                    <pic:cNvPicPr/>
                  </pic:nvPicPr>
                  <pic:blipFill>
                    <a:blip r:embed="rId10"/>
                    <a:stretch>
                      <a:fillRect/>
                    </a:stretch>
                  </pic:blipFill>
                  <pic:spPr>
                    <a:xfrm>
                      <a:off x="0" y="0"/>
                      <a:ext cx="5486400" cy="3566830"/>
                    </a:xfrm>
                    <a:prstGeom prst="rect">
                      <a:avLst/>
                    </a:prstGeom>
                  </pic:spPr>
                </pic:pic>
              </a:graphicData>
            </a:graphic>
          </wp:inline>
        </w:drawing>
      </w:r>
    </w:p>
    <w:p w14:paraId="153ECDCE" w14:textId="77777777" w:rsidR="00DF0067" w:rsidRPr="00327425" w:rsidRDefault="00000000">
      <w:pPr>
        <w:jc w:val="center"/>
        <w:rPr>
          <w:lang w:val="en-US"/>
        </w:rPr>
      </w:pPr>
      <w:r w:rsidRPr="00327425">
        <w:rPr>
          <w:rFonts w:ascii="Times New Roman" w:eastAsia="Times New Roman" w:hAnsi="Times New Roman" w:cs="Times New Roman"/>
          <w:i/>
          <w:lang w:val="en-US"/>
        </w:rPr>
        <w:lastRenderedPageBreak/>
        <w:t>Figure 5. Attempt presentations by month (all years).</w:t>
      </w:r>
    </w:p>
    <w:p w14:paraId="256A24A4" w14:textId="77777777" w:rsidR="00DF0067" w:rsidRDefault="00000000">
      <w:pPr>
        <w:jc w:val="center"/>
      </w:pPr>
      <w:r>
        <w:rPr>
          <w:noProof/>
        </w:rPr>
        <w:drawing>
          <wp:inline distT="0" distB="0" distL="0" distR="0" wp14:anchorId="2EC859A9" wp14:editId="57247079">
            <wp:extent cx="5486400" cy="40534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mpts_by_weekday.png"/>
                    <pic:cNvPicPr/>
                  </pic:nvPicPr>
                  <pic:blipFill>
                    <a:blip r:embed="rId11"/>
                    <a:stretch>
                      <a:fillRect/>
                    </a:stretch>
                  </pic:blipFill>
                  <pic:spPr>
                    <a:xfrm>
                      <a:off x="0" y="0"/>
                      <a:ext cx="5486400" cy="4053419"/>
                    </a:xfrm>
                    <a:prstGeom prst="rect">
                      <a:avLst/>
                    </a:prstGeom>
                  </pic:spPr>
                </pic:pic>
              </a:graphicData>
            </a:graphic>
          </wp:inline>
        </w:drawing>
      </w:r>
    </w:p>
    <w:p w14:paraId="740C6205" w14:textId="77777777" w:rsidR="00DF0067" w:rsidRPr="00327425" w:rsidRDefault="00000000">
      <w:pPr>
        <w:jc w:val="center"/>
        <w:rPr>
          <w:lang w:val="en-US"/>
        </w:rPr>
      </w:pPr>
      <w:r w:rsidRPr="00327425">
        <w:rPr>
          <w:rFonts w:ascii="Times New Roman" w:eastAsia="Times New Roman" w:hAnsi="Times New Roman" w:cs="Times New Roman"/>
          <w:i/>
          <w:lang w:val="en-US"/>
        </w:rPr>
        <w:t>Figure 6. Attempt presentations by day of week.</w:t>
      </w:r>
    </w:p>
    <w:p w14:paraId="1A194DBC" w14:textId="77777777" w:rsidR="00DF0067" w:rsidRDefault="00000000">
      <w:pPr>
        <w:jc w:val="center"/>
      </w:pPr>
      <w:r>
        <w:rPr>
          <w:noProof/>
        </w:rPr>
        <w:lastRenderedPageBreak/>
        <w:drawing>
          <wp:inline distT="0" distB="0" distL="0" distR="0" wp14:anchorId="2BFBC81F" wp14:editId="753911E5">
            <wp:extent cx="5486400" cy="46094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tition_overall.png"/>
                    <pic:cNvPicPr/>
                  </pic:nvPicPr>
                  <pic:blipFill>
                    <a:blip r:embed="rId12"/>
                    <a:stretch>
                      <a:fillRect/>
                    </a:stretch>
                  </pic:blipFill>
                  <pic:spPr>
                    <a:xfrm>
                      <a:off x="0" y="0"/>
                      <a:ext cx="5486400" cy="4609457"/>
                    </a:xfrm>
                    <a:prstGeom prst="rect">
                      <a:avLst/>
                    </a:prstGeom>
                  </pic:spPr>
                </pic:pic>
              </a:graphicData>
            </a:graphic>
          </wp:inline>
        </w:drawing>
      </w:r>
    </w:p>
    <w:p w14:paraId="57C7D8C6" w14:textId="77777777" w:rsidR="00DF0067" w:rsidRPr="00327425" w:rsidRDefault="00000000">
      <w:pPr>
        <w:jc w:val="center"/>
        <w:rPr>
          <w:lang w:val="en-US"/>
        </w:rPr>
      </w:pPr>
      <w:r w:rsidRPr="00327425">
        <w:rPr>
          <w:rFonts w:ascii="Times New Roman" w:eastAsia="Times New Roman" w:hAnsi="Times New Roman" w:cs="Times New Roman"/>
          <w:i/>
          <w:lang w:val="en-US"/>
        </w:rPr>
        <w:t>Figure 7. Same-year repetition (overall).</w:t>
      </w:r>
    </w:p>
    <w:p w14:paraId="28D3F59A" w14:textId="77777777" w:rsidR="00DF0067" w:rsidRDefault="00000000">
      <w:pPr>
        <w:jc w:val="center"/>
      </w:pPr>
      <w:r>
        <w:rPr>
          <w:noProof/>
        </w:rPr>
        <w:lastRenderedPageBreak/>
        <w:drawing>
          <wp:inline distT="0" distB="0" distL="0" distR="0" wp14:anchorId="297066B8" wp14:editId="5821634E">
            <wp:extent cx="5486400" cy="37921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tition_by_sex.png"/>
                    <pic:cNvPicPr/>
                  </pic:nvPicPr>
                  <pic:blipFill>
                    <a:blip r:embed="rId13"/>
                    <a:stretch>
                      <a:fillRect/>
                    </a:stretch>
                  </pic:blipFill>
                  <pic:spPr>
                    <a:xfrm>
                      <a:off x="0" y="0"/>
                      <a:ext cx="5486400" cy="3792136"/>
                    </a:xfrm>
                    <a:prstGeom prst="rect">
                      <a:avLst/>
                    </a:prstGeom>
                  </pic:spPr>
                </pic:pic>
              </a:graphicData>
            </a:graphic>
          </wp:inline>
        </w:drawing>
      </w:r>
    </w:p>
    <w:p w14:paraId="6681EE55" w14:textId="77777777" w:rsidR="00DF0067" w:rsidRPr="00327425" w:rsidRDefault="00000000">
      <w:pPr>
        <w:jc w:val="center"/>
        <w:rPr>
          <w:lang w:val="en-US"/>
        </w:rPr>
      </w:pPr>
      <w:r w:rsidRPr="00327425">
        <w:rPr>
          <w:rFonts w:ascii="Times New Roman" w:eastAsia="Times New Roman" w:hAnsi="Times New Roman" w:cs="Times New Roman"/>
          <w:i/>
          <w:lang w:val="en-US"/>
        </w:rPr>
        <w:t>Figure 8. Same-year repetition rate by sex.</w:t>
      </w:r>
    </w:p>
    <w:p w14:paraId="21A12778"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The registry recorded 4,723 presentations to emergency departments made by 4,274 individuals. The age</w:t>
      </w:r>
      <w:r w:rsidR="002D7E83">
        <w:rPr>
          <w:rFonts w:ascii="Times New Roman" w:hAnsi="Times New Roman" w:cs="Times New Roman"/>
          <w:lang w:val="en-US"/>
        </w:rPr>
        <w:t xml:space="preserve"> </w:t>
      </w:r>
      <w:r w:rsidRPr="007932AD">
        <w:rPr>
          <w:rFonts w:ascii="Times New Roman" w:hAnsi="Times New Roman" w:cs="Times New Roman"/>
          <w:lang w:val="en-US"/>
        </w:rPr>
        <w:t xml:space="preserve">standardized rate of suicide attempts was 140.44 per 100,000. Women accounted for roughly 71.6% of attempts; more than half of presentations involved individuals under 30 years of age, with a concentration among those aged 15–29. </w:t>
      </w:r>
      <w:proofErr w:type="spellStart"/>
      <w:r w:rsidRPr="007932AD">
        <w:rPr>
          <w:rFonts w:ascii="Times New Roman" w:hAnsi="Times New Roman" w:cs="Times New Roman"/>
          <w:lang w:val="en-US"/>
        </w:rPr>
        <w:t>Self</w:t>
      </w:r>
      <w:r w:rsidR="002D7E83">
        <w:rPr>
          <w:rFonts w:ascii="Times New Roman" w:hAnsi="Times New Roman" w:cs="Times New Roman"/>
          <w:lang w:val="en-US"/>
        </w:rPr>
        <w:t xml:space="preserve"> </w:t>
      </w:r>
      <w:r w:rsidRPr="007932AD">
        <w:rPr>
          <w:rFonts w:ascii="Times New Roman" w:hAnsi="Times New Roman" w:cs="Times New Roman"/>
          <w:lang w:val="en-US"/>
        </w:rPr>
        <w:t>poisoning</w:t>
      </w:r>
      <w:proofErr w:type="spellEnd"/>
      <w:r w:rsidRPr="007932AD">
        <w:rPr>
          <w:rFonts w:ascii="Times New Roman" w:hAnsi="Times New Roman" w:cs="Times New Roman"/>
          <w:lang w:val="en-US"/>
        </w:rPr>
        <w:t xml:space="preserve"> with medicines predominated for both sexes; hanging/suffocation was the second most common method among men, and </w:t>
      </w:r>
      <w:proofErr w:type="spellStart"/>
      <w:r w:rsidRPr="007932AD">
        <w:rPr>
          <w:rFonts w:ascii="Times New Roman" w:hAnsi="Times New Roman" w:cs="Times New Roman"/>
          <w:lang w:val="en-US"/>
        </w:rPr>
        <w:t>self</w:t>
      </w:r>
      <w:r w:rsidR="002D7E83">
        <w:rPr>
          <w:rFonts w:ascii="Times New Roman" w:hAnsi="Times New Roman" w:cs="Times New Roman"/>
          <w:lang w:val="en-US"/>
        </w:rPr>
        <w:t xml:space="preserve"> </w:t>
      </w:r>
      <w:r w:rsidRPr="007932AD">
        <w:rPr>
          <w:rFonts w:ascii="Times New Roman" w:hAnsi="Times New Roman" w:cs="Times New Roman"/>
          <w:lang w:val="en-US"/>
        </w:rPr>
        <w:t>cutting</w:t>
      </w:r>
      <w:proofErr w:type="spellEnd"/>
      <w:r w:rsidRPr="007932AD">
        <w:rPr>
          <w:rFonts w:ascii="Times New Roman" w:hAnsi="Times New Roman" w:cs="Times New Roman"/>
          <w:lang w:val="en-US"/>
        </w:rPr>
        <w:t xml:space="preserve"> among women. Temporally, Mondays and Sundays showed slightly higher counts, October was the peak month, and a small dip was observed during winter school</w:t>
      </w:r>
      <w:r w:rsidR="002D7E83">
        <w:rPr>
          <w:rFonts w:ascii="Times New Roman" w:hAnsi="Times New Roman" w:cs="Times New Roman"/>
          <w:lang w:val="en-US"/>
        </w:rPr>
        <w:t xml:space="preserve"> </w:t>
      </w:r>
      <w:r w:rsidRPr="007932AD">
        <w:rPr>
          <w:rFonts w:ascii="Times New Roman" w:hAnsi="Times New Roman" w:cs="Times New Roman"/>
          <w:lang w:val="en-US"/>
        </w:rPr>
        <w:t xml:space="preserve">holiday weeks. Approximately half of individuals had a history of previous attempts; 8.17% repeated within the same year (median 54 days). These patterns align with international literature on methods, repetition risk, and seasonality, while underscoring the need for multiple years of </w:t>
      </w:r>
      <w:r w:rsidRPr="007932AD">
        <w:rPr>
          <w:rFonts w:ascii="Times New Roman" w:hAnsi="Times New Roman" w:cs="Times New Roman"/>
          <w:lang w:val="en-US"/>
        </w:rPr>
        <w:lastRenderedPageBreak/>
        <w:t>observation to confirm cyclical effects and to refine resource planning (Hawton et al., 2016; PAHO, 2018; Valtonen et al., 2006; WHO, 2014, 2016, 2021).</w:t>
      </w:r>
    </w:p>
    <w:p w14:paraId="3E73F259" w14:textId="77777777" w:rsidR="001E6E6F" w:rsidRPr="007932AD" w:rsidRDefault="00000000" w:rsidP="007932AD">
      <w:pPr>
        <w:rPr>
          <w:rFonts w:ascii="Times New Roman" w:hAnsi="Times New Roman" w:cs="Times New Roman"/>
          <w:b/>
          <w:bCs/>
          <w:lang w:val="en-US"/>
        </w:rPr>
      </w:pPr>
      <w:r w:rsidRPr="007932AD">
        <w:rPr>
          <w:rFonts w:ascii="Times New Roman" w:hAnsi="Times New Roman" w:cs="Times New Roman"/>
          <w:b/>
          <w:bCs/>
          <w:lang w:val="en-US"/>
        </w:rPr>
        <w:t>4.6 Synthetic Demonstration Results (</w:t>
      </w:r>
      <w:proofErr w:type="spellStart"/>
      <w:r w:rsidRPr="007932AD">
        <w:rPr>
          <w:rFonts w:ascii="Times New Roman" w:hAnsi="Times New Roman" w:cs="Times New Roman"/>
          <w:b/>
          <w:bCs/>
          <w:lang w:val="en-US"/>
        </w:rPr>
        <w:t>NonClinical</w:t>
      </w:r>
      <w:proofErr w:type="spellEnd"/>
      <w:r w:rsidRPr="007932AD">
        <w:rPr>
          <w:rFonts w:ascii="Times New Roman" w:hAnsi="Times New Roman" w:cs="Times New Roman"/>
          <w:b/>
          <w:bCs/>
          <w:lang w:val="en-US"/>
        </w:rPr>
        <w:t>)</w:t>
      </w:r>
    </w:p>
    <w:p w14:paraId="01250C50"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On the synthetic holdout, both pipelines produced calibrated probabilities that could be converted to </w:t>
      </w:r>
      <w:proofErr w:type="spellStart"/>
      <w:r w:rsidRPr="007932AD">
        <w:rPr>
          <w:rFonts w:ascii="Times New Roman" w:hAnsi="Times New Roman" w:cs="Times New Roman"/>
          <w:lang w:val="en-US"/>
        </w:rPr>
        <w:t>TopK</w:t>
      </w:r>
      <w:proofErr w:type="spellEnd"/>
      <w:r w:rsidRPr="007932AD">
        <w:rPr>
          <w:rFonts w:ascii="Times New Roman" w:hAnsi="Times New Roman" w:cs="Times New Roman"/>
          <w:lang w:val="en-US"/>
        </w:rPr>
        <w:t xml:space="preserve"> queues or </w:t>
      </w:r>
      <w:proofErr w:type="spellStart"/>
      <w:r w:rsidRPr="007932AD">
        <w:rPr>
          <w:rFonts w:ascii="Times New Roman" w:hAnsi="Times New Roman" w:cs="Times New Roman"/>
          <w:lang w:val="en-US"/>
        </w:rPr>
        <w:t>thresholded</w:t>
      </w:r>
      <w:proofErr w:type="spellEnd"/>
      <w:r w:rsidRPr="007932AD">
        <w:rPr>
          <w:rFonts w:ascii="Times New Roman" w:hAnsi="Times New Roman" w:cs="Times New Roman"/>
          <w:lang w:val="en-US"/>
        </w:rPr>
        <w:t xml:space="preserve"> flags. Reliability plots after isotonic calibration approached the diagonal, indicating improved alignment between predicted and observed risk in the synthetic setting. Because all data are simulated, these figures are illustrative; they validate workflow mechanics (feature contract, calibration, threshold selection, and reporting) rather than clinical accuracy (</w:t>
      </w:r>
      <w:proofErr w:type="spellStart"/>
      <w:r w:rsidRPr="007932AD">
        <w:rPr>
          <w:rFonts w:ascii="Times New Roman" w:hAnsi="Times New Roman" w:cs="Times New Roman"/>
          <w:lang w:val="en-US"/>
        </w:rPr>
        <w:t>NiculescuMizil</w:t>
      </w:r>
      <w:proofErr w:type="spellEnd"/>
      <w:r w:rsidRPr="007932AD">
        <w:rPr>
          <w:rFonts w:ascii="Times New Roman" w:hAnsi="Times New Roman" w:cs="Times New Roman"/>
          <w:lang w:val="en-US"/>
        </w:rPr>
        <w:t xml:space="preserve"> &amp; Caruana, 2005; Pedregosa et al., 2011).</w:t>
      </w:r>
    </w:p>
    <w:p w14:paraId="05561396"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 </w:t>
      </w:r>
    </w:p>
    <w:p w14:paraId="523A0FA6" w14:textId="77777777" w:rsidR="001E6E6F" w:rsidRPr="007932AD" w:rsidRDefault="00000000" w:rsidP="007932AD">
      <w:pPr>
        <w:rPr>
          <w:rFonts w:ascii="Times New Roman" w:hAnsi="Times New Roman" w:cs="Times New Roman"/>
          <w:b/>
          <w:bCs/>
          <w:lang w:val="en-US"/>
        </w:rPr>
      </w:pPr>
      <w:r w:rsidRPr="007932AD">
        <w:rPr>
          <w:rFonts w:ascii="Times New Roman" w:hAnsi="Times New Roman" w:cs="Times New Roman"/>
          <w:b/>
          <w:bCs/>
          <w:lang w:val="en-US"/>
        </w:rPr>
        <w:t>5. Discussion</w:t>
      </w:r>
    </w:p>
    <w:p w14:paraId="18773473"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Concept of operations. Used carefully, probability scores can help target limited follow</w:t>
      </w:r>
      <w:r w:rsidR="002D7E83">
        <w:rPr>
          <w:rFonts w:ascii="Times New Roman" w:hAnsi="Times New Roman" w:cs="Times New Roman"/>
          <w:lang w:val="en-US"/>
        </w:rPr>
        <w:t xml:space="preserve"> </w:t>
      </w:r>
      <w:r w:rsidRPr="007932AD">
        <w:rPr>
          <w:rFonts w:ascii="Times New Roman" w:hAnsi="Times New Roman" w:cs="Times New Roman"/>
          <w:lang w:val="en-US"/>
        </w:rPr>
        <w:t>up capacity where the chance of near</w:t>
      </w:r>
      <w:r w:rsidR="002D7E83">
        <w:rPr>
          <w:rFonts w:ascii="Times New Roman" w:hAnsi="Times New Roman" w:cs="Times New Roman"/>
          <w:lang w:val="en-US"/>
        </w:rPr>
        <w:t xml:space="preserve"> </w:t>
      </w:r>
      <w:r w:rsidRPr="007932AD">
        <w:rPr>
          <w:rFonts w:ascii="Times New Roman" w:hAnsi="Times New Roman" w:cs="Times New Roman"/>
          <w:lang w:val="en-US"/>
        </w:rPr>
        <w:t>term repetition is highest, complementing</w:t>
      </w:r>
      <w:r w:rsidR="002D7E83">
        <w:rPr>
          <w:rFonts w:ascii="Times New Roman" w:hAnsi="Times New Roman" w:cs="Times New Roman"/>
          <w:lang w:val="en-US"/>
        </w:rPr>
        <w:t xml:space="preserve">, and thus </w:t>
      </w:r>
      <w:r w:rsidRPr="007932AD">
        <w:rPr>
          <w:rFonts w:ascii="Times New Roman" w:hAnsi="Times New Roman" w:cs="Times New Roman"/>
          <w:lang w:val="en-US"/>
        </w:rPr>
        <w:t>never replacing</w:t>
      </w:r>
      <w:r w:rsidR="002D7E83">
        <w:rPr>
          <w:rFonts w:ascii="Times New Roman" w:hAnsi="Times New Roman" w:cs="Times New Roman"/>
          <w:lang w:val="en-US"/>
        </w:rPr>
        <w:t xml:space="preserve"> </w:t>
      </w:r>
      <w:r w:rsidRPr="007932AD">
        <w:rPr>
          <w:rFonts w:ascii="Times New Roman" w:hAnsi="Times New Roman" w:cs="Times New Roman"/>
          <w:lang w:val="en-US"/>
        </w:rPr>
        <w:t xml:space="preserve">clinical assessment. Two pragmatic patterns are common: (1) </w:t>
      </w:r>
      <w:proofErr w:type="spellStart"/>
      <w:r w:rsidRPr="007932AD">
        <w:rPr>
          <w:rFonts w:ascii="Times New Roman" w:hAnsi="Times New Roman" w:cs="Times New Roman"/>
          <w:lang w:val="en-US"/>
        </w:rPr>
        <w:t>TopK</w:t>
      </w:r>
      <w:proofErr w:type="spellEnd"/>
      <w:r w:rsidRPr="007932AD">
        <w:rPr>
          <w:rFonts w:ascii="Times New Roman" w:hAnsi="Times New Roman" w:cs="Times New Roman"/>
          <w:lang w:val="en-US"/>
        </w:rPr>
        <w:t xml:space="preserve"> daily triage lists sized to staff capacity; and (2) calibrated thresholds tuned to achieve service goals (e.g., target precision to limit false positives or target recall to capture most representers). Thresholds should be re</w:t>
      </w:r>
      <w:r w:rsidR="002D7E83">
        <w:rPr>
          <w:rFonts w:ascii="Times New Roman" w:hAnsi="Times New Roman" w:cs="Times New Roman"/>
          <w:lang w:val="en-US"/>
        </w:rPr>
        <w:t xml:space="preserve"> </w:t>
      </w:r>
      <w:r w:rsidRPr="007932AD">
        <w:rPr>
          <w:rFonts w:ascii="Times New Roman" w:hAnsi="Times New Roman" w:cs="Times New Roman"/>
          <w:lang w:val="en-US"/>
        </w:rPr>
        <w:t>estimated periodically as coverage and prevalence shift.</w:t>
      </w:r>
    </w:p>
    <w:p w14:paraId="3023CB89"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Governance and safety. Any application to real persons requires (</w:t>
      </w:r>
      <w:proofErr w:type="spellStart"/>
      <w:r w:rsidRPr="007932AD">
        <w:rPr>
          <w:rFonts w:ascii="Times New Roman" w:hAnsi="Times New Roman" w:cs="Times New Roman"/>
          <w:lang w:val="en-US"/>
        </w:rPr>
        <w:t>i</w:t>
      </w:r>
      <w:proofErr w:type="spellEnd"/>
      <w:r w:rsidRPr="007932AD">
        <w:rPr>
          <w:rFonts w:ascii="Times New Roman" w:hAnsi="Times New Roman" w:cs="Times New Roman"/>
          <w:lang w:val="en-US"/>
        </w:rPr>
        <w:t>) prospective validation on registry data with time</w:t>
      </w:r>
      <w:r w:rsidR="002D7E83">
        <w:rPr>
          <w:rFonts w:ascii="Times New Roman" w:hAnsi="Times New Roman" w:cs="Times New Roman"/>
          <w:lang w:val="en-US"/>
        </w:rPr>
        <w:t xml:space="preserve"> </w:t>
      </w:r>
      <w:r w:rsidRPr="007932AD">
        <w:rPr>
          <w:rFonts w:ascii="Times New Roman" w:hAnsi="Times New Roman" w:cs="Times New Roman"/>
          <w:lang w:val="en-US"/>
        </w:rPr>
        <w:t>aware splits; (ii) calibration monitoring and periodic recalibration; (iii) fairness review across sex and age strata and by attempt method; (iv) transparent model documentation and immutable audit logs; and (v) explicit articulation of the tradeoffs between false negatives (missed representations) and false positives (additional outreach) (</w:t>
      </w:r>
      <w:proofErr w:type="spellStart"/>
      <w:r w:rsidRPr="007932AD">
        <w:rPr>
          <w:rFonts w:ascii="Times New Roman" w:hAnsi="Times New Roman" w:cs="Times New Roman"/>
          <w:lang w:val="en-US"/>
        </w:rPr>
        <w:t>NiculescuMizil</w:t>
      </w:r>
      <w:proofErr w:type="spellEnd"/>
      <w:r w:rsidRPr="007932AD">
        <w:rPr>
          <w:rFonts w:ascii="Times New Roman" w:hAnsi="Times New Roman" w:cs="Times New Roman"/>
          <w:lang w:val="en-US"/>
        </w:rPr>
        <w:t xml:space="preserve"> </w:t>
      </w:r>
      <w:r w:rsidRPr="007932AD">
        <w:rPr>
          <w:rFonts w:ascii="Times New Roman" w:hAnsi="Times New Roman" w:cs="Times New Roman"/>
          <w:lang w:val="en-US"/>
        </w:rPr>
        <w:lastRenderedPageBreak/>
        <w:t>&amp; Caruana, 2005; WHO, 2017; Zadrozny &amp; Elkan, 2002). Decisions remain with licensed clinicians under national law and guidelines (MSP, 2017, 2020, 2024).</w:t>
      </w:r>
    </w:p>
    <w:p w14:paraId="6844239B"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Limitations. The demonstration uses synthetic data; no claims are made about </w:t>
      </w:r>
      <w:proofErr w:type="spellStart"/>
      <w:r w:rsidRPr="007932AD">
        <w:rPr>
          <w:rFonts w:ascii="Times New Roman" w:hAnsi="Times New Roman" w:cs="Times New Roman"/>
          <w:lang w:val="en-US"/>
        </w:rPr>
        <w:t>realworld</w:t>
      </w:r>
      <w:proofErr w:type="spellEnd"/>
      <w:r w:rsidRPr="007932AD">
        <w:rPr>
          <w:rFonts w:ascii="Times New Roman" w:hAnsi="Times New Roman" w:cs="Times New Roman"/>
          <w:lang w:val="en-US"/>
        </w:rPr>
        <w:t xml:space="preserve"> performance. The outcome</w:t>
      </w:r>
      <w:r w:rsidR="00DC7DB5">
        <w:rPr>
          <w:rFonts w:ascii="Times New Roman" w:hAnsi="Times New Roman" w:cs="Times New Roman"/>
          <w:lang w:val="en-US"/>
        </w:rPr>
        <w:t xml:space="preserve">, </w:t>
      </w:r>
      <w:r w:rsidRPr="007932AD">
        <w:rPr>
          <w:rFonts w:ascii="Times New Roman" w:hAnsi="Times New Roman" w:cs="Times New Roman"/>
          <w:lang w:val="en-US"/>
        </w:rPr>
        <w:t>same</w:t>
      </w:r>
      <w:r w:rsidR="00DC7DB5">
        <w:rPr>
          <w:rFonts w:ascii="Times New Roman" w:hAnsi="Times New Roman" w:cs="Times New Roman"/>
          <w:lang w:val="en-US"/>
        </w:rPr>
        <w:t xml:space="preserve"> </w:t>
      </w:r>
      <w:r w:rsidRPr="007932AD">
        <w:rPr>
          <w:rFonts w:ascii="Times New Roman" w:hAnsi="Times New Roman" w:cs="Times New Roman"/>
          <w:lang w:val="en-US"/>
        </w:rPr>
        <w:t>year repetition</w:t>
      </w:r>
      <w:r w:rsidR="00DC7DB5">
        <w:rPr>
          <w:rFonts w:ascii="Times New Roman" w:hAnsi="Times New Roman" w:cs="Times New Roman"/>
          <w:lang w:val="en-US"/>
        </w:rPr>
        <w:t xml:space="preserve">, </w:t>
      </w:r>
      <w:r w:rsidRPr="007932AD">
        <w:rPr>
          <w:rFonts w:ascii="Times New Roman" w:hAnsi="Times New Roman" w:cs="Times New Roman"/>
          <w:lang w:val="en-US"/>
        </w:rPr>
        <w:t>is a proxy; operational deployments may prefer 30 or 90day endpoints or time</w:t>
      </w:r>
      <w:r w:rsidR="00DC7DB5">
        <w:rPr>
          <w:rFonts w:ascii="Times New Roman" w:hAnsi="Times New Roman" w:cs="Times New Roman"/>
          <w:lang w:val="en-US"/>
        </w:rPr>
        <w:t xml:space="preserve"> </w:t>
      </w:r>
      <w:r w:rsidRPr="007932AD">
        <w:rPr>
          <w:rFonts w:ascii="Times New Roman" w:hAnsi="Times New Roman" w:cs="Times New Roman"/>
          <w:lang w:val="en-US"/>
        </w:rPr>
        <w:t>to</w:t>
      </w:r>
      <w:r w:rsidR="00DC7DB5">
        <w:rPr>
          <w:rFonts w:ascii="Times New Roman" w:hAnsi="Times New Roman" w:cs="Times New Roman"/>
          <w:lang w:val="en-US"/>
        </w:rPr>
        <w:t xml:space="preserve"> </w:t>
      </w:r>
      <w:r w:rsidRPr="007932AD">
        <w:rPr>
          <w:rFonts w:ascii="Times New Roman" w:hAnsi="Times New Roman" w:cs="Times New Roman"/>
          <w:lang w:val="en-US"/>
        </w:rPr>
        <w:t>event models. Early under</w:t>
      </w:r>
      <w:r w:rsidR="00DC7DB5">
        <w:rPr>
          <w:rFonts w:ascii="Times New Roman" w:hAnsi="Times New Roman" w:cs="Times New Roman"/>
          <w:lang w:val="en-US"/>
        </w:rPr>
        <w:t xml:space="preserve"> </w:t>
      </w:r>
      <w:r w:rsidRPr="007932AD">
        <w:rPr>
          <w:rFonts w:ascii="Times New Roman" w:hAnsi="Times New Roman" w:cs="Times New Roman"/>
          <w:lang w:val="en-US"/>
        </w:rPr>
        <w:t xml:space="preserve">ascertainment in a new registry can bias both the estimated prevalence and the label distribution; calibration and thresholds must be reestablished when coverage stabilizes. Finally, </w:t>
      </w:r>
      <w:r w:rsidR="00DC7DB5">
        <w:rPr>
          <w:rFonts w:ascii="Times New Roman" w:hAnsi="Times New Roman" w:cs="Times New Roman"/>
          <w:lang w:val="en-US"/>
        </w:rPr>
        <w:t xml:space="preserve">no </w:t>
      </w:r>
      <w:r w:rsidRPr="007932AD">
        <w:rPr>
          <w:rFonts w:ascii="Times New Roman" w:hAnsi="Times New Roman" w:cs="Times New Roman"/>
          <w:lang w:val="en-US"/>
        </w:rPr>
        <w:t>diagnoses, clinical severity, or medication detail</w:t>
      </w:r>
      <w:r w:rsidR="00DC7DB5">
        <w:rPr>
          <w:rFonts w:ascii="Times New Roman" w:hAnsi="Times New Roman" w:cs="Times New Roman"/>
          <w:lang w:val="en-US"/>
        </w:rPr>
        <w:t xml:space="preserve"> are included, as</w:t>
      </w:r>
      <w:r w:rsidRPr="007932AD">
        <w:rPr>
          <w:rFonts w:ascii="Times New Roman" w:hAnsi="Times New Roman" w:cs="Times New Roman"/>
          <w:lang w:val="en-US"/>
        </w:rPr>
        <w:t xml:space="preserve"> adding these requires a lawful basis and careful privacy design.</w:t>
      </w:r>
    </w:p>
    <w:p w14:paraId="1916CD2C" w14:textId="77777777" w:rsidR="00DC7DB5" w:rsidRDefault="00DC7DB5">
      <w:pPr>
        <w:rPr>
          <w:rFonts w:ascii="Times New Roman" w:hAnsi="Times New Roman" w:cs="Times New Roman"/>
          <w:b/>
          <w:bCs/>
          <w:lang w:val="en-US"/>
        </w:rPr>
      </w:pPr>
      <w:r>
        <w:rPr>
          <w:rFonts w:ascii="Times New Roman" w:hAnsi="Times New Roman" w:cs="Times New Roman"/>
          <w:b/>
          <w:bCs/>
          <w:lang w:val="en-US"/>
        </w:rPr>
        <w:br w:type="page"/>
      </w:r>
    </w:p>
    <w:p w14:paraId="1AC9DEFD" w14:textId="77777777" w:rsidR="001E6E6F" w:rsidRPr="007932AD" w:rsidRDefault="00000000" w:rsidP="007932AD">
      <w:pPr>
        <w:rPr>
          <w:rFonts w:ascii="Times New Roman" w:hAnsi="Times New Roman" w:cs="Times New Roman"/>
          <w:b/>
          <w:bCs/>
          <w:lang w:val="en-US"/>
        </w:rPr>
      </w:pPr>
      <w:r w:rsidRPr="007932AD">
        <w:rPr>
          <w:rFonts w:ascii="Times New Roman" w:hAnsi="Times New Roman" w:cs="Times New Roman"/>
          <w:b/>
          <w:bCs/>
          <w:lang w:val="en-US"/>
        </w:rPr>
        <w:lastRenderedPageBreak/>
        <w:t>6. Conclusions</w:t>
      </w:r>
    </w:p>
    <w:p w14:paraId="4D7C46C2"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Uruguay’s real</w:t>
      </w:r>
      <w:r w:rsidR="00DC7DB5">
        <w:rPr>
          <w:rFonts w:ascii="Times New Roman" w:hAnsi="Times New Roman" w:cs="Times New Roman"/>
          <w:lang w:val="en-US"/>
        </w:rPr>
        <w:t xml:space="preserve"> </w:t>
      </w:r>
      <w:r w:rsidRPr="007932AD">
        <w:rPr>
          <w:rFonts w:ascii="Times New Roman" w:hAnsi="Times New Roman" w:cs="Times New Roman"/>
          <w:lang w:val="en-US"/>
        </w:rPr>
        <w:t>time registry has strengthened the ability to monitor suicide attempts, understand repetition, and inform policy in near</w:t>
      </w:r>
      <w:r w:rsidR="00DC7DB5">
        <w:rPr>
          <w:rFonts w:ascii="Times New Roman" w:hAnsi="Times New Roman" w:cs="Times New Roman"/>
          <w:lang w:val="en-US"/>
        </w:rPr>
        <w:t xml:space="preserve"> </w:t>
      </w:r>
      <w:r w:rsidRPr="007932AD">
        <w:rPr>
          <w:rFonts w:ascii="Times New Roman" w:hAnsi="Times New Roman" w:cs="Times New Roman"/>
          <w:lang w:val="en-US"/>
        </w:rPr>
        <w:t>real time. The synthetic supervised prototype demonstrates a feasible path to calibrated, auditable risk</w:t>
      </w:r>
      <w:r w:rsidR="00DC7DB5">
        <w:rPr>
          <w:rFonts w:ascii="Times New Roman" w:hAnsi="Times New Roman" w:cs="Times New Roman"/>
          <w:lang w:val="en-US"/>
        </w:rPr>
        <w:t xml:space="preserve"> </w:t>
      </w:r>
      <w:r w:rsidRPr="007932AD">
        <w:rPr>
          <w:rFonts w:ascii="Times New Roman" w:hAnsi="Times New Roman" w:cs="Times New Roman"/>
          <w:lang w:val="en-US"/>
        </w:rPr>
        <w:t>informed follow</w:t>
      </w:r>
      <w:r w:rsidR="00DC7DB5">
        <w:rPr>
          <w:rFonts w:ascii="Times New Roman" w:hAnsi="Times New Roman" w:cs="Times New Roman"/>
          <w:lang w:val="en-US"/>
        </w:rPr>
        <w:t xml:space="preserve"> </w:t>
      </w:r>
      <w:r w:rsidRPr="007932AD">
        <w:rPr>
          <w:rFonts w:ascii="Times New Roman" w:hAnsi="Times New Roman" w:cs="Times New Roman"/>
          <w:lang w:val="en-US"/>
        </w:rPr>
        <w:t>up</w:t>
      </w:r>
      <w:r w:rsidR="007932AD">
        <w:rPr>
          <w:rFonts w:ascii="Times New Roman" w:hAnsi="Times New Roman" w:cs="Times New Roman"/>
          <w:lang w:val="en-US"/>
        </w:rPr>
        <w:t xml:space="preserve">, </w:t>
      </w:r>
      <w:r w:rsidRPr="007932AD">
        <w:rPr>
          <w:rFonts w:ascii="Times New Roman" w:hAnsi="Times New Roman" w:cs="Times New Roman"/>
          <w:lang w:val="en-US"/>
        </w:rPr>
        <w:t>provided that any real</w:t>
      </w:r>
      <w:r w:rsidR="00DC7DB5">
        <w:rPr>
          <w:rFonts w:ascii="Times New Roman" w:hAnsi="Times New Roman" w:cs="Times New Roman"/>
          <w:lang w:val="en-US"/>
        </w:rPr>
        <w:t xml:space="preserve"> </w:t>
      </w:r>
      <w:r w:rsidRPr="007932AD">
        <w:rPr>
          <w:rFonts w:ascii="Times New Roman" w:hAnsi="Times New Roman" w:cs="Times New Roman"/>
          <w:lang w:val="en-US"/>
        </w:rPr>
        <w:t xml:space="preserve">data deployment is preceded by rigorous validation, fairness and calibration monitoring, and </w:t>
      </w:r>
      <w:r w:rsidR="00DC7DB5">
        <w:rPr>
          <w:rFonts w:ascii="Times New Roman" w:hAnsi="Times New Roman" w:cs="Times New Roman"/>
          <w:lang w:val="en-US"/>
        </w:rPr>
        <w:t>human controlled</w:t>
      </w:r>
      <w:r w:rsidRPr="007932AD">
        <w:rPr>
          <w:rFonts w:ascii="Times New Roman" w:hAnsi="Times New Roman" w:cs="Times New Roman"/>
          <w:lang w:val="en-US"/>
        </w:rPr>
        <w:t xml:space="preserve"> safeguards. With these guardrails, the registry can underpin a continuous improvement cycle linking surveillance, prioritized follow</w:t>
      </w:r>
      <w:r w:rsidR="00DC7DB5">
        <w:rPr>
          <w:rFonts w:ascii="Times New Roman" w:hAnsi="Times New Roman" w:cs="Times New Roman"/>
          <w:lang w:val="en-US"/>
        </w:rPr>
        <w:t xml:space="preserve"> </w:t>
      </w:r>
      <w:r w:rsidRPr="007932AD">
        <w:rPr>
          <w:rFonts w:ascii="Times New Roman" w:hAnsi="Times New Roman" w:cs="Times New Roman"/>
          <w:lang w:val="en-US"/>
        </w:rPr>
        <w:t>up, and evaluation.</w:t>
      </w:r>
    </w:p>
    <w:p w14:paraId="33B358D1" w14:textId="77777777" w:rsidR="001E6E6F" w:rsidRPr="007932AD" w:rsidRDefault="00000000" w:rsidP="007932AD">
      <w:pPr>
        <w:rPr>
          <w:rFonts w:ascii="Times New Roman" w:hAnsi="Times New Roman" w:cs="Times New Roman"/>
          <w:b/>
          <w:bCs/>
          <w:lang w:val="en-US"/>
        </w:rPr>
      </w:pPr>
      <w:r w:rsidRPr="007932AD">
        <w:rPr>
          <w:rFonts w:ascii="Times New Roman" w:hAnsi="Times New Roman" w:cs="Times New Roman"/>
          <w:b/>
          <w:bCs/>
          <w:lang w:val="en-US"/>
        </w:rPr>
        <w:t>References (APA)</w:t>
      </w:r>
    </w:p>
    <w:p w14:paraId="026329B0"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Benson, R., Rigby, J., Brunsdon, C., Cully, G., Too, L., &amp; Arensman, E. (2022). Quantitative methods to detect suicide and </w:t>
      </w:r>
      <w:proofErr w:type="spellStart"/>
      <w:r w:rsidRPr="007932AD">
        <w:rPr>
          <w:rFonts w:ascii="Times New Roman" w:hAnsi="Times New Roman" w:cs="Times New Roman"/>
          <w:lang w:val="en-US"/>
        </w:rPr>
        <w:t>selfharm</w:t>
      </w:r>
      <w:proofErr w:type="spellEnd"/>
      <w:r w:rsidRPr="007932AD">
        <w:rPr>
          <w:rFonts w:ascii="Times New Roman" w:hAnsi="Times New Roman" w:cs="Times New Roman"/>
          <w:lang w:val="en-US"/>
        </w:rPr>
        <w:t xml:space="preserve"> clusters: A systematic review. International Journal of Environmental Research and Public Health, 19(9), 5313.</w:t>
      </w:r>
    </w:p>
    <w:p w14:paraId="3142FDA9"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Bostwick, J. M., Pabbati, C., Geske, J. R., &amp; McKean, A. R. (2016). Suicide attempt as a risk factor for completed suicide: Even more lethal than we knew. American Journal of Psychiatry, 173(11), 1094–1100.</w:t>
      </w:r>
    </w:p>
    <w:p w14:paraId="720A0320"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Harris, C. R., Millman, K. J., van der Walt, S. J., </w:t>
      </w:r>
      <w:proofErr w:type="spellStart"/>
      <w:r w:rsidRPr="007932AD">
        <w:rPr>
          <w:rFonts w:ascii="Times New Roman" w:hAnsi="Times New Roman" w:cs="Times New Roman"/>
          <w:lang w:val="en-US"/>
        </w:rPr>
        <w:t>Gommers</w:t>
      </w:r>
      <w:proofErr w:type="spellEnd"/>
      <w:r w:rsidRPr="007932AD">
        <w:rPr>
          <w:rFonts w:ascii="Times New Roman" w:hAnsi="Times New Roman" w:cs="Times New Roman"/>
          <w:lang w:val="en-US"/>
        </w:rPr>
        <w:t xml:space="preserve">, R., Virtanen, P., </w:t>
      </w:r>
      <w:proofErr w:type="spellStart"/>
      <w:r w:rsidRPr="007932AD">
        <w:rPr>
          <w:rFonts w:ascii="Times New Roman" w:hAnsi="Times New Roman" w:cs="Times New Roman"/>
          <w:lang w:val="en-US"/>
        </w:rPr>
        <w:t>Cournapeau</w:t>
      </w:r>
      <w:proofErr w:type="spellEnd"/>
      <w:r w:rsidRPr="007932AD">
        <w:rPr>
          <w:rFonts w:ascii="Times New Roman" w:hAnsi="Times New Roman" w:cs="Times New Roman"/>
          <w:lang w:val="en-US"/>
        </w:rPr>
        <w:t xml:space="preserve">, D., … </w:t>
      </w:r>
      <w:r w:rsidRPr="00327425">
        <w:rPr>
          <w:rFonts w:ascii="Times New Roman" w:hAnsi="Times New Roman" w:cs="Times New Roman"/>
          <w:lang w:val="en-US"/>
        </w:rPr>
        <w:t xml:space="preserve">Oliphant, T. E. (2020). </w:t>
      </w:r>
      <w:r w:rsidRPr="007932AD">
        <w:rPr>
          <w:rFonts w:ascii="Times New Roman" w:hAnsi="Times New Roman" w:cs="Times New Roman"/>
          <w:lang w:val="en-US"/>
        </w:rPr>
        <w:t>Array programming with NumPy. Nature, 585(7825), 357–362.</w:t>
      </w:r>
    </w:p>
    <w:p w14:paraId="0526E574"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Hawton, K., Witt, K. G., Salisbury, T. L., Arensman, E., Gunnell, D., Hazell, P., Townsend, E., &amp; van </w:t>
      </w:r>
      <w:proofErr w:type="spellStart"/>
      <w:r w:rsidRPr="007932AD">
        <w:rPr>
          <w:rFonts w:ascii="Times New Roman" w:hAnsi="Times New Roman" w:cs="Times New Roman"/>
          <w:lang w:val="en-US"/>
        </w:rPr>
        <w:t>Heeringen</w:t>
      </w:r>
      <w:proofErr w:type="spellEnd"/>
      <w:r w:rsidRPr="007932AD">
        <w:rPr>
          <w:rFonts w:ascii="Times New Roman" w:hAnsi="Times New Roman" w:cs="Times New Roman"/>
          <w:lang w:val="en-US"/>
        </w:rPr>
        <w:t xml:space="preserve">, K. (2016). Psychosocial interventions following </w:t>
      </w:r>
      <w:proofErr w:type="spellStart"/>
      <w:r w:rsidRPr="007932AD">
        <w:rPr>
          <w:rFonts w:ascii="Times New Roman" w:hAnsi="Times New Roman" w:cs="Times New Roman"/>
          <w:lang w:val="en-US"/>
        </w:rPr>
        <w:t>selfharm</w:t>
      </w:r>
      <w:proofErr w:type="spellEnd"/>
      <w:r w:rsidRPr="007932AD">
        <w:rPr>
          <w:rFonts w:ascii="Times New Roman" w:hAnsi="Times New Roman" w:cs="Times New Roman"/>
          <w:lang w:val="en-US"/>
        </w:rPr>
        <w:t xml:space="preserve"> in adults: A systematic review and </w:t>
      </w:r>
      <w:proofErr w:type="spellStart"/>
      <w:r w:rsidRPr="007932AD">
        <w:rPr>
          <w:rFonts w:ascii="Times New Roman" w:hAnsi="Times New Roman" w:cs="Times New Roman"/>
          <w:lang w:val="en-US"/>
        </w:rPr>
        <w:t>metaanalysis</w:t>
      </w:r>
      <w:proofErr w:type="spellEnd"/>
      <w:r w:rsidRPr="007932AD">
        <w:rPr>
          <w:rFonts w:ascii="Times New Roman" w:hAnsi="Times New Roman" w:cs="Times New Roman"/>
          <w:lang w:val="en-US"/>
        </w:rPr>
        <w:t>. The Lancet Psychiatry, 3(8), 740–750.</w:t>
      </w:r>
    </w:p>
    <w:p w14:paraId="403D4C50"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McKinney, W. (2010). Data structures for statistical computing in Python. In Proceedings of the 9th Python in Science Conference (SciPy 2010) (pp. 51–56).</w:t>
      </w:r>
    </w:p>
    <w:p w14:paraId="0AA5633F" w14:textId="77777777" w:rsidR="001E6E6F" w:rsidRPr="007932AD" w:rsidRDefault="00000000" w:rsidP="007932AD">
      <w:pPr>
        <w:rPr>
          <w:rFonts w:ascii="Times New Roman" w:hAnsi="Times New Roman" w:cs="Times New Roman"/>
          <w:lang w:val="en-US"/>
        </w:rPr>
      </w:pPr>
      <w:proofErr w:type="spellStart"/>
      <w:r w:rsidRPr="007932AD">
        <w:rPr>
          <w:rFonts w:ascii="Times New Roman" w:hAnsi="Times New Roman" w:cs="Times New Roman"/>
          <w:lang w:val="en-US"/>
        </w:rPr>
        <w:lastRenderedPageBreak/>
        <w:t>Ministerio</w:t>
      </w:r>
      <w:proofErr w:type="spellEnd"/>
      <w:r w:rsidRPr="007932AD">
        <w:rPr>
          <w:rFonts w:ascii="Times New Roman" w:hAnsi="Times New Roman" w:cs="Times New Roman"/>
          <w:lang w:val="en-US"/>
        </w:rPr>
        <w:t xml:space="preserve"> de Salud Pública. (2017). </w:t>
      </w:r>
      <w:proofErr w:type="spellStart"/>
      <w:r w:rsidRPr="007932AD">
        <w:rPr>
          <w:rFonts w:ascii="Times New Roman" w:hAnsi="Times New Roman" w:cs="Times New Roman"/>
          <w:lang w:val="en-US"/>
        </w:rPr>
        <w:t>Protocolo</w:t>
      </w:r>
      <w:proofErr w:type="spellEnd"/>
      <w:r w:rsidRPr="007932AD">
        <w:rPr>
          <w:rFonts w:ascii="Times New Roman" w:hAnsi="Times New Roman" w:cs="Times New Roman"/>
          <w:lang w:val="en-US"/>
        </w:rPr>
        <w:t xml:space="preserve"> de </w:t>
      </w:r>
      <w:proofErr w:type="spellStart"/>
      <w:r w:rsidRPr="007932AD">
        <w:rPr>
          <w:rFonts w:ascii="Times New Roman" w:hAnsi="Times New Roman" w:cs="Times New Roman"/>
          <w:lang w:val="en-US"/>
        </w:rPr>
        <w:t>atención</w:t>
      </w:r>
      <w:proofErr w:type="spellEnd"/>
      <w:r w:rsidRPr="007932AD">
        <w:rPr>
          <w:rFonts w:ascii="Times New Roman" w:hAnsi="Times New Roman" w:cs="Times New Roman"/>
          <w:lang w:val="en-US"/>
        </w:rPr>
        <w:t xml:space="preserve"> y </w:t>
      </w:r>
      <w:proofErr w:type="spellStart"/>
      <w:r w:rsidRPr="007932AD">
        <w:rPr>
          <w:rFonts w:ascii="Times New Roman" w:hAnsi="Times New Roman" w:cs="Times New Roman"/>
          <w:lang w:val="en-US"/>
        </w:rPr>
        <w:t>seguimiento</w:t>
      </w:r>
      <w:proofErr w:type="spellEnd"/>
      <w:r w:rsidRPr="007932AD">
        <w:rPr>
          <w:rFonts w:ascii="Times New Roman" w:hAnsi="Times New Roman" w:cs="Times New Roman"/>
          <w:lang w:val="en-US"/>
        </w:rPr>
        <w:t xml:space="preserve"> a las personas con </w:t>
      </w:r>
      <w:proofErr w:type="spellStart"/>
      <w:r w:rsidRPr="007932AD">
        <w:rPr>
          <w:rFonts w:ascii="Times New Roman" w:hAnsi="Times New Roman" w:cs="Times New Roman"/>
          <w:lang w:val="en-US"/>
        </w:rPr>
        <w:t>intento</w:t>
      </w:r>
      <w:proofErr w:type="spellEnd"/>
      <w:r w:rsidRPr="007932AD">
        <w:rPr>
          <w:rFonts w:ascii="Times New Roman" w:hAnsi="Times New Roman" w:cs="Times New Roman"/>
          <w:lang w:val="en-US"/>
        </w:rPr>
        <w:t xml:space="preserve"> de </w:t>
      </w:r>
      <w:proofErr w:type="spellStart"/>
      <w:r w:rsidRPr="007932AD">
        <w:rPr>
          <w:rFonts w:ascii="Times New Roman" w:hAnsi="Times New Roman" w:cs="Times New Roman"/>
          <w:lang w:val="en-US"/>
        </w:rPr>
        <w:t>autoeliminación</w:t>
      </w:r>
      <w:proofErr w:type="spellEnd"/>
      <w:r w:rsidRPr="007932AD">
        <w:rPr>
          <w:rFonts w:ascii="Times New Roman" w:hAnsi="Times New Roman" w:cs="Times New Roman"/>
          <w:lang w:val="en-US"/>
        </w:rPr>
        <w:t xml:space="preserve"> </w:t>
      </w:r>
      <w:proofErr w:type="spellStart"/>
      <w:r w:rsidRPr="007932AD">
        <w:rPr>
          <w:rFonts w:ascii="Times New Roman" w:hAnsi="Times New Roman" w:cs="Times New Roman"/>
          <w:lang w:val="en-US"/>
        </w:rPr>
        <w:t>en</w:t>
      </w:r>
      <w:proofErr w:type="spellEnd"/>
      <w:r w:rsidRPr="007932AD">
        <w:rPr>
          <w:rFonts w:ascii="Times New Roman" w:hAnsi="Times New Roman" w:cs="Times New Roman"/>
          <w:lang w:val="en-US"/>
        </w:rPr>
        <w:t xml:space="preserve"> </w:t>
      </w:r>
      <w:proofErr w:type="spellStart"/>
      <w:r w:rsidRPr="007932AD">
        <w:rPr>
          <w:rFonts w:ascii="Times New Roman" w:hAnsi="Times New Roman" w:cs="Times New Roman"/>
          <w:lang w:val="en-US"/>
        </w:rPr>
        <w:t>el</w:t>
      </w:r>
      <w:proofErr w:type="spellEnd"/>
      <w:r w:rsidRPr="007932AD">
        <w:rPr>
          <w:rFonts w:ascii="Times New Roman" w:hAnsi="Times New Roman" w:cs="Times New Roman"/>
          <w:lang w:val="en-US"/>
        </w:rPr>
        <w:t xml:space="preserve"> SNIS.</w:t>
      </w:r>
    </w:p>
    <w:p w14:paraId="05DD149F" w14:textId="77777777" w:rsidR="001E6E6F" w:rsidRPr="007932AD" w:rsidRDefault="00000000" w:rsidP="007932AD">
      <w:pPr>
        <w:rPr>
          <w:rFonts w:ascii="Times New Roman" w:hAnsi="Times New Roman" w:cs="Times New Roman"/>
        </w:rPr>
      </w:pPr>
      <w:proofErr w:type="spellStart"/>
      <w:r w:rsidRPr="007932AD">
        <w:rPr>
          <w:rFonts w:ascii="Times New Roman" w:hAnsi="Times New Roman" w:cs="Times New Roman"/>
          <w:lang w:val="en-US"/>
        </w:rPr>
        <w:t>Ministerio</w:t>
      </w:r>
      <w:proofErr w:type="spellEnd"/>
      <w:r w:rsidRPr="007932AD">
        <w:rPr>
          <w:rFonts w:ascii="Times New Roman" w:hAnsi="Times New Roman" w:cs="Times New Roman"/>
          <w:lang w:val="en-US"/>
        </w:rPr>
        <w:t xml:space="preserve"> de Salud Pública. </w:t>
      </w:r>
      <w:r w:rsidRPr="007932AD">
        <w:rPr>
          <w:rFonts w:ascii="Times New Roman" w:hAnsi="Times New Roman" w:cs="Times New Roman"/>
        </w:rPr>
        <w:t xml:space="preserve">(2020). Plan </w:t>
      </w:r>
      <w:proofErr w:type="spellStart"/>
      <w:r w:rsidRPr="007932AD">
        <w:rPr>
          <w:rFonts w:ascii="Times New Roman" w:hAnsi="Times New Roman" w:cs="Times New Roman"/>
        </w:rPr>
        <w:t>Nacional</w:t>
      </w:r>
      <w:proofErr w:type="spellEnd"/>
      <w:r w:rsidRPr="007932AD">
        <w:rPr>
          <w:rFonts w:ascii="Times New Roman" w:hAnsi="Times New Roman" w:cs="Times New Roman"/>
        </w:rPr>
        <w:t xml:space="preserve"> de </w:t>
      </w:r>
      <w:proofErr w:type="spellStart"/>
      <w:r w:rsidRPr="007932AD">
        <w:rPr>
          <w:rFonts w:ascii="Times New Roman" w:hAnsi="Times New Roman" w:cs="Times New Roman"/>
        </w:rPr>
        <w:t>Salud</w:t>
      </w:r>
      <w:proofErr w:type="spellEnd"/>
      <w:r w:rsidRPr="007932AD">
        <w:rPr>
          <w:rFonts w:ascii="Times New Roman" w:hAnsi="Times New Roman" w:cs="Times New Roman"/>
        </w:rPr>
        <w:t xml:space="preserve"> Mental 2020–2027.</w:t>
      </w:r>
    </w:p>
    <w:p w14:paraId="0D6CDC1A" w14:textId="77777777" w:rsidR="001E6E6F" w:rsidRPr="007932AD" w:rsidRDefault="00000000" w:rsidP="007932AD">
      <w:pPr>
        <w:rPr>
          <w:rFonts w:ascii="Times New Roman" w:hAnsi="Times New Roman" w:cs="Times New Roman"/>
          <w:lang w:val="en-US"/>
        </w:rPr>
      </w:pPr>
      <w:proofErr w:type="spellStart"/>
      <w:r w:rsidRPr="007932AD">
        <w:rPr>
          <w:rFonts w:ascii="Times New Roman" w:hAnsi="Times New Roman" w:cs="Times New Roman"/>
          <w:lang w:val="en-US"/>
        </w:rPr>
        <w:t>Ministerio</w:t>
      </w:r>
      <w:proofErr w:type="spellEnd"/>
      <w:r w:rsidRPr="007932AD">
        <w:rPr>
          <w:rFonts w:ascii="Times New Roman" w:hAnsi="Times New Roman" w:cs="Times New Roman"/>
          <w:lang w:val="en-US"/>
        </w:rPr>
        <w:t xml:space="preserve"> de Salud Pública. (2024). Guía de </w:t>
      </w:r>
      <w:proofErr w:type="spellStart"/>
      <w:r w:rsidRPr="007932AD">
        <w:rPr>
          <w:rFonts w:ascii="Times New Roman" w:hAnsi="Times New Roman" w:cs="Times New Roman"/>
          <w:lang w:val="en-US"/>
        </w:rPr>
        <w:t>práctica</w:t>
      </w:r>
      <w:proofErr w:type="spellEnd"/>
      <w:r w:rsidRPr="007932AD">
        <w:rPr>
          <w:rFonts w:ascii="Times New Roman" w:hAnsi="Times New Roman" w:cs="Times New Roman"/>
          <w:lang w:val="en-US"/>
        </w:rPr>
        <w:t xml:space="preserve"> </w:t>
      </w:r>
      <w:proofErr w:type="spellStart"/>
      <w:r w:rsidRPr="007932AD">
        <w:rPr>
          <w:rFonts w:ascii="Times New Roman" w:hAnsi="Times New Roman" w:cs="Times New Roman"/>
          <w:lang w:val="en-US"/>
        </w:rPr>
        <w:t>clínica</w:t>
      </w:r>
      <w:proofErr w:type="spellEnd"/>
      <w:r w:rsidRPr="007932AD">
        <w:rPr>
          <w:rFonts w:ascii="Times New Roman" w:hAnsi="Times New Roman" w:cs="Times New Roman"/>
          <w:lang w:val="en-US"/>
        </w:rPr>
        <w:t xml:space="preserve">: </w:t>
      </w:r>
      <w:proofErr w:type="spellStart"/>
      <w:r w:rsidRPr="007932AD">
        <w:rPr>
          <w:rFonts w:ascii="Times New Roman" w:hAnsi="Times New Roman" w:cs="Times New Roman"/>
          <w:lang w:val="en-US"/>
        </w:rPr>
        <w:t>Abordaje</w:t>
      </w:r>
      <w:proofErr w:type="spellEnd"/>
      <w:r w:rsidRPr="007932AD">
        <w:rPr>
          <w:rFonts w:ascii="Times New Roman" w:hAnsi="Times New Roman" w:cs="Times New Roman"/>
          <w:lang w:val="en-US"/>
        </w:rPr>
        <w:t xml:space="preserve"> de la </w:t>
      </w:r>
      <w:proofErr w:type="spellStart"/>
      <w:r w:rsidRPr="007932AD">
        <w:rPr>
          <w:rFonts w:ascii="Times New Roman" w:hAnsi="Times New Roman" w:cs="Times New Roman"/>
          <w:lang w:val="en-US"/>
        </w:rPr>
        <w:t>conducta</w:t>
      </w:r>
      <w:proofErr w:type="spellEnd"/>
      <w:r w:rsidRPr="007932AD">
        <w:rPr>
          <w:rFonts w:ascii="Times New Roman" w:hAnsi="Times New Roman" w:cs="Times New Roman"/>
          <w:lang w:val="en-US"/>
        </w:rPr>
        <w:t xml:space="preserve"> </w:t>
      </w:r>
      <w:proofErr w:type="spellStart"/>
      <w:r w:rsidRPr="007932AD">
        <w:rPr>
          <w:rFonts w:ascii="Times New Roman" w:hAnsi="Times New Roman" w:cs="Times New Roman"/>
          <w:lang w:val="en-US"/>
        </w:rPr>
        <w:t>suicida</w:t>
      </w:r>
      <w:proofErr w:type="spellEnd"/>
      <w:r w:rsidRPr="007932AD">
        <w:rPr>
          <w:rFonts w:ascii="Times New Roman" w:hAnsi="Times New Roman" w:cs="Times New Roman"/>
          <w:lang w:val="en-US"/>
        </w:rPr>
        <w:t xml:space="preserve"> (SNIS).</w:t>
      </w:r>
    </w:p>
    <w:p w14:paraId="244477BC" w14:textId="77777777" w:rsidR="001E6E6F" w:rsidRPr="007932AD" w:rsidRDefault="00000000" w:rsidP="007932AD">
      <w:pPr>
        <w:rPr>
          <w:rFonts w:ascii="Times New Roman" w:hAnsi="Times New Roman" w:cs="Times New Roman"/>
          <w:lang w:val="en-US"/>
        </w:rPr>
      </w:pPr>
      <w:proofErr w:type="spellStart"/>
      <w:r w:rsidRPr="007932AD">
        <w:rPr>
          <w:rFonts w:ascii="Times New Roman" w:hAnsi="Times New Roman" w:cs="Times New Roman"/>
          <w:lang w:val="en-US"/>
        </w:rPr>
        <w:t>NiculescuMizil</w:t>
      </w:r>
      <w:proofErr w:type="spellEnd"/>
      <w:r w:rsidRPr="007932AD">
        <w:rPr>
          <w:rFonts w:ascii="Times New Roman" w:hAnsi="Times New Roman" w:cs="Times New Roman"/>
          <w:lang w:val="en-US"/>
        </w:rPr>
        <w:t>, A., &amp; Caruana, R. (2005). Predicting good probabilities with supervised learning. In Proceedings of the 22nd International Conference on Machine Learning (pp. 625–632).</w:t>
      </w:r>
    </w:p>
    <w:p w14:paraId="71B23A2A"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Pan American Health Organization. (2018). Manual de </w:t>
      </w:r>
      <w:proofErr w:type="spellStart"/>
      <w:r w:rsidRPr="007932AD">
        <w:rPr>
          <w:rFonts w:ascii="Times New Roman" w:hAnsi="Times New Roman" w:cs="Times New Roman"/>
          <w:lang w:val="en-US"/>
        </w:rPr>
        <w:t>prácticas</w:t>
      </w:r>
      <w:proofErr w:type="spellEnd"/>
      <w:r w:rsidRPr="007932AD">
        <w:rPr>
          <w:rFonts w:ascii="Times New Roman" w:hAnsi="Times New Roman" w:cs="Times New Roman"/>
          <w:lang w:val="en-US"/>
        </w:rPr>
        <w:t xml:space="preserve"> para </w:t>
      </w:r>
      <w:proofErr w:type="spellStart"/>
      <w:r w:rsidRPr="007932AD">
        <w:rPr>
          <w:rFonts w:ascii="Times New Roman" w:hAnsi="Times New Roman" w:cs="Times New Roman"/>
          <w:lang w:val="en-US"/>
        </w:rPr>
        <w:t>el</w:t>
      </w:r>
      <w:proofErr w:type="spellEnd"/>
      <w:r w:rsidRPr="007932AD">
        <w:rPr>
          <w:rFonts w:ascii="Times New Roman" w:hAnsi="Times New Roman" w:cs="Times New Roman"/>
          <w:lang w:val="en-US"/>
        </w:rPr>
        <w:t xml:space="preserve"> </w:t>
      </w:r>
      <w:proofErr w:type="spellStart"/>
      <w:r w:rsidRPr="007932AD">
        <w:rPr>
          <w:rFonts w:ascii="Times New Roman" w:hAnsi="Times New Roman" w:cs="Times New Roman"/>
          <w:lang w:val="en-US"/>
        </w:rPr>
        <w:t>establecimiento</w:t>
      </w:r>
      <w:proofErr w:type="spellEnd"/>
      <w:r w:rsidRPr="007932AD">
        <w:rPr>
          <w:rFonts w:ascii="Times New Roman" w:hAnsi="Times New Roman" w:cs="Times New Roman"/>
          <w:lang w:val="en-US"/>
        </w:rPr>
        <w:t xml:space="preserve"> y </w:t>
      </w:r>
      <w:proofErr w:type="spellStart"/>
      <w:r w:rsidRPr="007932AD">
        <w:rPr>
          <w:rFonts w:ascii="Times New Roman" w:hAnsi="Times New Roman" w:cs="Times New Roman"/>
          <w:lang w:val="en-US"/>
        </w:rPr>
        <w:t>mantenimiento</w:t>
      </w:r>
      <w:proofErr w:type="spellEnd"/>
      <w:r w:rsidRPr="007932AD">
        <w:rPr>
          <w:rFonts w:ascii="Times New Roman" w:hAnsi="Times New Roman" w:cs="Times New Roman"/>
          <w:lang w:val="en-US"/>
        </w:rPr>
        <w:t xml:space="preserve"> de </w:t>
      </w:r>
      <w:proofErr w:type="spellStart"/>
      <w:r w:rsidRPr="007932AD">
        <w:rPr>
          <w:rFonts w:ascii="Times New Roman" w:hAnsi="Times New Roman" w:cs="Times New Roman"/>
          <w:lang w:val="en-US"/>
        </w:rPr>
        <w:t>sistemas</w:t>
      </w:r>
      <w:proofErr w:type="spellEnd"/>
      <w:r w:rsidRPr="007932AD">
        <w:rPr>
          <w:rFonts w:ascii="Times New Roman" w:hAnsi="Times New Roman" w:cs="Times New Roman"/>
          <w:lang w:val="en-US"/>
        </w:rPr>
        <w:t xml:space="preserve"> de </w:t>
      </w:r>
      <w:proofErr w:type="spellStart"/>
      <w:r w:rsidRPr="007932AD">
        <w:rPr>
          <w:rFonts w:ascii="Times New Roman" w:hAnsi="Times New Roman" w:cs="Times New Roman"/>
          <w:lang w:val="en-US"/>
        </w:rPr>
        <w:t>vigilancia</w:t>
      </w:r>
      <w:proofErr w:type="spellEnd"/>
      <w:r w:rsidRPr="007932AD">
        <w:rPr>
          <w:rFonts w:ascii="Times New Roman" w:hAnsi="Times New Roman" w:cs="Times New Roman"/>
          <w:lang w:val="en-US"/>
        </w:rPr>
        <w:t xml:space="preserve"> de </w:t>
      </w:r>
      <w:proofErr w:type="spellStart"/>
      <w:r w:rsidRPr="007932AD">
        <w:rPr>
          <w:rFonts w:ascii="Times New Roman" w:hAnsi="Times New Roman" w:cs="Times New Roman"/>
          <w:lang w:val="en-US"/>
        </w:rPr>
        <w:t>intentos</w:t>
      </w:r>
      <w:proofErr w:type="spellEnd"/>
      <w:r w:rsidRPr="007932AD">
        <w:rPr>
          <w:rFonts w:ascii="Times New Roman" w:hAnsi="Times New Roman" w:cs="Times New Roman"/>
          <w:lang w:val="en-US"/>
        </w:rPr>
        <w:t xml:space="preserve"> de </w:t>
      </w:r>
      <w:proofErr w:type="spellStart"/>
      <w:r w:rsidRPr="007932AD">
        <w:rPr>
          <w:rFonts w:ascii="Times New Roman" w:hAnsi="Times New Roman" w:cs="Times New Roman"/>
          <w:lang w:val="en-US"/>
        </w:rPr>
        <w:t>suicidio</w:t>
      </w:r>
      <w:proofErr w:type="spellEnd"/>
      <w:r w:rsidRPr="007932AD">
        <w:rPr>
          <w:rFonts w:ascii="Times New Roman" w:hAnsi="Times New Roman" w:cs="Times New Roman"/>
          <w:lang w:val="en-US"/>
        </w:rPr>
        <w:t xml:space="preserve"> y </w:t>
      </w:r>
      <w:proofErr w:type="spellStart"/>
      <w:r w:rsidRPr="007932AD">
        <w:rPr>
          <w:rFonts w:ascii="Times New Roman" w:hAnsi="Times New Roman" w:cs="Times New Roman"/>
          <w:lang w:val="en-US"/>
        </w:rPr>
        <w:t>autoagresiones</w:t>
      </w:r>
      <w:proofErr w:type="spellEnd"/>
      <w:r w:rsidRPr="007932AD">
        <w:rPr>
          <w:rFonts w:ascii="Times New Roman" w:hAnsi="Times New Roman" w:cs="Times New Roman"/>
          <w:lang w:val="en-US"/>
        </w:rPr>
        <w:t>.</w:t>
      </w:r>
    </w:p>
    <w:p w14:paraId="5D6E596A"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Pan American Health Organization. (2022). </w:t>
      </w:r>
      <w:proofErr w:type="spellStart"/>
      <w:r w:rsidRPr="007932AD">
        <w:rPr>
          <w:rFonts w:ascii="Times New Roman" w:hAnsi="Times New Roman" w:cs="Times New Roman"/>
          <w:lang w:val="en-US"/>
        </w:rPr>
        <w:t>Mortalidad</w:t>
      </w:r>
      <w:proofErr w:type="spellEnd"/>
      <w:r w:rsidRPr="007932AD">
        <w:rPr>
          <w:rFonts w:ascii="Times New Roman" w:hAnsi="Times New Roman" w:cs="Times New Roman"/>
          <w:lang w:val="en-US"/>
        </w:rPr>
        <w:t xml:space="preserve"> </w:t>
      </w:r>
      <w:proofErr w:type="spellStart"/>
      <w:r w:rsidRPr="007932AD">
        <w:rPr>
          <w:rFonts w:ascii="Times New Roman" w:hAnsi="Times New Roman" w:cs="Times New Roman"/>
          <w:lang w:val="en-US"/>
        </w:rPr>
        <w:t>por</w:t>
      </w:r>
      <w:proofErr w:type="spellEnd"/>
      <w:r w:rsidRPr="007932AD">
        <w:rPr>
          <w:rFonts w:ascii="Times New Roman" w:hAnsi="Times New Roman" w:cs="Times New Roman"/>
          <w:lang w:val="en-US"/>
        </w:rPr>
        <w:t xml:space="preserve"> </w:t>
      </w:r>
      <w:proofErr w:type="spellStart"/>
      <w:r w:rsidRPr="007932AD">
        <w:rPr>
          <w:rFonts w:ascii="Times New Roman" w:hAnsi="Times New Roman" w:cs="Times New Roman"/>
          <w:lang w:val="en-US"/>
        </w:rPr>
        <w:t>suicidio</w:t>
      </w:r>
      <w:proofErr w:type="spellEnd"/>
      <w:r w:rsidRPr="007932AD">
        <w:rPr>
          <w:rFonts w:ascii="Times New Roman" w:hAnsi="Times New Roman" w:cs="Times New Roman"/>
          <w:lang w:val="en-US"/>
        </w:rPr>
        <w:t xml:space="preserve"> </w:t>
      </w:r>
      <w:proofErr w:type="spellStart"/>
      <w:r w:rsidRPr="007932AD">
        <w:rPr>
          <w:rFonts w:ascii="Times New Roman" w:hAnsi="Times New Roman" w:cs="Times New Roman"/>
          <w:lang w:val="en-US"/>
        </w:rPr>
        <w:t>en</w:t>
      </w:r>
      <w:proofErr w:type="spellEnd"/>
      <w:r w:rsidRPr="007932AD">
        <w:rPr>
          <w:rFonts w:ascii="Times New Roman" w:hAnsi="Times New Roman" w:cs="Times New Roman"/>
          <w:lang w:val="en-US"/>
        </w:rPr>
        <w:t xml:space="preserve"> la </w:t>
      </w:r>
      <w:proofErr w:type="spellStart"/>
      <w:r w:rsidRPr="007932AD">
        <w:rPr>
          <w:rFonts w:ascii="Times New Roman" w:hAnsi="Times New Roman" w:cs="Times New Roman"/>
          <w:lang w:val="en-US"/>
        </w:rPr>
        <w:t>Región</w:t>
      </w:r>
      <w:proofErr w:type="spellEnd"/>
      <w:r w:rsidRPr="007932AD">
        <w:rPr>
          <w:rFonts w:ascii="Times New Roman" w:hAnsi="Times New Roman" w:cs="Times New Roman"/>
          <w:lang w:val="en-US"/>
        </w:rPr>
        <w:t xml:space="preserve"> de las </w:t>
      </w:r>
      <w:proofErr w:type="spellStart"/>
      <w:r w:rsidRPr="007932AD">
        <w:rPr>
          <w:rFonts w:ascii="Times New Roman" w:hAnsi="Times New Roman" w:cs="Times New Roman"/>
          <w:lang w:val="en-US"/>
        </w:rPr>
        <w:t>Américas</w:t>
      </w:r>
      <w:proofErr w:type="spellEnd"/>
      <w:r w:rsidRPr="007932AD">
        <w:rPr>
          <w:rFonts w:ascii="Times New Roman" w:hAnsi="Times New Roman" w:cs="Times New Roman"/>
          <w:lang w:val="en-US"/>
        </w:rPr>
        <w:t>: Informe regional 2015–2019.</w:t>
      </w:r>
    </w:p>
    <w:p w14:paraId="6D691098"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Pedregosa, F., </w:t>
      </w:r>
      <w:proofErr w:type="spellStart"/>
      <w:r w:rsidRPr="007932AD">
        <w:rPr>
          <w:rFonts w:ascii="Times New Roman" w:hAnsi="Times New Roman" w:cs="Times New Roman"/>
          <w:lang w:val="en-US"/>
        </w:rPr>
        <w:t>Varoquaux</w:t>
      </w:r>
      <w:proofErr w:type="spellEnd"/>
      <w:r w:rsidRPr="007932AD">
        <w:rPr>
          <w:rFonts w:ascii="Times New Roman" w:hAnsi="Times New Roman" w:cs="Times New Roman"/>
          <w:lang w:val="en-US"/>
        </w:rPr>
        <w:t xml:space="preserve">, G., </w:t>
      </w:r>
      <w:proofErr w:type="spellStart"/>
      <w:r w:rsidRPr="007932AD">
        <w:rPr>
          <w:rFonts w:ascii="Times New Roman" w:hAnsi="Times New Roman" w:cs="Times New Roman"/>
          <w:lang w:val="en-US"/>
        </w:rPr>
        <w:t>Gramfort</w:t>
      </w:r>
      <w:proofErr w:type="spellEnd"/>
      <w:r w:rsidRPr="007932AD">
        <w:rPr>
          <w:rFonts w:ascii="Times New Roman" w:hAnsi="Times New Roman" w:cs="Times New Roman"/>
          <w:lang w:val="en-US"/>
        </w:rPr>
        <w:t xml:space="preserve">, A., Michel, V., Thirion, B., Grisel, O., … Duchesnay, É. (2011). </w:t>
      </w:r>
      <w:proofErr w:type="spellStart"/>
      <w:r w:rsidRPr="007932AD">
        <w:rPr>
          <w:rFonts w:ascii="Times New Roman" w:hAnsi="Times New Roman" w:cs="Times New Roman"/>
          <w:lang w:val="en-US"/>
        </w:rPr>
        <w:t>Scikitlearn</w:t>
      </w:r>
      <w:proofErr w:type="spellEnd"/>
      <w:r w:rsidRPr="007932AD">
        <w:rPr>
          <w:rFonts w:ascii="Times New Roman" w:hAnsi="Times New Roman" w:cs="Times New Roman"/>
          <w:lang w:val="en-US"/>
        </w:rPr>
        <w:t>: Machine learning in Python. Journal of Machine Learning Research, 12, 2825–2830.</w:t>
      </w:r>
    </w:p>
    <w:p w14:paraId="72AE964B"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World Health Organization. (2014). Preventing suicide: A global imperative.</w:t>
      </w:r>
    </w:p>
    <w:p w14:paraId="2EC8BDD9"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 xml:space="preserve">World Health Organization. (2016). Practice manual for establishing and maintaining surveillance systems for suicide attempts and </w:t>
      </w:r>
      <w:proofErr w:type="spellStart"/>
      <w:r w:rsidRPr="007932AD">
        <w:rPr>
          <w:rFonts w:ascii="Times New Roman" w:hAnsi="Times New Roman" w:cs="Times New Roman"/>
          <w:lang w:val="en-US"/>
        </w:rPr>
        <w:t>selfharm</w:t>
      </w:r>
      <w:proofErr w:type="spellEnd"/>
      <w:r w:rsidRPr="007932AD">
        <w:rPr>
          <w:rFonts w:ascii="Times New Roman" w:hAnsi="Times New Roman" w:cs="Times New Roman"/>
          <w:lang w:val="en-US"/>
        </w:rPr>
        <w:t>.</w:t>
      </w:r>
    </w:p>
    <w:p w14:paraId="6627F862" w14:textId="77777777" w:rsidR="001E6E6F" w:rsidRPr="007932AD" w:rsidRDefault="00000000" w:rsidP="007932AD">
      <w:pPr>
        <w:rPr>
          <w:rFonts w:ascii="Times New Roman" w:hAnsi="Times New Roman" w:cs="Times New Roman"/>
          <w:lang w:val="en-US"/>
        </w:rPr>
      </w:pPr>
      <w:r w:rsidRPr="007932AD">
        <w:rPr>
          <w:rFonts w:ascii="Times New Roman" w:hAnsi="Times New Roman" w:cs="Times New Roman"/>
          <w:lang w:val="en-US"/>
        </w:rPr>
        <w:t>World Health Organization. (2017). Guidelines on ethical issues in public health surveillance.</w:t>
      </w:r>
    </w:p>
    <w:p w14:paraId="2670BD8A" w14:textId="77777777" w:rsidR="001E6E6F" w:rsidRPr="007932AD" w:rsidRDefault="00000000" w:rsidP="007932AD">
      <w:pPr>
        <w:rPr>
          <w:lang w:val="en-US"/>
        </w:rPr>
      </w:pPr>
      <w:r w:rsidRPr="007932AD">
        <w:rPr>
          <w:rFonts w:ascii="Times New Roman" w:hAnsi="Times New Roman" w:cs="Times New Roman"/>
          <w:lang w:val="en-US"/>
        </w:rPr>
        <w:t>World Health Organization. (2021). Suicide worldwide</w:t>
      </w:r>
      <w:r w:rsidRPr="007932AD">
        <w:rPr>
          <w:lang w:val="en-US"/>
        </w:rPr>
        <w:t xml:space="preserve"> in 2019: Global estimates.</w:t>
      </w:r>
    </w:p>
    <w:sectPr w:rsidR="001E6E6F" w:rsidRPr="007932AD">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4F8C7" w14:textId="77777777" w:rsidR="001876D7" w:rsidRDefault="001876D7" w:rsidP="00327425">
      <w:pPr>
        <w:spacing w:after="0" w:line="240" w:lineRule="auto"/>
      </w:pPr>
      <w:r>
        <w:separator/>
      </w:r>
    </w:p>
  </w:endnote>
  <w:endnote w:type="continuationSeparator" w:id="0">
    <w:p w14:paraId="695A7834" w14:textId="77777777" w:rsidR="001876D7" w:rsidRDefault="001876D7" w:rsidP="00327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76E5D" w14:textId="77777777" w:rsidR="001876D7" w:rsidRDefault="001876D7" w:rsidP="00327425">
      <w:pPr>
        <w:spacing w:after="0" w:line="240" w:lineRule="auto"/>
      </w:pPr>
      <w:r>
        <w:separator/>
      </w:r>
    </w:p>
  </w:footnote>
  <w:footnote w:type="continuationSeparator" w:id="0">
    <w:p w14:paraId="4F58788E" w14:textId="77777777" w:rsidR="001876D7" w:rsidRDefault="001876D7" w:rsidP="003274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6F"/>
    <w:rsid w:val="00171B97"/>
    <w:rsid w:val="001876D7"/>
    <w:rsid w:val="001A6955"/>
    <w:rsid w:val="001E6E6F"/>
    <w:rsid w:val="002D7E83"/>
    <w:rsid w:val="00327425"/>
    <w:rsid w:val="0034443E"/>
    <w:rsid w:val="007932AD"/>
    <w:rsid w:val="007B04E6"/>
    <w:rsid w:val="00B776C7"/>
    <w:rsid w:val="00D8678A"/>
    <w:rsid w:val="00DC7DB5"/>
    <w:rsid w:val="00DF0067"/>
    <w:rsid w:val="00E80301"/>
    <w:rsid w:val="00FC60F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F6572"/>
  <w15:docId w15:val="{AD4758FD-06DE-4429-89F3-0B144114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4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7425"/>
  </w:style>
  <w:style w:type="paragraph" w:styleId="Footer">
    <w:name w:val="footer"/>
    <w:basedOn w:val="Normal"/>
    <w:link w:val="FooterChar"/>
    <w:uiPriority w:val="99"/>
    <w:unhideWhenUsed/>
    <w:rsid w:val="003274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2181</Words>
  <Characters>11565</Characters>
  <Application>Microsoft Office Word</Application>
  <DocSecurity>0</DocSecurity>
  <Lines>96</Lines>
  <Paragraphs>27</Paragraphs>
  <ScaleCrop>false</ScaleCrop>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Erik Floede</dc:creator>
  <cp:lastModifiedBy>Jan Erik Floede</cp:lastModifiedBy>
  <cp:revision>2</cp:revision>
  <dcterms:created xsi:type="dcterms:W3CDTF">2025-08-15T23:17:00Z</dcterms:created>
  <dcterms:modified xsi:type="dcterms:W3CDTF">2025-08-15T23:17:00Z</dcterms:modified>
</cp:coreProperties>
</file>