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 w:val="0"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40"/>
        </w:rPr>
        <w:t>Tables for the Annual ST Risk Study</w:t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Table 1: Common sample by chronological partition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Partition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Origins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Firm-years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Events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Training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2017–2021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Validation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2022–2023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250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Test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2024–2025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216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2017–2025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969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26</w:t>
            </w:r>
          </w:p>
        </w:tc>
      </w:tr>
    </w:tbl>
    <w:p>
      <w:pPr>
        <w:keepNext w:val="0"/>
        <w:widowControl/>
        <w:spacing w:after="120" w:before="0" w:line="240" w:lineRule="auto"/>
        <w:jc w:val="left"/>
      </w:pPr>
      <w:r>
        <w:rPr>
          <w:rFonts w:ascii="Times New Roman" w:hAnsi="Times New Roman"/>
          <w:b w:val="0"/>
          <w:i/>
          <w:color w:val="000000"/>
          <w:sz w:val="18"/>
        </w:rPr>
        <w:t>Source: Version 2 input manifest. Total unique firms = 155; firms may occur in more than one partition.</w:t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Table 2: Annual financial ratios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277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Code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Definition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L/A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Liabilities / assets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Current assets / current liabilities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QR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(Current assets − inventory) / current liabilities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NP/A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Consolidated net profit / year-end assets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NP/E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Consolidated net profit / year-end equity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OM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Operating profit / revenue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NM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Consolidated net profit / revenue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AR/A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Accounts receivable / assets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INV/A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Inventory / assets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OCF/A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Operating cash flow / assets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OCF/CL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Operating cash flow / current liabilities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ME/R</w:t>
            </w:r>
          </w:p>
        </w:tc>
        <w:tc>
          <w:tcPr>
            <w:tcW w:type="dxa" w:w="827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Management expenses / revenue</w:t>
            </w:r>
          </w:p>
        </w:tc>
      </w:tr>
    </w:tbl>
    <w:p>
      <w:pPr>
        <w:keepNext w:val="0"/>
        <w:widowControl/>
        <w:spacing w:after="120" w:before="0" w:line="240" w:lineRule="auto"/>
        <w:jc w:val="left"/>
      </w:pPr>
      <w:r>
        <w:rPr>
          <w:rFonts w:ascii="Times New Roman" w:hAnsi="Times New Roman"/>
          <w:b w:val="0"/>
          <w:i/>
          <w:color w:val="000000"/>
          <w:sz w:val="18"/>
        </w:rPr>
        <w:t>Source: Annual feature protocol. Stock denominators are year-end balances; ratios are dimensionless. Zero denominators produce missing values.</w:t>
      </w:r>
    </w:p>
    <w:p>
      <w:r>
        <w:br w:type="page"/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Table 3: Raw training financial ratios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Code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Valid n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Mean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SD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Median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L/A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0.430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0.212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0.404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2.096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1.642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1.585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QR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1.697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1.531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1.221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NP/A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0.032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0.085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0.032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NP/E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0.019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0.703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0.059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OM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0.064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0.384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0.085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NM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0.049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0.359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0.069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AR/A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0.105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0.096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0.080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INV/A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0.121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0.130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0.089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OCF/A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0.057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0.080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0.054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OCF/CL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0.260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0.493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0.191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ME/R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503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0.099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0.147</w:t>
            </w:r>
          </w:p>
        </w:tc>
        <w:tc>
          <w:tcPr>
            <w:tcW w:type="dxa" w:w="1882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0.071</w:t>
            </w:r>
          </w:p>
        </w:tc>
      </w:tr>
    </w:tbl>
    <w:p>
      <w:pPr>
        <w:keepNext w:val="0"/>
        <w:widowControl/>
        <w:spacing w:after="120" w:before="0" w:line="240" w:lineRule="auto"/>
        <w:jc w:val="left"/>
      </w:pPr>
      <w:r>
        <w:rPr>
          <w:rFonts w:ascii="Times New Roman" w:hAnsi="Times New Roman"/>
          <w:b w:val="0"/>
          <w:i/>
          <w:color w:val="000000"/>
          <w:sz w:val="18"/>
        </w:rPr>
        <w:t>Source: The unchanged 503 training records, before winsorization, imputation or scaling.</w:t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Table 4: Test ranking and event recall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984"/>
        <w:gridCol w:w="2381"/>
        <w:gridCol w:w="1134"/>
        <w:gridCol w:w="96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98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AP mean ± SD</w:t>
            </w:r>
          </w:p>
        </w:tc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AP 95% CI</w:t>
            </w:r>
          </w:p>
        </w:tc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ROC AUC</w:t>
            </w:r>
          </w:p>
        </w:tc>
        <w:tc>
          <w:tcPr>
            <w:tcW w:type="dxa" w:w="96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Recall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L2 logistic</w:t>
            </w:r>
          </w:p>
        </w:tc>
        <w:tc>
          <w:tcPr>
            <w:tcW w:type="dxa" w:w="198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0.2177</w:t>
            </w:r>
          </w:p>
        </w:tc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[0.0602, 0.4698]</w:t>
            </w:r>
          </w:p>
        </w:tc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0.7570</w:t>
            </w:r>
          </w:p>
        </w:tc>
        <w:tc>
          <w:tcPr>
            <w:tcW w:type="dxa" w:w="96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0.1818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Financial neural</w:t>
            </w:r>
          </w:p>
        </w:tc>
        <w:tc>
          <w:tcPr>
            <w:tcW w:type="dxa" w:w="198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0.3798 ± 0.0100</w:t>
            </w:r>
          </w:p>
        </w:tc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[0.1545, 0.6574]</w:t>
            </w:r>
          </w:p>
        </w:tc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0.8863</w:t>
            </w:r>
          </w:p>
        </w:tc>
        <w:tc>
          <w:tcPr>
            <w:tcW w:type="dxa" w:w="96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0.1212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Text neural</w:t>
            </w:r>
          </w:p>
        </w:tc>
        <w:tc>
          <w:tcPr>
            <w:tcW w:type="dxa" w:w="198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0.0579 ± 0.0055</w:t>
            </w:r>
          </w:p>
        </w:tc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[0.0300, 0.1421]</w:t>
            </w:r>
          </w:p>
        </w:tc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0.4494</w:t>
            </w:r>
          </w:p>
        </w:tc>
        <w:tc>
          <w:tcPr>
            <w:tcW w:type="dxa" w:w="96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0.3030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Concatenation</w:t>
            </w:r>
          </w:p>
        </w:tc>
        <w:tc>
          <w:tcPr>
            <w:tcW w:type="dxa" w:w="198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0.3685 ± 0.0041</w:t>
            </w:r>
          </w:p>
        </w:tc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[0.1492, 0.6342]</w:t>
            </w:r>
          </w:p>
        </w:tc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0.8896</w:t>
            </w:r>
          </w:p>
        </w:tc>
        <w:tc>
          <w:tcPr>
            <w:tcW w:type="dxa" w:w="96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0.1212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Cross-attention</w:t>
            </w:r>
          </w:p>
        </w:tc>
        <w:tc>
          <w:tcPr>
            <w:tcW w:type="dxa" w:w="198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0.3547 ± 0.0078</w:t>
            </w:r>
          </w:p>
        </w:tc>
        <w:tc>
          <w:tcPr>
            <w:tcW w:type="dxa" w:w="238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[0.1293, 0.6213]</w:t>
            </w:r>
          </w:p>
        </w:tc>
        <w:tc>
          <w:tcPr>
            <w:tcW w:type="dxa" w:w="113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0.8721</w:t>
            </w:r>
          </w:p>
        </w:tc>
        <w:tc>
          <w:tcPr>
            <w:tcW w:type="dxa" w:w="964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0.1212</w:t>
            </w:r>
          </w:p>
        </w:tc>
      </w:tr>
    </w:tbl>
    <w:p>
      <w:pPr>
        <w:keepNext w:val="0"/>
        <w:widowControl/>
        <w:spacing w:after="120" w:before="0" w:line="240" w:lineRule="auto"/>
        <w:jc w:val="left"/>
      </w:pPr>
      <w:r>
        <w:rPr>
          <w:rFonts w:ascii="Times New Roman" w:hAnsi="Times New Roman"/>
          <w:b w:val="0"/>
          <w:i/>
          <w:color w:val="000000"/>
          <w:sz w:val="18"/>
        </w:rPr>
        <w:t>Source: 216 test records, 11 events. Logistic is one fit; neural entries are three-seed means. SD is across seeds; confidence intervals use 2,000 company-cluster draws. Recall uses validation-selected thresholds.</w:t>
      </w:r>
    </w:p>
    <w:p>
      <w:r>
        <w:br w:type="page"/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Table 5: Paired test AP differences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1531"/>
        <w:gridCol w:w="3061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Comparison</w:t>
            </w:r>
          </w:p>
        </w:tc>
        <w:tc>
          <w:tcPr>
            <w:tcW w:type="dxa" w:w="15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Difference</w:t>
            </w:r>
          </w:p>
        </w:tc>
        <w:tc>
          <w:tcPr>
            <w:tcW w:type="dxa" w:w="306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Paired 95% CI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Cross-attention − Financial neural</w:t>
            </w:r>
          </w:p>
        </w:tc>
        <w:tc>
          <w:tcPr>
            <w:tcW w:type="dxa" w:w="15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-0.0251</w:t>
            </w:r>
          </w:p>
        </w:tc>
        <w:tc>
          <w:tcPr>
            <w:tcW w:type="dxa" w:w="306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[-0.1087, 0.0276]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Cross-attention − Text neural</w:t>
            </w:r>
          </w:p>
        </w:tc>
        <w:tc>
          <w:tcPr>
            <w:tcW w:type="dxa" w:w="15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0.2969</w:t>
            </w:r>
          </w:p>
        </w:tc>
        <w:tc>
          <w:tcPr>
            <w:tcW w:type="dxa" w:w="306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[0.0610, 0.5680]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Cross-attention − Concatenation</w:t>
            </w:r>
          </w:p>
        </w:tc>
        <w:tc>
          <w:tcPr>
            <w:tcW w:type="dxa" w:w="15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-0.0137</w:t>
            </w:r>
          </w:p>
        </w:tc>
        <w:tc>
          <w:tcPr>
            <w:tcW w:type="dxa" w:w="306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[-0.0645, 0.0262]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Financial neural − L2 logistic</w:t>
            </w:r>
          </w:p>
        </w:tc>
        <w:tc>
          <w:tcPr>
            <w:tcW w:type="dxa" w:w="153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0.1622</w:t>
            </w:r>
          </w:p>
        </w:tc>
        <w:tc>
          <w:tcPr>
            <w:tcW w:type="dxa" w:w="3061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[0.0136, 0.4066]</w:t>
            </w:r>
          </w:p>
        </w:tc>
      </w:tr>
    </w:tbl>
    <w:p>
      <w:pPr>
        <w:keepNext w:val="0"/>
        <w:widowControl/>
        <w:spacing w:after="120" w:before="0" w:line="240" w:lineRule="auto"/>
        <w:jc w:val="left"/>
      </w:pPr>
      <w:r>
        <w:rPr>
          <w:rFonts w:ascii="Times New Roman" w:hAnsi="Times New Roman"/>
          <w:b w:val="0"/>
          <w:i/>
          <w:color w:val="000000"/>
          <w:sz w:val="18"/>
        </w:rPr>
        <w:t>Source: Identical company resamples across models, 2,000 valid draws. Intervals are conditional on fitted models and are not multiplicity-adjusted.</w:t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Table 6: Precision / recall at annual alert budgets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5% budget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10% budget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20% budget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L2 logistic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0.1818 / 0.1818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0.1364 / 0.2727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0.1364 / 0.5455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Financial neural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0.3636 / 0.3636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0.1970 / 0.3939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0.2045 / 0.8182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Text neural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0.0606 / 0.0606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0.0455 / 0.0909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0.0303 / 0.1212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Concatenation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0.3333 / 0.3333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0.2121 / 0.4242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0.2045 / 0.8182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Cross-attention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0.2727 / 0.2727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0.1818 / 0.3636</w:t>
            </w:r>
          </w:p>
        </w:tc>
        <w:tc>
          <w:tcPr>
            <w:tcW w:type="dxa" w:w="235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0.1970 / 0.7879</w:t>
            </w:r>
          </w:p>
        </w:tc>
      </w:tr>
    </w:tbl>
    <w:p>
      <w:pPr>
        <w:keepNext w:val="0"/>
        <w:widowControl/>
        <w:spacing w:after="120" w:before="0" w:line="240" w:lineRule="auto"/>
        <w:jc w:val="left"/>
      </w:pPr>
      <w:r>
        <w:rPr>
          <w:rFonts w:ascii="Times New Roman" w:hAnsi="Times New Roman"/>
          <w:b w:val="0"/>
          <w:i/>
          <w:color w:val="000000"/>
          <w:sz w:val="18"/>
        </w:rPr>
        <w:t>Source: Saved test scores ranked separately within each year. Rounded-up annual selections give 11, 22 and 44 total alerts. Entries are precision / recall; neural entries average three runs.</w:t>
      </w:r>
    </w:p>
    <w:p>
      <w:r>
        <w:br w:type="page"/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Supplementary Table S1: All test runs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709"/>
        <w:gridCol w:w="935"/>
        <w:gridCol w:w="1063"/>
        <w:gridCol w:w="1063"/>
        <w:gridCol w:w="1063"/>
        <w:gridCol w:w="106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Model / seed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Threshold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Epoch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AP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TN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FP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FN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  <w:shd w:fill="EEEEEE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L2 logistic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0.962664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0.2177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Financial neural / 17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0.746854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0.3697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Financial neural / 42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0.657018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0.3800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Financial neural / 2026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0.852044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0.3898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Text neural / 17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0.509983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0.0552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Text neural / 42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0.000576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0.0542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137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Text neural / 2026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0.485097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0.0642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126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Concatenation / 17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0.607692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0.3707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Concatenation / 42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0.876304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0.3710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Concatenation / 2026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0.634772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0.3637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205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Cross-attention / 17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0.539542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0.3484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Cross-attention / 42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0.637472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0.3634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205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Cross-attention / 2026</w:t>
            </w:r>
          </w:p>
        </w:tc>
        <w:tc>
          <w:tcPr>
            <w:tcW w:type="dxa" w:w="1247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0.602087</w:t>
            </w:r>
          </w:p>
        </w:tc>
        <w:tc>
          <w:tcPr>
            <w:tcW w:type="dxa" w:w="70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35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0.3524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205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63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</w:t>
            </w:r>
          </w:p>
        </w:tc>
      </w:tr>
    </w:tbl>
    <w:p>
      <w:pPr>
        <w:keepNext w:val="0"/>
        <w:widowControl/>
        <w:spacing w:after="120" w:before="0" w:line="240" w:lineRule="auto"/>
        <w:jc w:val="left"/>
      </w:pPr>
      <w:r>
        <w:rPr>
          <w:rFonts w:ascii="Times New Roman" w:hAnsi="Times New Roman"/>
          <w:b w:val="0"/>
          <w:i/>
          <w:color w:val="000000"/>
          <w:sz w:val="18"/>
        </w:rPr>
        <w:t>Source: Saved scores; each confusion matrix totals 216 records and 11 events. Logistic converged in 42 solver iterations; it has no neural epoch.</w:t>
      </w:r>
    </w:p>
    <w:sectPr w:rsidR="002F27BF">
      <w:headerReference w:type="default" r:id="rId16"/>
      <w:footerReference w:type="default" r:id="rId17"/>
      <w:headerReference w:type="first" r:id="rId18"/>
      <w:footerReference w:type="first" r:id="rId19"/>
      <w:headerReference w:type="even" r:id="rId20"/>
      <w:footerReference w:type="even" r:id="rId21"/>
      <w:pgSz w:w="11910" w:h="16840"/>
      <w:pgMar w:top="1400" w:right="1240" w:bottom="1960" w:left="1240" w:header="708" w:footer="708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/>
        <w:sz w:val="20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E55BF"/>
    <w:multiLevelType w:val="hybridMultilevel"/>
    <w:tmpl w:val="B518EF76"/>
    <w:lvl w:ilvl="0" w:tplc="40988C50">
      <w:start w:val="1"/>
      <w:numFmt w:val="bullet"/>
      <w:lvlText w:val="●"/>
      <w:lvlJc w:val="left"/>
      <w:pPr>
        <w:ind w:left="720" w:hanging="360"/>
      </w:pPr>
    </w:lvl>
    <w:lvl w:ilvl="1" w:tplc="52AC2ABE">
      <w:start w:val="1"/>
      <w:numFmt w:val="bullet"/>
      <w:lvlText w:val="○"/>
      <w:lvlJc w:val="left"/>
      <w:pPr>
        <w:ind w:left="1440" w:hanging="360"/>
      </w:pPr>
    </w:lvl>
    <w:lvl w:ilvl="2" w:tplc="10862606">
      <w:start w:val="1"/>
      <w:numFmt w:val="bullet"/>
      <w:lvlText w:val="■"/>
      <w:lvlJc w:val="left"/>
      <w:pPr>
        <w:ind w:left="2160" w:hanging="360"/>
      </w:pPr>
    </w:lvl>
    <w:lvl w:ilvl="3" w:tplc="20BAFD12">
      <w:start w:val="1"/>
      <w:numFmt w:val="bullet"/>
      <w:lvlText w:val="●"/>
      <w:lvlJc w:val="left"/>
      <w:pPr>
        <w:ind w:left="2880" w:hanging="360"/>
      </w:pPr>
    </w:lvl>
    <w:lvl w:ilvl="4" w:tplc="3E9AE654">
      <w:start w:val="1"/>
      <w:numFmt w:val="bullet"/>
      <w:lvlText w:val="○"/>
      <w:lvlJc w:val="left"/>
      <w:pPr>
        <w:ind w:left="3600" w:hanging="360"/>
      </w:pPr>
    </w:lvl>
    <w:lvl w:ilvl="5" w:tplc="BCCC9026">
      <w:start w:val="1"/>
      <w:numFmt w:val="bullet"/>
      <w:lvlText w:val="■"/>
      <w:lvlJc w:val="left"/>
      <w:pPr>
        <w:ind w:left="4320" w:hanging="360"/>
      </w:pPr>
    </w:lvl>
    <w:lvl w:ilvl="6" w:tplc="6736FA9C">
      <w:start w:val="1"/>
      <w:numFmt w:val="bullet"/>
      <w:lvlText w:val="●"/>
      <w:lvlJc w:val="left"/>
      <w:pPr>
        <w:ind w:left="5040" w:hanging="360"/>
      </w:pPr>
    </w:lvl>
    <w:lvl w:ilvl="7" w:tplc="D0A27EA4">
      <w:start w:val="1"/>
      <w:numFmt w:val="bullet"/>
      <w:lvlText w:val="●"/>
      <w:lvlJc w:val="left"/>
      <w:pPr>
        <w:ind w:left="5760" w:hanging="360"/>
      </w:pPr>
    </w:lvl>
    <w:lvl w:ilvl="8" w:tplc="B9C415A8">
      <w:start w:val="1"/>
      <w:numFmt w:val="bullet"/>
      <w:lvlText w:val="●"/>
      <w:lvlJc w:val="left"/>
      <w:pPr>
        <w:ind w:left="6480" w:hanging="360"/>
      </w:pPr>
    </w:lvl>
  </w:abstractNum>
  <w:num w:numId="1" w16cid:durableId="2078238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7BF"/>
    <w:rsid w:val="00034487"/>
    <w:rsid w:val="00054311"/>
    <w:rsid w:val="00140A7B"/>
    <w:rsid w:val="00146F63"/>
    <w:rsid w:val="00161EAB"/>
    <w:rsid w:val="00162942"/>
    <w:rsid w:val="0021589A"/>
    <w:rsid w:val="00295813"/>
    <w:rsid w:val="002A1B7F"/>
    <w:rsid w:val="002A1BAC"/>
    <w:rsid w:val="002D0215"/>
    <w:rsid w:val="002F27BF"/>
    <w:rsid w:val="002F5AC2"/>
    <w:rsid w:val="003522C4"/>
    <w:rsid w:val="00427926"/>
    <w:rsid w:val="00436C56"/>
    <w:rsid w:val="004442E6"/>
    <w:rsid w:val="004E1271"/>
    <w:rsid w:val="0054126B"/>
    <w:rsid w:val="00551B08"/>
    <w:rsid w:val="00582C0F"/>
    <w:rsid w:val="005C222A"/>
    <w:rsid w:val="005C4115"/>
    <w:rsid w:val="005F784B"/>
    <w:rsid w:val="00614D14"/>
    <w:rsid w:val="006401EB"/>
    <w:rsid w:val="00673266"/>
    <w:rsid w:val="00673BFF"/>
    <w:rsid w:val="006C7B6F"/>
    <w:rsid w:val="006F037C"/>
    <w:rsid w:val="007810A9"/>
    <w:rsid w:val="007A130C"/>
    <w:rsid w:val="007B55EA"/>
    <w:rsid w:val="007C2438"/>
    <w:rsid w:val="00875F81"/>
    <w:rsid w:val="008F36F0"/>
    <w:rsid w:val="008F5A71"/>
    <w:rsid w:val="00947CAF"/>
    <w:rsid w:val="00951C25"/>
    <w:rsid w:val="009C2F9C"/>
    <w:rsid w:val="009C6C72"/>
    <w:rsid w:val="009F68DC"/>
    <w:rsid w:val="00A52206"/>
    <w:rsid w:val="00AE4EDA"/>
    <w:rsid w:val="00B25FEC"/>
    <w:rsid w:val="00BA38DE"/>
    <w:rsid w:val="00BA6519"/>
    <w:rsid w:val="00BD36A7"/>
    <w:rsid w:val="00CC7A78"/>
    <w:rsid w:val="00D437F2"/>
    <w:rsid w:val="00D44FD8"/>
    <w:rsid w:val="00E477B7"/>
    <w:rsid w:val="00E86AE5"/>
    <w:rsid w:val="00EA6A66"/>
    <w:rsid w:val="00F16E57"/>
    <w:rsid w:val="00F61EE9"/>
    <w:rsid w:val="00F84ED1"/>
    <w:rsid w:val="00FA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5337F"/>
  <w15:docId w15:val="{3DB19FC4-B0D8-5B48-984C-8BAFAF29621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uiPriority w:val="9"/>
    <w:qFormat/>
    <w:pPr>
      <w:outlineLvl w:val="0"/>
    </w:pPr>
    <w:rPr>
      <w:rFonts w:ascii="Times New Roman" w:hAnsi="Times New Roman" w:eastAsia="Times New Roman" w:cs="Times New Roman"/>
      <w:color w:val="000000"/>
      <w:sz w:val="28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Times New Roman" w:hAnsi="Times New Roman" w:eastAsia="Times New Roman" w:cs="Times New Roman"/>
      <w:color w:val="000000"/>
      <w:sz w:val="24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Times New Roman" w:hAnsi="Times New Roman" w:eastAsia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Times New Roman" w:hAnsi="Times New Roman" w:eastAsia="Times New Roman" w:cs="Times New Roman"/>
      <w:color w:val="000000"/>
      <w:sz w:val="40"/>
      <w:szCs w:val="56"/>
    </w:rPr>
  </w:style>
  <w:style w:type="paragraph" w:customStyle="1" w:styleId="Strong1">
    <w:name w:val="Strong1"/>
    <w:qFormat/>
    <w:rPr>
      <w:rFonts w:ascii="Times New Roman" w:hAnsi="Times New Roman" w:eastAsia="Times New Roman" w:cs="Times New Roman"/>
      <w:b/>
      <w:bCs/>
      <w:color w:val="000000"/>
    </w:rPr>
  </w:style>
  <w:style w:type="paragraph" w:styleId="ListParagraph">
    <w:name w:val="List Paragraph"/>
    <w:qFormat/>
    <w:rPr>
      <w:rFonts w:ascii="Times New Roman" w:hAnsi="Times New Roman" w:eastAsia="Times New Roman" w:cs="Times New Roman"/>
      <w:color w:val="000000"/>
    </w:rPr>
  </w:style>
  <w:style w:type="character" w:styleId="Hyperlink">
    <w:name w:val="Hyperlink"/>
    <w:uiPriority w:val="99"/>
    <w:unhideWhenUsed/>
    <w:rPr>
      <w:rFonts w:ascii="Times New Roman" w:hAnsi="Times New Roman" w:eastAsia="Times New Roman" w:cs="Times New Roman"/>
      <w:color w:val="000000"/>
      <w:u w:val="single"/>
    </w:rPr>
  </w:style>
  <w:style w:type="character" w:styleId="FootnoteReference">
    <w:name w:val="footnote reference"/>
    <w:uiPriority w:val="99"/>
    <w:semiHidden/>
    <w:unhideWhenUsed/>
    <w:rPr>
      <w:rFonts w:ascii="Times New Roman" w:hAnsi="Times New Roman" w:eastAsia="Times New Roman" w:cs="Times New Roman"/>
      <w:color w:val="000000"/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EndnoteReference">
    <w:name w:val="endnote reference"/>
    <w:uiPriority w:val="99"/>
    <w:semiHidden/>
    <w:unhideWhenUsed/>
    <w:rPr>
      <w:rFonts w:ascii="Times New Roman" w:hAnsi="Times New Roman" w:eastAsia="Times New Roman" w:cs="Times New Roman"/>
      <w:color w:val="000000"/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4" Type="http://schemas.openxmlformats.org/officeDocument/2006/relationships/webSettings" Target="webSettings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7861</Words>
  <Characters>45109</Characters>
  <Application>Microsoft Office Word</Application>
  <DocSecurity>0</DocSecurity>
  <Lines>782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Cross-Attention Multimodal Fusion Network for Corporate Financial Distress Early Warning</vt:lpstr>
    </vt:vector>
  </TitlesOfParts>
  <Manager/>
  <Company/>
  <LinksUpToDate>false</LinksUpToDate>
  <CharactersWithSpaces>52602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Incremental Value of Multimodal Models and Early-Warning Limitations in Annual ST Risk Prediction: Evidence from Chinese Listed Companies</dc:title>
  <dc:subject>Anonymous revised manuscript; empirical verification pending</dc:subject>
  <dc:creator/>
  <cp:keywords>financial distress; multimodal learning; cross-attention</cp:keywords>
  <dc:description/>
  <cp:lastModifiedBy/>
  <cp:revision>5</cp:revision>
  <dcterms:created xsi:type="dcterms:W3CDTF">2026-08-28T21:41:00Z</dcterms:created>
  <dcterms:modified xsi:type="dcterms:W3CDTF">2026-08-28T21:42:00Z</dcterms:modified>
  <cp:category/>
</cp:coreProperties>
</file>