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BF84" w14:textId="77777777" w:rsidR="00091FD6" w:rsidRPr="004C3CF6" w:rsidRDefault="00B12A12">
      <w:pPr>
        <w:jc w:val="center"/>
        <w:rPr>
          <w:color w:val="000000" w:themeColor="text1"/>
          <w:sz w:val="40"/>
          <w:szCs w:val="40"/>
        </w:rPr>
      </w:pPr>
      <w:r w:rsidRPr="004C3CF6">
        <w:rPr>
          <w:b/>
          <w:color w:val="000000" w:themeColor="text1"/>
          <w:sz w:val="40"/>
          <w:szCs w:val="40"/>
        </w:rPr>
        <w:t>GENDER AND NSMQ PERFORMANCE IN GHANA (2016–2024)</w:t>
      </w:r>
    </w:p>
    <w:p w14:paraId="70241A38" w14:textId="77777777" w:rsidR="00091FD6" w:rsidRPr="004C3CF6" w:rsidRDefault="00B12A12">
      <w:pPr>
        <w:jc w:val="center"/>
        <w:rPr>
          <w:color w:val="000000" w:themeColor="text1"/>
        </w:rPr>
      </w:pPr>
      <w:r w:rsidRPr="004C3CF6">
        <w:rPr>
          <w:color w:val="000000" w:themeColor="text1"/>
          <w:sz w:val="26"/>
        </w:rPr>
        <w:t>(A Data Analysis Project Report)</w:t>
      </w:r>
    </w:p>
    <w:p w14:paraId="340ECC6F" w14:textId="77777777" w:rsidR="00091FD6" w:rsidRPr="004C3CF6" w:rsidRDefault="00B12A12">
      <w:pPr>
        <w:jc w:val="center"/>
        <w:rPr>
          <w:color w:val="000000" w:themeColor="text1"/>
        </w:rPr>
      </w:pPr>
      <w:r w:rsidRPr="004C3CF6">
        <w:rPr>
          <w:b/>
          <w:color w:val="000000" w:themeColor="text1"/>
          <w:sz w:val="24"/>
        </w:rPr>
        <w:t>Submitted to:</w:t>
      </w:r>
    </w:p>
    <w:p w14:paraId="36C57BFE" w14:textId="77777777" w:rsidR="00091FD6" w:rsidRPr="004C3CF6" w:rsidRDefault="00B12A12">
      <w:pPr>
        <w:jc w:val="center"/>
        <w:rPr>
          <w:color w:val="000000" w:themeColor="text1"/>
        </w:rPr>
      </w:pPr>
      <w:r w:rsidRPr="004C3CF6">
        <w:rPr>
          <w:color w:val="000000" w:themeColor="text1"/>
          <w:sz w:val="24"/>
        </w:rPr>
        <w:t>Generation Ghana</w:t>
      </w:r>
    </w:p>
    <w:p w14:paraId="5132858E" w14:textId="77777777" w:rsidR="00091FD6" w:rsidRPr="004C3CF6" w:rsidRDefault="00B12A12">
      <w:pPr>
        <w:jc w:val="center"/>
        <w:rPr>
          <w:color w:val="000000" w:themeColor="text1"/>
        </w:rPr>
      </w:pPr>
      <w:r w:rsidRPr="004C3CF6">
        <w:rPr>
          <w:color w:val="000000" w:themeColor="text1"/>
          <w:sz w:val="24"/>
        </w:rPr>
        <w:t>In Partial Fulfilment of the Requirements for the Data Analysis Course</w:t>
      </w:r>
    </w:p>
    <w:p w14:paraId="1A3A80F7" w14:textId="77777777" w:rsidR="00091FD6" w:rsidRPr="004C3CF6" w:rsidRDefault="00B12A12">
      <w:pPr>
        <w:jc w:val="center"/>
        <w:rPr>
          <w:color w:val="000000" w:themeColor="text1"/>
        </w:rPr>
      </w:pPr>
      <w:r w:rsidRPr="004C3CF6">
        <w:rPr>
          <w:b/>
          <w:color w:val="000000" w:themeColor="text1"/>
          <w:sz w:val="24"/>
        </w:rPr>
        <w:t>Submitted by:</w:t>
      </w:r>
    </w:p>
    <w:p w14:paraId="5172382E" w14:textId="77777777" w:rsidR="00091FD6" w:rsidRPr="004C3CF6" w:rsidRDefault="00B12A12">
      <w:pPr>
        <w:jc w:val="center"/>
        <w:rPr>
          <w:color w:val="000000" w:themeColor="text1"/>
        </w:rPr>
      </w:pPr>
      <w:r w:rsidRPr="004C3CF6">
        <w:rPr>
          <w:color w:val="000000" w:themeColor="text1"/>
          <w:sz w:val="24"/>
        </w:rPr>
        <w:t>Janet Gyan</w:t>
      </w:r>
    </w:p>
    <w:p w14:paraId="25E21C3F" w14:textId="77777777" w:rsidR="00091FD6" w:rsidRPr="004C3CF6" w:rsidRDefault="00B12A12">
      <w:pPr>
        <w:jc w:val="center"/>
        <w:rPr>
          <w:color w:val="000000" w:themeColor="text1"/>
        </w:rPr>
      </w:pPr>
      <w:r w:rsidRPr="004C3CF6">
        <w:rPr>
          <w:color w:val="000000" w:themeColor="text1"/>
          <w:sz w:val="24"/>
        </w:rPr>
        <w:t>Data Analysis Learner</w:t>
      </w:r>
    </w:p>
    <w:p w14:paraId="6E626710" w14:textId="77777777" w:rsidR="00091FD6" w:rsidRPr="004C3CF6" w:rsidRDefault="00B12A12">
      <w:pPr>
        <w:jc w:val="center"/>
        <w:rPr>
          <w:color w:val="000000" w:themeColor="text1"/>
        </w:rPr>
      </w:pPr>
      <w:r w:rsidRPr="004C3CF6">
        <w:rPr>
          <w:b/>
          <w:color w:val="000000" w:themeColor="text1"/>
          <w:sz w:val="24"/>
        </w:rPr>
        <w:t>Institution:</w:t>
      </w:r>
    </w:p>
    <w:p w14:paraId="5018CA45" w14:textId="77777777" w:rsidR="00091FD6" w:rsidRPr="004C3CF6" w:rsidRDefault="00B12A12">
      <w:pPr>
        <w:jc w:val="center"/>
        <w:rPr>
          <w:color w:val="000000" w:themeColor="text1"/>
        </w:rPr>
      </w:pPr>
      <w:r w:rsidRPr="004C3CF6">
        <w:rPr>
          <w:color w:val="000000" w:themeColor="text1"/>
          <w:sz w:val="24"/>
        </w:rPr>
        <w:t>Generation Ghana</w:t>
      </w:r>
    </w:p>
    <w:p w14:paraId="6214A3D6" w14:textId="77777777" w:rsidR="00091FD6" w:rsidRPr="004C3CF6" w:rsidRDefault="00B12A12">
      <w:pPr>
        <w:jc w:val="center"/>
        <w:rPr>
          <w:color w:val="000000" w:themeColor="text1"/>
        </w:rPr>
      </w:pPr>
      <w:r w:rsidRPr="004C3CF6">
        <w:rPr>
          <w:b/>
          <w:color w:val="000000" w:themeColor="text1"/>
          <w:sz w:val="24"/>
        </w:rPr>
        <w:t>Tools Used:</w:t>
      </w:r>
    </w:p>
    <w:p w14:paraId="4CDE42BA" w14:textId="77777777" w:rsidR="00091FD6" w:rsidRPr="004C3CF6" w:rsidRDefault="00B12A12">
      <w:pPr>
        <w:jc w:val="center"/>
        <w:rPr>
          <w:color w:val="000000" w:themeColor="text1"/>
        </w:rPr>
      </w:pPr>
      <w:r w:rsidRPr="004C3CF6">
        <w:rPr>
          <w:color w:val="000000" w:themeColor="text1"/>
          <w:sz w:val="24"/>
        </w:rPr>
        <w:t>Microsoft Excel</w:t>
      </w:r>
    </w:p>
    <w:p w14:paraId="05B2A853" w14:textId="77777777" w:rsidR="00091FD6" w:rsidRPr="004C3CF6" w:rsidRDefault="00B12A12">
      <w:pPr>
        <w:jc w:val="center"/>
        <w:rPr>
          <w:color w:val="000000" w:themeColor="text1"/>
        </w:rPr>
      </w:pPr>
      <w:r w:rsidRPr="004C3CF6">
        <w:rPr>
          <w:b/>
          <w:color w:val="000000" w:themeColor="text1"/>
          <w:sz w:val="24"/>
        </w:rPr>
        <w:t>Location:</w:t>
      </w:r>
    </w:p>
    <w:p w14:paraId="31F027F5" w14:textId="76CDD829" w:rsidR="00091FD6" w:rsidRPr="004C3CF6" w:rsidRDefault="00B12A12">
      <w:pPr>
        <w:jc w:val="center"/>
        <w:rPr>
          <w:color w:val="000000" w:themeColor="text1"/>
          <w:sz w:val="24"/>
        </w:rPr>
      </w:pPr>
      <w:r w:rsidRPr="004C3CF6">
        <w:rPr>
          <w:color w:val="000000" w:themeColor="text1"/>
          <w:sz w:val="24"/>
        </w:rPr>
        <w:t>Accra, Ghana</w:t>
      </w:r>
    </w:p>
    <w:p w14:paraId="51EA8857" w14:textId="2D7D5DBA" w:rsidR="00CD37B8" w:rsidRPr="004C3CF6" w:rsidRDefault="00CD37B8" w:rsidP="00CD37B8">
      <w:pPr>
        <w:rPr>
          <w:color w:val="000000" w:themeColor="text1"/>
        </w:rPr>
      </w:pPr>
    </w:p>
    <w:p w14:paraId="3D818688" w14:textId="2D12E0B4" w:rsidR="00CD37B8" w:rsidRPr="004C3CF6" w:rsidRDefault="00CD37B8" w:rsidP="00CD37B8">
      <w:pPr>
        <w:rPr>
          <w:color w:val="000000" w:themeColor="text1"/>
        </w:rPr>
      </w:pPr>
    </w:p>
    <w:p w14:paraId="4843364D" w14:textId="55870ACD" w:rsidR="00CD37B8" w:rsidRPr="004C3CF6" w:rsidRDefault="00CD37B8" w:rsidP="00CD37B8">
      <w:pPr>
        <w:rPr>
          <w:color w:val="000000" w:themeColor="text1"/>
        </w:rPr>
      </w:pPr>
    </w:p>
    <w:p w14:paraId="38B64AB7" w14:textId="445D2C11" w:rsidR="00CD37B8" w:rsidRPr="004C3CF6" w:rsidRDefault="00CD37B8" w:rsidP="00CD37B8">
      <w:pPr>
        <w:rPr>
          <w:color w:val="000000" w:themeColor="text1"/>
        </w:rPr>
      </w:pPr>
    </w:p>
    <w:p w14:paraId="45705CFF" w14:textId="02AC6DCB" w:rsidR="00CD37B8" w:rsidRPr="004C3CF6" w:rsidRDefault="00CD37B8" w:rsidP="00CD37B8">
      <w:pPr>
        <w:rPr>
          <w:color w:val="000000" w:themeColor="text1"/>
          <w:sz w:val="24"/>
        </w:rPr>
      </w:pPr>
    </w:p>
    <w:p w14:paraId="2BFCBF57" w14:textId="1A454819" w:rsidR="00CD37B8" w:rsidRPr="004C3CF6" w:rsidRDefault="00CD37B8">
      <w:pPr>
        <w:rPr>
          <w:color w:val="000000" w:themeColor="text1"/>
        </w:rPr>
      </w:pPr>
      <w:r w:rsidRPr="004C3CF6">
        <w:rPr>
          <w:color w:val="000000" w:themeColor="text1"/>
        </w:rPr>
        <w:br w:type="page"/>
      </w:r>
    </w:p>
    <w:p w14:paraId="61C89845" w14:textId="77777777" w:rsidR="00CD37B8" w:rsidRPr="004C3CF6" w:rsidRDefault="00CD37B8" w:rsidP="004C3CF6">
      <w:pPr>
        <w:pStyle w:val="Heading1"/>
        <w:jc w:val="cente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lastRenderedPageBreak/>
        <w:t>Gender and NSMQ Performance in Ghana (2016–2024)</w:t>
      </w:r>
    </w:p>
    <w:p w14:paraId="67868CDE"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Project Overview</w:t>
      </w:r>
    </w:p>
    <w:p w14:paraId="2FD71FE1" w14:textId="77777777" w:rsidR="00CD37B8" w:rsidRPr="004C3CF6" w:rsidRDefault="00CD37B8" w:rsidP="004C3CF6">
      <w:pPr>
        <w:jc w:val="both"/>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xml:space="preserve">This project explores the relationship between school gender type (boys’, girls’, or mixed) and performance in Ghana’s National Science and </w:t>
      </w:r>
      <w:proofErr w:type="spellStart"/>
      <w:r w:rsidRPr="004C3CF6">
        <w:rPr>
          <w:rFonts w:ascii="Times New Roman" w:hAnsi="Times New Roman" w:cs="Times New Roman"/>
          <w:color w:val="000000" w:themeColor="text1"/>
          <w:sz w:val="24"/>
          <w:szCs w:val="24"/>
        </w:rPr>
        <w:t>Maths</w:t>
      </w:r>
      <w:proofErr w:type="spellEnd"/>
      <w:r w:rsidRPr="004C3CF6">
        <w:rPr>
          <w:rFonts w:ascii="Times New Roman" w:hAnsi="Times New Roman" w:cs="Times New Roman"/>
          <w:color w:val="000000" w:themeColor="text1"/>
          <w:sz w:val="24"/>
          <w:szCs w:val="24"/>
        </w:rPr>
        <w:t xml:space="preserve"> Quiz (NSMQ) from 2016 to 2024. As a data analyst, the goal is to use Microsoft Excel to clean, explore, and analyze the dataset to uncover trends and insights about gender-based performance differences.</w:t>
      </w:r>
    </w:p>
    <w:p w14:paraId="6AEEBE8C"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Introduction</w:t>
      </w:r>
    </w:p>
    <w:p w14:paraId="6410E975" w14:textId="77777777" w:rsidR="00CD37B8" w:rsidRPr="004C3CF6" w:rsidRDefault="00CD37B8" w:rsidP="004C3CF6">
      <w:pPr>
        <w:jc w:val="both"/>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xml:space="preserve">The National Science and </w:t>
      </w:r>
      <w:proofErr w:type="spellStart"/>
      <w:r w:rsidRPr="004C3CF6">
        <w:rPr>
          <w:rFonts w:ascii="Times New Roman" w:hAnsi="Times New Roman" w:cs="Times New Roman"/>
          <w:color w:val="000000" w:themeColor="text1"/>
          <w:sz w:val="24"/>
          <w:szCs w:val="24"/>
        </w:rPr>
        <w:t>Maths</w:t>
      </w:r>
      <w:proofErr w:type="spellEnd"/>
      <w:r w:rsidRPr="004C3CF6">
        <w:rPr>
          <w:rFonts w:ascii="Times New Roman" w:hAnsi="Times New Roman" w:cs="Times New Roman"/>
          <w:color w:val="000000" w:themeColor="text1"/>
          <w:sz w:val="24"/>
          <w:szCs w:val="24"/>
        </w:rPr>
        <w:t xml:space="preserve"> Quiz (NSMQ) is one of Ghana’s most prestigious academic competitions, bringing together senior high schools from across the country. Over the years, there has been debate about whether the gender composition of a school; boys’, girls’, or mixed impacts its performance in the competition. This project analyzes NSMQ performance between 2016 and 2024 to investigate whether school gender is associated with success. The dataset contains school details, region, gender, points scored, win/loss status, and contest stages.</w:t>
      </w:r>
    </w:p>
    <w:p w14:paraId="77D91D38"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Objectives</w:t>
      </w:r>
    </w:p>
    <w:p w14:paraId="5F42E6E0" w14:textId="77777777" w:rsidR="00CD37B8" w:rsidRPr="004C3CF6" w:rsidRDefault="00CD37B8" w:rsidP="007409B3">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The main objective is to examine the relationship between school gender and performance in the NSMQ. Specifically:</w:t>
      </w:r>
    </w:p>
    <w:p w14:paraId="24A01131" w14:textId="77777777" w:rsidR="00CD37B8" w:rsidRPr="004C3CF6" w:rsidRDefault="00CD37B8" w:rsidP="007409B3">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Compare average points scored by boys’, girls’, and mixed schools.</w:t>
      </w:r>
      <w:r w:rsidRPr="004C3CF6">
        <w:rPr>
          <w:rFonts w:ascii="Times New Roman" w:hAnsi="Times New Roman" w:cs="Times New Roman"/>
          <w:color w:val="000000" w:themeColor="text1"/>
          <w:sz w:val="24"/>
          <w:szCs w:val="24"/>
        </w:rPr>
        <w:br/>
        <w:t>• Test whether school gender is associated with winning outcomes.</w:t>
      </w:r>
      <w:r w:rsidRPr="004C3CF6">
        <w:rPr>
          <w:rFonts w:ascii="Times New Roman" w:hAnsi="Times New Roman" w:cs="Times New Roman"/>
          <w:color w:val="000000" w:themeColor="text1"/>
          <w:sz w:val="24"/>
          <w:szCs w:val="24"/>
        </w:rPr>
        <w:br/>
        <w:t>• Identify statistical significance of performance differences across gender categories.</w:t>
      </w:r>
    </w:p>
    <w:p w14:paraId="2BC05B45"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Methodology</w:t>
      </w:r>
    </w:p>
    <w:p w14:paraId="0D7A3113"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The analysis was performed using Microsoft Excel with Pivot Tables, Descriptive Statistics, and basic statistical tests (Chi-Square, ANOVA, and t-Test). The steps included:</w:t>
      </w:r>
    </w:p>
    <w:p w14:paraId="23B95290" w14:textId="77777777" w:rsidR="00CD37B8" w:rsidRPr="004C3CF6" w:rsidRDefault="00CD37B8" w:rsidP="00CD37B8">
      <w:pPr>
        <w:pStyle w:val="ListNumbe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xml:space="preserve"> Data Source</w:t>
      </w:r>
    </w:p>
    <w:p w14:paraId="17A11BAE" w14:textId="77777777" w:rsidR="00CD37B8" w:rsidRPr="004C3CF6" w:rsidRDefault="00CD37B8" w:rsidP="007409B3">
      <w:pPr>
        <w:jc w:val="both"/>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Secondary data was obtained from Kaggle (2024). The dataset, titled 'NSMQ Data Analysis (2016–2024)', included information on school gender type, points scored, contest results, and year of participation.</w:t>
      </w:r>
    </w:p>
    <w:p w14:paraId="1AAFB2FC" w14:textId="77777777" w:rsidR="00CD37B8" w:rsidRPr="004C3CF6" w:rsidRDefault="00CD37B8" w:rsidP="00CD37B8">
      <w:pPr>
        <w:pStyle w:val="ListNumbe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Data Cleaning</w:t>
      </w:r>
    </w:p>
    <w:p w14:paraId="6172400B" w14:textId="4780AE30" w:rsidR="00CD37B8" w:rsidRPr="004C3CF6" w:rsidRDefault="00CD37B8" w:rsidP="007409B3">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Standardized the 'Stage' column to numeric values representing contest progression.</w:t>
      </w:r>
      <w:r w:rsidRPr="004C3CF6">
        <w:rPr>
          <w:rFonts w:ascii="Times New Roman" w:hAnsi="Times New Roman" w:cs="Times New Roman"/>
          <w:color w:val="000000" w:themeColor="text1"/>
          <w:sz w:val="24"/>
          <w:szCs w:val="24"/>
        </w:rPr>
        <w:br/>
        <w:t>• Created a 'Win Flag' column (1 = win, 0 = loss).</w:t>
      </w:r>
      <w:r w:rsidRPr="004C3CF6">
        <w:rPr>
          <w:rFonts w:ascii="Times New Roman" w:hAnsi="Times New Roman" w:cs="Times New Roman"/>
          <w:color w:val="000000" w:themeColor="text1"/>
          <w:sz w:val="24"/>
          <w:szCs w:val="24"/>
        </w:rPr>
        <w:br/>
        <w:t>• Ensured numerical columns were correctly formatted.</w:t>
      </w:r>
      <w:r w:rsidR="004C3CF6">
        <w:rPr>
          <w:rFonts w:ascii="Times New Roman" w:hAnsi="Times New Roman" w:cs="Times New Roman"/>
          <w:color w:val="000000" w:themeColor="text1"/>
          <w:sz w:val="24"/>
          <w:szCs w:val="24"/>
        </w:rPr>
        <w:br/>
      </w:r>
    </w:p>
    <w:p w14:paraId="770FBF4F" w14:textId="77777777" w:rsidR="00CD37B8" w:rsidRPr="004C3CF6" w:rsidRDefault="00CD37B8" w:rsidP="00CD37B8">
      <w:pPr>
        <w:pStyle w:val="ListNumbe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lastRenderedPageBreak/>
        <w:t>Exploratory Data Analysis (EDA)</w:t>
      </w:r>
    </w:p>
    <w:p w14:paraId="322B2752"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Performed basic descriptive analysis using Pivot Tables and charts to understand data distribution and performance trends. Calculated average points, win percentages, and gender distribution across years.</w:t>
      </w:r>
    </w:p>
    <w:p w14:paraId="3C9044BD" w14:textId="77777777" w:rsidR="00CD37B8" w:rsidRPr="004C3CF6" w:rsidRDefault="00CD37B8" w:rsidP="00CD37B8">
      <w:pPr>
        <w:pStyle w:val="ListNumbe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Statistical Analysis</w:t>
      </w:r>
    </w:p>
    <w:p w14:paraId="05A9D93C" w14:textId="5BFC543A"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xml:space="preserve">Conducted basic statistical tests using Excel’s Data Analysis </w:t>
      </w:r>
      <w:proofErr w:type="spellStart"/>
      <w:r w:rsidRPr="004C3CF6">
        <w:rPr>
          <w:rFonts w:ascii="Times New Roman" w:hAnsi="Times New Roman" w:cs="Times New Roman"/>
          <w:color w:val="000000" w:themeColor="text1"/>
          <w:sz w:val="24"/>
          <w:szCs w:val="24"/>
        </w:rPr>
        <w:t>Tool</w:t>
      </w:r>
      <w:r w:rsidR="007409B3">
        <w:rPr>
          <w:rFonts w:ascii="Times New Roman" w:hAnsi="Times New Roman" w:cs="Times New Roman"/>
          <w:color w:val="000000" w:themeColor="text1"/>
          <w:sz w:val="24"/>
          <w:szCs w:val="24"/>
        </w:rPr>
        <w:t>p</w:t>
      </w:r>
      <w:r w:rsidRPr="004C3CF6">
        <w:rPr>
          <w:rFonts w:ascii="Times New Roman" w:hAnsi="Times New Roman" w:cs="Times New Roman"/>
          <w:color w:val="000000" w:themeColor="text1"/>
          <w:sz w:val="24"/>
          <w:szCs w:val="24"/>
        </w:rPr>
        <w:t>ak</w:t>
      </w:r>
      <w:proofErr w:type="spellEnd"/>
      <w:r w:rsidRPr="004C3CF6">
        <w:rPr>
          <w:rFonts w:ascii="Times New Roman" w:hAnsi="Times New Roman" w:cs="Times New Roman"/>
          <w:color w:val="000000" w:themeColor="text1"/>
          <w:sz w:val="24"/>
          <w:szCs w:val="24"/>
        </w:rPr>
        <w:t>:</w:t>
      </w:r>
      <w:r w:rsidRPr="004C3CF6">
        <w:rPr>
          <w:rFonts w:ascii="Times New Roman" w:hAnsi="Times New Roman" w:cs="Times New Roman"/>
          <w:color w:val="000000" w:themeColor="text1"/>
          <w:sz w:val="24"/>
          <w:szCs w:val="24"/>
        </w:rPr>
        <w:br/>
        <w:t>• Chi-Square Test: To test for association between school gender and win outcomes.</w:t>
      </w:r>
      <w:r w:rsidRPr="004C3CF6">
        <w:rPr>
          <w:rFonts w:ascii="Times New Roman" w:hAnsi="Times New Roman" w:cs="Times New Roman"/>
          <w:color w:val="000000" w:themeColor="text1"/>
          <w:sz w:val="24"/>
          <w:szCs w:val="24"/>
        </w:rPr>
        <w:br/>
        <w:t>• ANOVA Test: To compare average points among boys’, girls’, and mixed schools.</w:t>
      </w:r>
      <w:r w:rsidRPr="004C3CF6">
        <w:rPr>
          <w:rFonts w:ascii="Times New Roman" w:hAnsi="Times New Roman" w:cs="Times New Roman"/>
          <w:color w:val="000000" w:themeColor="text1"/>
          <w:sz w:val="24"/>
          <w:szCs w:val="24"/>
        </w:rPr>
        <w:br/>
        <w:t>• t-Tests: For pairwise comparisons between gender groups.</w:t>
      </w:r>
      <w:r w:rsidRPr="004C3CF6">
        <w:rPr>
          <w:rFonts w:ascii="Times New Roman" w:hAnsi="Times New Roman" w:cs="Times New Roman"/>
          <w:color w:val="000000" w:themeColor="text1"/>
          <w:sz w:val="24"/>
          <w:szCs w:val="24"/>
        </w:rPr>
        <w:br/>
        <w:t>Results were interpreted based on p-values (p &lt; 0.05 considered significant).</w:t>
      </w:r>
    </w:p>
    <w:p w14:paraId="5FFF8CB7"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Analysis and Results</w:t>
      </w:r>
    </w:p>
    <w:p w14:paraId="69C631FA" w14:textId="77777777" w:rsidR="00CD37B8" w:rsidRPr="004C3CF6" w:rsidRDefault="00CD37B8" w:rsidP="00CD37B8">
      <w:pPr>
        <w:pStyle w:val="ListBullet"/>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A. Descriptive Analysis</w:t>
      </w:r>
    </w:p>
    <w:tbl>
      <w:tblPr>
        <w:tblW w:w="0" w:type="auto"/>
        <w:tblLook w:val="04A0" w:firstRow="1" w:lastRow="0" w:firstColumn="1" w:lastColumn="0" w:noHBand="0" w:noVBand="1"/>
      </w:tblPr>
      <w:tblGrid>
        <w:gridCol w:w="2160"/>
        <w:gridCol w:w="2160"/>
        <w:gridCol w:w="2160"/>
        <w:gridCol w:w="2160"/>
      </w:tblGrid>
      <w:tr w:rsidR="004C3CF6" w:rsidRPr="004C3CF6" w14:paraId="68C36625" w14:textId="77777777" w:rsidTr="00A44D28">
        <w:tc>
          <w:tcPr>
            <w:tcW w:w="2160" w:type="dxa"/>
          </w:tcPr>
          <w:p w14:paraId="73783A6E"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Gender</w:t>
            </w:r>
          </w:p>
        </w:tc>
        <w:tc>
          <w:tcPr>
            <w:tcW w:w="2160" w:type="dxa"/>
          </w:tcPr>
          <w:p w14:paraId="66667C6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Average Points</w:t>
            </w:r>
          </w:p>
        </w:tc>
        <w:tc>
          <w:tcPr>
            <w:tcW w:w="2160" w:type="dxa"/>
          </w:tcPr>
          <w:p w14:paraId="04BF71BC"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Wins</w:t>
            </w:r>
          </w:p>
        </w:tc>
        <w:tc>
          <w:tcPr>
            <w:tcW w:w="2160" w:type="dxa"/>
          </w:tcPr>
          <w:p w14:paraId="3F7AE58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Contests</w:t>
            </w:r>
          </w:p>
        </w:tc>
      </w:tr>
      <w:tr w:rsidR="004C3CF6" w:rsidRPr="004C3CF6" w14:paraId="673638AC" w14:textId="77777777" w:rsidTr="00A44D28">
        <w:tc>
          <w:tcPr>
            <w:tcW w:w="2160" w:type="dxa"/>
          </w:tcPr>
          <w:p w14:paraId="2B3282F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Boys</w:t>
            </w:r>
          </w:p>
        </w:tc>
        <w:tc>
          <w:tcPr>
            <w:tcW w:w="2160" w:type="dxa"/>
          </w:tcPr>
          <w:p w14:paraId="4BD627CC"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42.46</w:t>
            </w:r>
          </w:p>
        </w:tc>
        <w:tc>
          <w:tcPr>
            <w:tcW w:w="2160" w:type="dxa"/>
          </w:tcPr>
          <w:p w14:paraId="71C1AB8D"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179</w:t>
            </w:r>
          </w:p>
        </w:tc>
        <w:tc>
          <w:tcPr>
            <w:tcW w:w="2160" w:type="dxa"/>
          </w:tcPr>
          <w:p w14:paraId="2DDF3663"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340</w:t>
            </w:r>
          </w:p>
        </w:tc>
      </w:tr>
      <w:tr w:rsidR="004C3CF6" w:rsidRPr="004C3CF6" w14:paraId="3B23912D" w14:textId="77777777" w:rsidTr="00A44D28">
        <w:tc>
          <w:tcPr>
            <w:tcW w:w="2160" w:type="dxa"/>
          </w:tcPr>
          <w:p w14:paraId="26290DFB"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Girls</w:t>
            </w:r>
          </w:p>
        </w:tc>
        <w:tc>
          <w:tcPr>
            <w:tcW w:w="2160" w:type="dxa"/>
          </w:tcPr>
          <w:p w14:paraId="100A147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32.57</w:t>
            </w:r>
          </w:p>
        </w:tc>
        <w:tc>
          <w:tcPr>
            <w:tcW w:w="2160" w:type="dxa"/>
          </w:tcPr>
          <w:p w14:paraId="6DBF577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28</w:t>
            </w:r>
          </w:p>
        </w:tc>
        <w:tc>
          <w:tcPr>
            <w:tcW w:w="2160" w:type="dxa"/>
          </w:tcPr>
          <w:p w14:paraId="608A77D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111</w:t>
            </w:r>
          </w:p>
        </w:tc>
      </w:tr>
      <w:tr w:rsidR="004C3CF6" w:rsidRPr="004C3CF6" w14:paraId="4BE9F581" w14:textId="77777777" w:rsidTr="00A44D28">
        <w:tc>
          <w:tcPr>
            <w:tcW w:w="2160" w:type="dxa"/>
          </w:tcPr>
          <w:p w14:paraId="5E8535AD"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Mixed</w:t>
            </w:r>
          </w:p>
        </w:tc>
        <w:tc>
          <w:tcPr>
            <w:tcW w:w="2160" w:type="dxa"/>
          </w:tcPr>
          <w:p w14:paraId="37690EE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32.46</w:t>
            </w:r>
          </w:p>
        </w:tc>
        <w:tc>
          <w:tcPr>
            <w:tcW w:w="2160" w:type="dxa"/>
          </w:tcPr>
          <w:p w14:paraId="546CB03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153</w:t>
            </w:r>
          </w:p>
        </w:tc>
        <w:tc>
          <w:tcPr>
            <w:tcW w:w="2160" w:type="dxa"/>
          </w:tcPr>
          <w:p w14:paraId="68B03B9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629</w:t>
            </w:r>
          </w:p>
        </w:tc>
      </w:tr>
      <w:tr w:rsidR="004C3CF6" w:rsidRPr="004C3CF6" w14:paraId="049B46B5" w14:textId="77777777" w:rsidTr="00A44D28">
        <w:tc>
          <w:tcPr>
            <w:tcW w:w="2160" w:type="dxa"/>
          </w:tcPr>
          <w:p w14:paraId="697C28CF"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Total</w:t>
            </w:r>
          </w:p>
        </w:tc>
        <w:tc>
          <w:tcPr>
            <w:tcW w:w="2160" w:type="dxa"/>
          </w:tcPr>
          <w:p w14:paraId="5B3669F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35.62</w:t>
            </w:r>
          </w:p>
        </w:tc>
        <w:tc>
          <w:tcPr>
            <w:tcW w:w="2160" w:type="dxa"/>
          </w:tcPr>
          <w:p w14:paraId="518BD743"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360</w:t>
            </w:r>
          </w:p>
        </w:tc>
        <w:tc>
          <w:tcPr>
            <w:tcW w:w="2160" w:type="dxa"/>
          </w:tcPr>
          <w:p w14:paraId="7CCDF775"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1080</w:t>
            </w:r>
          </w:p>
        </w:tc>
      </w:tr>
    </w:tbl>
    <w:p w14:paraId="53F44354"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Boys’ schools recorded the highest average points (42.46) and the most wins. Girls’ and mixed schools both scored around 32.5 on average, considerably lower than boys’ schools.</w:t>
      </w:r>
    </w:p>
    <w:p w14:paraId="5CC7C27C" w14:textId="77777777" w:rsidR="00CD37B8" w:rsidRPr="004C3CF6" w:rsidRDefault="00CD37B8" w:rsidP="00CD37B8">
      <w:pPr>
        <w:pStyle w:val="ListBullet"/>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 Chi-Square Test (Win vs Gender)</w:t>
      </w:r>
    </w:p>
    <w:tbl>
      <w:tblPr>
        <w:tblW w:w="0" w:type="auto"/>
        <w:tblLook w:val="04A0" w:firstRow="1" w:lastRow="0" w:firstColumn="1" w:lastColumn="0" w:noHBand="0" w:noVBand="1"/>
      </w:tblPr>
      <w:tblGrid>
        <w:gridCol w:w="1728"/>
        <w:gridCol w:w="1728"/>
        <w:gridCol w:w="1728"/>
        <w:gridCol w:w="1728"/>
        <w:gridCol w:w="1728"/>
      </w:tblGrid>
      <w:tr w:rsidR="004C3CF6" w:rsidRPr="004C3CF6" w14:paraId="635765D5" w14:textId="77777777" w:rsidTr="00A44D28">
        <w:tc>
          <w:tcPr>
            <w:tcW w:w="1728" w:type="dxa"/>
          </w:tcPr>
          <w:p w14:paraId="767CE82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Gender</w:t>
            </w:r>
          </w:p>
        </w:tc>
        <w:tc>
          <w:tcPr>
            <w:tcW w:w="1728" w:type="dxa"/>
          </w:tcPr>
          <w:p w14:paraId="30E25F6E"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Wins</w:t>
            </w:r>
          </w:p>
        </w:tc>
        <w:tc>
          <w:tcPr>
            <w:tcW w:w="1728" w:type="dxa"/>
          </w:tcPr>
          <w:p w14:paraId="7773DB3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Not Wins</w:t>
            </w:r>
          </w:p>
        </w:tc>
        <w:tc>
          <w:tcPr>
            <w:tcW w:w="1728" w:type="dxa"/>
          </w:tcPr>
          <w:p w14:paraId="32ACFE0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Expected Wins</w:t>
            </w:r>
          </w:p>
        </w:tc>
        <w:tc>
          <w:tcPr>
            <w:tcW w:w="1728" w:type="dxa"/>
          </w:tcPr>
          <w:p w14:paraId="31995B7C"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Expected Losses</w:t>
            </w:r>
          </w:p>
        </w:tc>
      </w:tr>
      <w:tr w:rsidR="004C3CF6" w:rsidRPr="004C3CF6" w14:paraId="6F034A21" w14:textId="77777777" w:rsidTr="00A44D28">
        <w:tc>
          <w:tcPr>
            <w:tcW w:w="1728" w:type="dxa"/>
          </w:tcPr>
          <w:p w14:paraId="2AEA88A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Boys</w:t>
            </w:r>
          </w:p>
        </w:tc>
        <w:tc>
          <w:tcPr>
            <w:tcW w:w="1728" w:type="dxa"/>
          </w:tcPr>
          <w:p w14:paraId="02893435"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179</w:t>
            </w:r>
          </w:p>
        </w:tc>
        <w:tc>
          <w:tcPr>
            <w:tcW w:w="1728" w:type="dxa"/>
          </w:tcPr>
          <w:p w14:paraId="64A477F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161</w:t>
            </w:r>
          </w:p>
        </w:tc>
        <w:tc>
          <w:tcPr>
            <w:tcW w:w="1728" w:type="dxa"/>
          </w:tcPr>
          <w:p w14:paraId="149A5C9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340</w:t>
            </w:r>
          </w:p>
        </w:tc>
        <w:tc>
          <w:tcPr>
            <w:tcW w:w="1728" w:type="dxa"/>
          </w:tcPr>
          <w:p w14:paraId="00DE663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107.33</w:t>
            </w:r>
          </w:p>
        </w:tc>
      </w:tr>
      <w:tr w:rsidR="004C3CF6" w:rsidRPr="004C3CF6" w14:paraId="367A33A8" w14:textId="77777777" w:rsidTr="00A44D28">
        <w:tc>
          <w:tcPr>
            <w:tcW w:w="1728" w:type="dxa"/>
          </w:tcPr>
          <w:p w14:paraId="6C3FB625"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Girls</w:t>
            </w:r>
          </w:p>
        </w:tc>
        <w:tc>
          <w:tcPr>
            <w:tcW w:w="1728" w:type="dxa"/>
          </w:tcPr>
          <w:p w14:paraId="633B8CDF"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28</w:t>
            </w:r>
          </w:p>
        </w:tc>
        <w:tc>
          <w:tcPr>
            <w:tcW w:w="1728" w:type="dxa"/>
          </w:tcPr>
          <w:p w14:paraId="7E982259"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83</w:t>
            </w:r>
          </w:p>
        </w:tc>
        <w:tc>
          <w:tcPr>
            <w:tcW w:w="1728" w:type="dxa"/>
          </w:tcPr>
          <w:p w14:paraId="2D6A9A4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111</w:t>
            </w:r>
          </w:p>
        </w:tc>
        <w:tc>
          <w:tcPr>
            <w:tcW w:w="1728" w:type="dxa"/>
          </w:tcPr>
          <w:p w14:paraId="6DAD900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55.33</w:t>
            </w:r>
          </w:p>
        </w:tc>
      </w:tr>
      <w:tr w:rsidR="004C3CF6" w:rsidRPr="004C3CF6" w14:paraId="5CDDA85D" w14:textId="77777777" w:rsidTr="00A44D28">
        <w:tc>
          <w:tcPr>
            <w:tcW w:w="1728" w:type="dxa"/>
          </w:tcPr>
          <w:p w14:paraId="091C7DFD"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Mixed</w:t>
            </w:r>
          </w:p>
        </w:tc>
        <w:tc>
          <w:tcPr>
            <w:tcW w:w="1728" w:type="dxa"/>
          </w:tcPr>
          <w:p w14:paraId="251A111A"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153</w:t>
            </w:r>
          </w:p>
        </w:tc>
        <w:tc>
          <w:tcPr>
            <w:tcW w:w="1728" w:type="dxa"/>
          </w:tcPr>
          <w:p w14:paraId="740EE32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476</w:t>
            </w:r>
          </w:p>
        </w:tc>
        <w:tc>
          <w:tcPr>
            <w:tcW w:w="1728" w:type="dxa"/>
          </w:tcPr>
          <w:p w14:paraId="7A2CCDF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629</w:t>
            </w:r>
          </w:p>
        </w:tc>
        <w:tc>
          <w:tcPr>
            <w:tcW w:w="1728" w:type="dxa"/>
          </w:tcPr>
          <w:p w14:paraId="23E6808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317.33</w:t>
            </w:r>
          </w:p>
        </w:tc>
      </w:tr>
    </w:tbl>
    <w:p w14:paraId="3E90D226"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P-value = 0.000</w:t>
      </w:r>
      <w:r w:rsidRPr="004C3CF6">
        <w:rPr>
          <w:rFonts w:ascii="Times New Roman" w:hAnsi="Times New Roman" w:cs="Times New Roman"/>
          <w:color w:val="000000" w:themeColor="text1"/>
          <w:sz w:val="24"/>
          <w:szCs w:val="24"/>
        </w:rPr>
        <w:br/>
        <w:t>Interpretation: There is a strong, statistically significant association between school gender and winning. Boys’ schools are far more likely to win than expected, while girls’ and mixed schools underperform relative to expectations.</w:t>
      </w:r>
    </w:p>
    <w:p w14:paraId="54DAD7E4" w14:textId="77777777" w:rsidR="00CD37B8" w:rsidRPr="004C3CF6" w:rsidRDefault="00CD37B8" w:rsidP="00CD37B8">
      <w:pPr>
        <w:pStyle w:val="ListBullet"/>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lastRenderedPageBreak/>
        <w:t>C. ANOVA Test (Average Points by Gender)</w:t>
      </w:r>
    </w:p>
    <w:p w14:paraId="6A9928BB"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F = 79.41, P-value = 6.78E-33, F-critical = 3.00</w:t>
      </w:r>
      <w:r w:rsidRPr="004C3CF6">
        <w:rPr>
          <w:rFonts w:ascii="Times New Roman" w:hAnsi="Times New Roman" w:cs="Times New Roman"/>
          <w:color w:val="000000" w:themeColor="text1"/>
          <w:sz w:val="24"/>
          <w:szCs w:val="24"/>
        </w:rPr>
        <w:br/>
        <w:t>Since P &lt; 0.05, there is a significant difference in average points among boys’, girls’, and mixed schools.</w:t>
      </w:r>
    </w:p>
    <w:p w14:paraId="10BC8526" w14:textId="77777777" w:rsidR="00CD37B8" w:rsidRPr="004C3CF6" w:rsidRDefault="00CD37B8" w:rsidP="00CD37B8">
      <w:pPr>
        <w:pStyle w:val="ListBullet"/>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D. t-Tests (Pairwise Comparisons)</w:t>
      </w:r>
    </w:p>
    <w:p w14:paraId="2B4CB5E8"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Boys vs Girls: t = 7.55, P ≈ 1.25E-12 → Boys score significantly higher than girls.</w:t>
      </w:r>
      <w:r w:rsidRPr="004C3CF6">
        <w:rPr>
          <w:rFonts w:ascii="Times New Roman" w:hAnsi="Times New Roman" w:cs="Times New Roman"/>
          <w:color w:val="000000" w:themeColor="text1"/>
          <w:sz w:val="24"/>
          <w:szCs w:val="24"/>
        </w:rPr>
        <w:br/>
        <w:t>• Boys vs Mixed: t = 11.73, P ≈ 8.09E-29 → Boys score significantly higher than mixed schools.</w:t>
      </w:r>
    </w:p>
    <w:p w14:paraId="38EB5A7A" w14:textId="77777777" w:rsidR="00CD37B8" w:rsidRPr="004C3CF6" w:rsidRDefault="00CD37B8" w:rsidP="00CD37B8">
      <w:pPr>
        <w:pStyle w:val="ListBullet"/>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E. Yearly Trends (2016–2024)</w:t>
      </w:r>
    </w:p>
    <w:tbl>
      <w:tblPr>
        <w:tblW w:w="0" w:type="auto"/>
        <w:tblLook w:val="04A0" w:firstRow="1" w:lastRow="0" w:firstColumn="1" w:lastColumn="0" w:noHBand="0" w:noVBand="1"/>
      </w:tblPr>
      <w:tblGrid>
        <w:gridCol w:w="1728"/>
        <w:gridCol w:w="1728"/>
        <w:gridCol w:w="1728"/>
        <w:gridCol w:w="1728"/>
        <w:gridCol w:w="1728"/>
      </w:tblGrid>
      <w:tr w:rsidR="004C3CF6" w:rsidRPr="004C3CF6" w14:paraId="482CF8B2" w14:textId="77777777" w:rsidTr="00A44D28">
        <w:tc>
          <w:tcPr>
            <w:tcW w:w="1728" w:type="dxa"/>
          </w:tcPr>
          <w:p w14:paraId="37FAC1F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Year</w:t>
            </w:r>
          </w:p>
        </w:tc>
        <w:tc>
          <w:tcPr>
            <w:tcW w:w="1728" w:type="dxa"/>
          </w:tcPr>
          <w:p w14:paraId="29EF79FF"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Boys Avg</w:t>
            </w:r>
          </w:p>
        </w:tc>
        <w:tc>
          <w:tcPr>
            <w:tcW w:w="1728" w:type="dxa"/>
          </w:tcPr>
          <w:p w14:paraId="6327E2A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Girls Avg</w:t>
            </w:r>
          </w:p>
        </w:tc>
        <w:tc>
          <w:tcPr>
            <w:tcW w:w="1728" w:type="dxa"/>
          </w:tcPr>
          <w:p w14:paraId="0C2E472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Mixed Avg</w:t>
            </w:r>
          </w:p>
        </w:tc>
        <w:tc>
          <w:tcPr>
            <w:tcW w:w="1728" w:type="dxa"/>
          </w:tcPr>
          <w:p w14:paraId="666B948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Overall Avg</w:t>
            </w:r>
          </w:p>
        </w:tc>
      </w:tr>
      <w:tr w:rsidR="004C3CF6" w:rsidRPr="004C3CF6" w14:paraId="7038732F" w14:textId="77777777" w:rsidTr="00A44D28">
        <w:tc>
          <w:tcPr>
            <w:tcW w:w="1728" w:type="dxa"/>
          </w:tcPr>
          <w:p w14:paraId="004DAAB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2016</w:t>
            </w:r>
          </w:p>
        </w:tc>
        <w:tc>
          <w:tcPr>
            <w:tcW w:w="1728" w:type="dxa"/>
          </w:tcPr>
          <w:p w14:paraId="3E9B1775"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45.68</w:t>
            </w:r>
          </w:p>
        </w:tc>
        <w:tc>
          <w:tcPr>
            <w:tcW w:w="1728" w:type="dxa"/>
          </w:tcPr>
          <w:p w14:paraId="5EDFA95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37.27</w:t>
            </w:r>
          </w:p>
        </w:tc>
        <w:tc>
          <w:tcPr>
            <w:tcW w:w="1728" w:type="dxa"/>
          </w:tcPr>
          <w:p w14:paraId="45703B8F"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37.09</w:t>
            </w:r>
          </w:p>
        </w:tc>
        <w:tc>
          <w:tcPr>
            <w:tcW w:w="1728" w:type="dxa"/>
          </w:tcPr>
          <w:p w14:paraId="7DA9A55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39.97</w:t>
            </w:r>
          </w:p>
        </w:tc>
      </w:tr>
      <w:tr w:rsidR="004C3CF6" w:rsidRPr="004C3CF6" w14:paraId="46C07548" w14:textId="77777777" w:rsidTr="00A44D28">
        <w:tc>
          <w:tcPr>
            <w:tcW w:w="1728" w:type="dxa"/>
          </w:tcPr>
          <w:p w14:paraId="40A7D30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2017</w:t>
            </w:r>
          </w:p>
        </w:tc>
        <w:tc>
          <w:tcPr>
            <w:tcW w:w="1728" w:type="dxa"/>
          </w:tcPr>
          <w:p w14:paraId="01577E4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42.94</w:t>
            </w:r>
          </w:p>
        </w:tc>
        <w:tc>
          <w:tcPr>
            <w:tcW w:w="1728" w:type="dxa"/>
          </w:tcPr>
          <w:p w14:paraId="1493146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34.08</w:t>
            </w:r>
          </w:p>
        </w:tc>
        <w:tc>
          <w:tcPr>
            <w:tcW w:w="1728" w:type="dxa"/>
          </w:tcPr>
          <w:p w14:paraId="69825AE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33.18</w:t>
            </w:r>
          </w:p>
        </w:tc>
        <w:tc>
          <w:tcPr>
            <w:tcW w:w="1728" w:type="dxa"/>
          </w:tcPr>
          <w:p w14:paraId="48E6510F"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36.21</w:t>
            </w:r>
          </w:p>
        </w:tc>
      </w:tr>
      <w:tr w:rsidR="004C3CF6" w:rsidRPr="004C3CF6" w14:paraId="1AC7E26A" w14:textId="77777777" w:rsidTr="00A44D28">
        <w:tc>
          <w:tcPr>
            <w:tcW w:w="1728" w:type="dxa"/>
          </w:tcPr>
          <w:p w14:paraId="606013E9"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2018</w:t>
            </w:r>
          </w:p>
        </w:tc>
        <w:tc>
          <w:tcPr>
            <w:tcW w:w="1728" w:type="dxa"/>
          </w:tcPr>
          <w:p w14:paraId="60E8B9CB"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40.65</w:t>
            </w:r>
          </w:p>
        </w:tc>
        <w:tc>
          <w:tcPr>
            <w:tcW w:w="1728" w:type="dxa"/>
          </w:tcPr>
          <w:p w14:paraId="5B2C8D0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32.06</w:t>
            </w:r>
          </w:p>
        </w:tc>
        <w:tc>
          <w:tcPr>
            <w:tcW w:w="1728" w:type="dxa"/>
          </w:tcPr>
          <w:p w14:paraId="572ABE59"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30.52</w:t>
            </w:r>
          </w:p>
        </w:tc>
        <w:tc>
          <w:tcPr>
            <w:tcW w:w="1728" w:type="dxa"/>
          </w:tcPr>
          <w:p w14:paraId="1DD54BC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33.61</w:t>
            </w:r>
          </w:p>
        </w:tc>
      </w:tr>
      <w:tr w:rsidR="004C3CF6" w:rsidRPr="004C3CF6" w14:paraId="13DD0625" w14:textId="77777777" w:rsidTr="00A44D28">
        <w:tc>
          <w:tcPr>
            <w:tcW w:w="1728" w:type="dxa"/>
          </w:tcPr>
          <w:p w14:paraId="0145B1F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2019</w:t>
            </w:r>
          </w:p>
        </w:tc>
        <w:tc>
          <w:tcPr>
            <w:tcW w:w="1728" w:type="dxa"/>
          </w:tcPr>
          <w:p w14:paraId="69C7E4DB"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38.14</w:t>
            </w:r>
          </w:p>
        </w:tc>
        <w:tc>
          <w:tcPr>
            <w:tcW w:w="1728" w:type="dxa"/>
          </w:tcPr>
          <w:p w14:paraId="34A386E5"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28.09</w:t>
            </w:r>
          </w:p>
        </w:tc>
        <w:tc>
          <w:tcPr>
            <w:tcW w:w="1728" w:type="dxa"/>
          </w:tcPr>
          <w:p w14:paraId="007ABC43"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29.34</w:t>
            </w:r>
          </w:p>
        </w:tc>
        <w:tc>
          <w:tcPr>
            <w:tcW w:w="1728" w:type="dxa"/>
          </w:tcPr>
          <w:p w14:paraId="7F950B3C"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31.87</w:t>
            </w:r>
          </w:p>
        </w:tc>
      </w:tr>
      <w:tr w:rsidR="004C3CF6" w:rsidRPr="004C3CF6" w14:paraId="18C5D297" w14:textId="77777777" w:rsidTr="00A44D28">
        <w:tc>
          <w:tcPr>
            <w:tcW w:w="1728" w:type="dxa"/>
          </w:tcPr>
          <w:p w14:paraId="21417683"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2020</w:t>
            </w:r>
          </w:p>
        </w:tc>
        <w:tc>
          <w:tcPr>
            <w:tcW w:w="1728" w:type="dxa"/>
          </w:tcPr>
          <w:p w14:paraId="676C347D"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39.94</w:t>
            </w:r>
          </w:p>
        </w:tc>
        <w:tc>
          <w:tcPr>
            <w:tcW w:w="1728" w:type="dxa"/>
          </w:tcPr>
          <w:p w14:paraId="3D268264"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32.15</w:t>
            </w:r>
          </w:p>
        </w:tc>
        <w:tc>
          <w:tcPr>
            <w:tcW w:w="1728" w:type="dxa"/>
          </w:tcPr>
          <w:p w14:paraId="09650E2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28.74</w:t>
            </w:r>
          </w:p>
        </w:tc>
        <w:tc>
          <w:tcPr>
            <w:tcW w:w="1728" w:type="dxa"/>
          </w:tcPr>
          <w:p w14:paraId="04DC76CA"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32.38</w:t>
            </w:r>
          </w:p>
        </w:tc>
      </w:tr>
      <w:tr w:rsidR="004C3CF6" w:rsidRPr="004C3CF6" w14:paraId="5E64FAED" w14:textId="77777777" w:rsidTr="00A44D28">
        <w:tc>
          <w:tcPr>
            <w:tcW w:w="1728" w:type="dxa"/>
          </w:tcPr>
          <w:p w14:paraId="782CAEF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2021</w:t>
            </w:r>
          </w:p>
        </w:tc>
        <w:tc>
          <w:tcPr>
            <w:tcW w:w="1728" w:type="dxa"/>
          </w:tcPr>
          <w:p w14:paraId="654117D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45.71</w:t>
            </w:r>
          </w:p>
        </w:tc>
        <w:tc>
          <w:tcPr>
            <w:tcW w:w="1728" w:type="dxa"/>
          </w:tcPr>
          <w:p w14:paraId="0D3C725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37.50</w:t>
            </w:r>
          </w:p>
        </w:tc>
        <w:tc>
          <w:tcPr>
            <w:tcW w:w="1728" w:type="dxa"/>
          </w:tcPr>
          <w:p w14:paraId="62FB484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34.92</w:t>
            </w:r>
          </w:p>
        </w:tc>
        <w:tc>
          <w:tcPr>
            <w:tcW w:w="1728" w:type="dxa"/>
          </w:tcPr>
          <w:p w14:paraId="5D10890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38.37</w:t>
            </w:r>
          </w:p>
        </w:tc>
      </w:tr>
      <w:tr w:rsidR="004C3CF6" w:rsidRPr="004C3CF6" w14:paraId="6106B925" w14:textId="77777777" w:rsidTr="00A44D28">
        <w:tc>
          <w:tcPr>
            <w:tcW w:w="1728" w:type="dxa"/>
          </w:tcPr>
          <w:p w14:paraId="62FB30D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2022</w:t>
            </w:r>
          </w:p>
        </w:tc>
        <w:tc>
          <w:tcPr>
            <w:tcW w:w="1728" w:type="dxa"/>
          </w:tcPr>
          <w:p w14:paraId="598D5A4E"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42.05</w:t>
            </w:r>
          </w:p>
        </w:tc>
        <w:tc>
          <w:tcPr>
            <w:tcW w:w="1728" w:type="dxa"/>
          </w:tcPr>
          <w:p w14:paraId="1ECE570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20.50</w:t>
            </w:r>
          </w:p>
        </w:tc>
        <w:tc>
          <w:tcPr>
            <w:tcW w:w="1728" w:type="dxa"/>
          </w:tcPr>
          <w:p w14:paraId="6CEC6DB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30.06</w:t>
            </w:r>
          </w:p>
        </w:tc>
        <w:tc>
          <w:tcPr>
            <w:tcW w:w="1728" w:type="dxa"/>
          </w:tcPr>
          <w:p w14:paraId="453A1A1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33.82</w:t>
            </w:r>
          </w:p>
        </w:tc>
      </w:tr>
      <w:tr w:rsidR="004C3CF6" w:rsidRPr="004C3CF6" w14:paraId="09B02C78" w14:textId="77777777" w:rsidTr="00A44D28">
        <w:tc>
          <w:tcPr>
            <w:tcW w:w="1728" w:type="dxa"/>
          </w:tcPr>
          <w:p w14:paraId="59F9986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2023</w:t>
            </w:r>
          </w:p>
        </w:tc>
        <w:tc>
          <w:tcPr>
            <w:tcW w:w="1728" w:type="dxa"/>
          </w:tcPr>
          <w:p w14:paraId="5758B10F"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40.29</w:t>
            </w:r>
          </w:p>
        </w:tc>
        <w:tc>
          <w:tcPr>
            <w:tcW w:w="1728" w:type="dxa"/>
          </w:tcPr>
          <w:p w14:paraId="008D8025"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31.75</w:t>
            </w:r>
          </w:p>
        </w:tc>
        <w:tc>
          <w:tcPr>
            <w:tcW w:w="1728" w:type="dxa"/>
          </w:tcPr>
          <w:p w14:paraId="4F79A9F0"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35.30</w:t>
            </w:r>
          </w:p>
        </w:tc>
        <w:tc>
          <w:tcPr>
            <w:tcW w:w="1728" w:type="dxa"/>
          </w:tcPr>
          <w:p w14:paraId="0979334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36.53</w:t>
            </w:r>
          </w:p>
        </w:tc>
      </w:tr>
      <w:tr w:rsidR="004C3CF6" w:rsidRPr="004C3CF6" w14:paraId="62E9DA9B" w14:textId="77777777" w:rsidTr="00A44D28">
        <w:tc>
          <w:tcPr>
            <w:tcW w:w="1728" w:type="dxa"/>
          </w:tcPr>
          <w:p w14:paraId="46A6A1A1"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2024</w:t>
            </w:r>
          </w:p>
        </w:tc>
        <w:tc>
          <w:tcPr>
            <w:tcW w:w="1728" w:type="dxa"/>
          </w:tcPr>
          <w:p w14:paraId="01937383"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46.33</w:t>
            </w:r>
          </w:p>
        </w:tc>
        <w:tc>
          <w:tcPr>
            <w:tcW w:w="1728" w:type="dxa"/>
          </w:tcPr>
          <w:p w14:paraId="10C309C9"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36.63</w:t>
            </w:r>
          </w:p>
        </w:tc>
        <w:tc>
          <w:tcPr>
            <w:tcW w:w="1728" w:type="dxa"/>
          </w:tcPr>
          <w:p w14:paraId="255B2968"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33.44</w:t>
            </w:r>
          </w:p>
        </w:tc>
        <w:tc>
          <w:tcPr>
            <w:tcW w:w="1728" w:type="dxa"/>
          </w:tcPr>
          <w:p w14:paraId="35504167"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37.84</w:t>
            </w:r>
          </w:p>
        </w:tc>
      </w:tr>
      <w:tr w:rsidR="004C3CF6" w:rsidRPr="004C3CF6" w14:paraId="583FD85B" w14:textId="77777777" w:rsidTr="00A44D28">
        <w:tc>
          <w:tcPr>
            <w:tcW w:w="1728" w:type="dxa"/>
          </w:tcPr>
          <w:p w14:paraId="407447C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Total</w:t>
            </w:r>
          </w:p>
        </w:tc>
        <w:tc>
          <w:tcPr>
            <w:tcW w:w="1728" w:type="dxa"/>
          </w:tcPr>
          <w:p w14:paraId="47F1BEBC"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42.46</w:t>
            </w:r>
          </w:p>
        </w:tc>
        <w:tc>
          <w:tcPr>
            <w:tcW w:w="1728" w:type="dxa"/>
          </w:tcPr>
          <w:p w14:paraId="202F034C"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32.57</w:t>
            </w:r>
          </w:p>
        </w:tc>
        <w:tc>
          <w:tcPr>
            <w:tcW w:w="1728" w:type="dxa"/>
          </w:tcPr>
          <w:p w14:paraId="469E3BA6"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32.46</w:t>
            </w:r>
          </w:p>
        </w:tc>
        <w:tc>
          <w:tcPr>
            <w:tcW w:w="1728" w:type="dxa"/>
          </w:tcPr>
          <w:p w14:paraId="3F631C42" w14:textId="77777777" w:rsidR="00CD37B8" w:rsidRPr="004C3CF6" w:rsidRDefault="00CD37B8" w:rsidP="00A44D2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35.62</w:t>
            </w:r>
          </w:p>
        </w:tc>
      </w:tr>
    </w:tbl>
    <w:p w14:paraId="245C06BC"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Boys’ schools consistently perform best, peaking in 2016, 2021, and 2024. Girls’ schools consistently perform below boys’, occasionally outperforming mixed schools. 2019–2020 shows a decline across all categories.</w:t>
      </w:r>
    </w:p>
    <w:p w14:paraId="797B0E72" w14:textId="77777777" w:rsidR="00CD37B8" w:rsidRPr="004C3CF6" w:rsidRDefault="00CD37B8" w:rsidP="00CD37B8">
      <w:pPr>
        <w:rPr>
          <w:rFonts w:ascii="Times New Roman" w:hAnsi="Times New Roman" w:cs="Times New Roman"/>
          <w:color w:val="000000" w:themeColor="text1"/>
          <w:sz w:val="24"/>
          <w:szCs w:val="24"/>
        </w:rPr>
      </w:pPr>
    </w:p>
    <w:p w14:paraId="00E61571"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xml:space="preserve">Descriptive analysis revealed that boys’ schools consistently achieved higher average points and win counts than girls’ and mixed schools. Chi-Square tests indicated a statistically significant association between gender and winning outcomes (p &lt; 0.05). ANOVA and t-Test results also confirmed that differences in average points between </w:t>
      </w:r>
      <w:r w:rsidRPr="004C3CF6">
        <w:rPr>
          <w:rFonts w:ascii="Times New Roman" w:hAnsi="Times New Roman" w:cs="Times New Roman"/>
          <w:color w:val="000000" w:themeColor="text1"/>
          <w:sz w:val="24"/>
          <w:szCs w:val="24"/>
        </w:rPr>
        <w:lastRenderedPageBreak/>
        <w:t>gender categories were statistically significant. Overall, boys’ schools outperformed other school types across all years (2016–2024).</w:t>
      </w:r>
    </w:p>
    <w:p w14:paraId="15D1446E"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Visualization Summary</w:t>
      </w:r>
    </w:p>
    <w:p w14:paraId="183AE22B"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Visualizations were created in Excel to support the analysis:</w:t>
      </w:r>
      <w:r w:rsidRPr="004C3CF6">
        <w:rPr>
          <w:rFonts w:ascii="Times New Roman" w:hAnsi="Times New Roman" w:cs="Times New Roman"/>
          <w:color w:val="000000" w:themeColor="text1"/>
          <w:sz w:val="24"/>
          <w:szCs w:val="24"/>
        </w:rPr>
        <w:br/>
        <w:t>• Bar Charts showing average points by gender.</w:t>
      </w:r>
      <w:r w:rsidRPr="004C3CF6">
        <w:rPr>
          <w:rFonts w:ascii="Times New Roman" w:hAnsi="Times New Roman" w:cs="Times New Roman"/>
          <w:color w:val="000000" w:themeColor="text1"/>
          <w:sz w:val="24"/>
          <w:szCs w:val="24"/>
        </w:rPr>
        <w:br/>
        <w:t>• Line Charts tracking yearly performance trends (2016–2024).</w:t>
      </w:r>
      <w:r w:rsidRPr="004C3CF6">
        <w:rPr>
          <w:rFonts w:ascii="Times New Roman" w:hAnsi="Times New Roman" w:cs="Times New Roman"/>
          <w:color w:val="000000" w:themeColor="text1"/>
          <w:sz w:val="24"/>
          <w:szCs w:val="24"/>
        </w:rPr>
        <w:br/>
        <w:t>• Pie Charts illustrating win distribution across gender types.</w:t>
      </w:r>
    </w:p>
    <w:p w14:paraId="26033F10"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Interpretation</w:t>
      </w:r>
    </w:p>
    <w:p w14:paraId="659703D1"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Boys’ schools dominate NSMQ performance in both average points and win counts. Girls’ and mixed schools show lower outcomes, with girls’ schools performing weakest overall. Statistical tests confirm that these differences are not due to chance. Yearly trends reveal consistent dominance by boys’ schools, though all categories experience performance fluctuations across years.</w:t>
      </w:r>
    </w:p>
    <w:p w14:paraId="6D7A578E"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Limitations</w:t>
      </w:r>
    </w:p>
    <w:p w14:paraId="097DD707"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The dataset only covers NSMQ data from 2016 to 2024.</w:t>
      </w:r>
      <w:r w:rsidRPr="004C3CF6">
        <w:rPr>
          <w:rFonts w:ascii="Times New Roman" w:hAnsi="Times New Roman" w:cs="Times New Roman"/>
          <w:color w:val="000000" w:themeColor="text1"/>
          <w:sz w:val="24"/>
          <w:szCs w:val="24"/>
        </w:rPr>
        <w:br/>
        <w:t>• Some years or schools may have incomplete records.</w:t>
      </w:r>
      <w:r w:rsidRPr="004C3CF6">
        <w:rPr>
          <w:rFonts w:ascii="Times New Roman" w:hAnsi="Times New Roman" w:cs="Times New Roman"/>
          <w:color w:val="000000" w:themeColor="text1"/>
          <w:sz w:val="24"/>
          <w:szCs w:val="24"/>
        </w:rPr>
        <w:br/>
        <w:t>• Analysis focused solely on gender; other influencing factors such as school funding, teacher experience, or resources were not included.</w:t>
      </w:r>
    </w:p>
    <w:p w14:paraId="3BAEE582"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Recommendations</w:t>
      </w:r>
    </w:p>
    <w:p w14:paraId="3FA78E62"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1. Capacity Building for Girls’ Schools: Provide targeted STEM mentorship, science resources, and training programs to improve competitiveness.</w:t>
      </w:r>
      <w:r w:rsidRPr="004C3CF6">
        <w:rPr>
          <w:rFonts w:ascii="Times New Roman" w:hAnsi="Times New Roman" w:cs="Times New Roman"/>
          <w:color w:val="000000" w:themeColor="text1"/>
          <w:sz w:val="24"/>
          <w:szCs w:val="24"/>
        </w:rPr>
        <w:br/>
        <w:t>2. Balanced Support for Mixed Schools: Encourage gender collaboration and inclusion in science competitions.</w:t>
      </w:r>
      <w:r w:rsidRPr="004C3CF6">
        <w:rPr>
          <w:rFonts w:ascii="Times New Roman" w:hAnsi="Times New Roman" w:cs="Times New Roman"/>
          <w:color w:val="000000" w:themeColor="text1"/>
          <w:sz w:val="24"/>
          <w:szCs w:val="24"/>
        </w:rPr>
        <w:br/>
        <w:t>3. Further Research: Extend analysis to consider regional and resource-based differences.</w:t>
      </w:r>
      <w:r w:rsidRPr="004C3CF6">
        <w:rPr>
          <w:rFonts w:ascii="Times New Roman" w:hAnsi="Times New Roman" w:cs="Times New Roman"/>
          <w:color w:val="000000" w:themeColor="text1"/>
          <w:sz w:val="24"/>
          <w:szCs w:val="24"/>
        </w:rPr>
        <w:br/>
        <w:t>4. Policy Implications: Educational policymakers should implement STEM-focused interventions for girls’ schools to bridge the performance gap.</w:t>
      </w:r>
    </w:p>
    <w:p w14:paraId="1A0E1D7F"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Conclusion</w:t>
      </w:r>
    </w:p>
    <w:p w14:paraId="2A8E4716"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This analysis provides clear evidence that school gender significantly influences NSMQ performance. Boys’ schools maintain a strong competitive advantage, while girls’ and mixed schools consistently perform below them. The findings emphasize the importance of strategic STEM support for girls’ education to promote equity in academic competitions.</w:t>
      </w:r>
    </w:p>
    <w:p w14:paraId="2F49E871"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Tools Used and Skills Demonstrated</w:t>
      </w:r>
    </w:p>
    <w:p w14:paraId="4166FB89" w14:textId="2457FD4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 xml:space="preserve">• Microsoft Excel (Pivot Tables, Charts, Descriptive Statistics, and Data Analysis </w:t>
      </w:r>
      <w:r w:rsidR="004C3CF6" w:rsidRPr="004C3CF6">
        <w:rPr>
          <w:rFonts w:ascii="Times New Roman" w:hAnsi="Times New Roman" w:cs="Times New Roman"/>
          <w:color w:val="000000" w:themeColor="text1"/>
          <w:sz w:val="24"/>
          <w:szCs w:val="24"/>
        </w:rPr>
        <w:t>Tool Pak</w:t>
      </w:r>
      <w:r w:rsidRPr="004C3CF6">
        <w:rPr>
          <w:rFonts w:ascii="Times New Roman" w:hAnsi="Times New Roman" w:cs="Times New Roman"/>
          <w:color w:val="000000" w:themeColor="text1"/>
          <w:sz w:val="24"/>
          <w:szCs w:val="24"/>
        </w:rPr>
        <w:t>)</w:t>
      </w:r>
      <w:r w:rsidRPr="004C3CF6">
        <w:rPr>
          <w:rFonts w:ascii="Times New Roman" w:hAnsi="Times New Roman" w:cs="Times New Roman"/>
          <w:color w:val="000000" w:themeColor="text1"/>
          <w:sz w:val="24"/>
          <w:szCs w:val="24"/>
        </w:rPr>
        <w:br/>
        <w:t>• Data cleaning and preparation</w:t>
      </w:r>
      <w:r w:rsidRPr="004C3CF6">
        <w:rPr>
          <w:rFonts w:ascii="Times New Roman" w:hAnsi="Times New Roman" w:cs="Times New Roman"/>
          <w:color w:val="000000" w:themeColor="text1"/>
          <w:sz w:val="24"/>
          <w:szCs w:val="24"/>
        </w:rPr>
        <w:br/>
        <w:t>• Exploratory data analysis (EDA)</w:t>
      </w:r>
      <w:r w:rsidRPr="004C3CF6">
        <w:rPr>
          <w:rFonts w:ascii="Times New Roman" w:hAnsi="Times New Roman" w:cs="Times New Roman"/>
          <w:color w:val="000000" w:themeColor="text1"/>
          <w:sz w:val="24"/>
          <w:szCs w:val="24"/>
        </w:rPr>
        <w:br/>
      </w:r>
      <w:r w:rsidRPr="004C3CF6">
        <w:rPr>
          <w:rFonts w:ascii="Times New Roman" w:hAnsi="Times New Roman" w:cs="Times New Roman"/>
          <w:color w:val="000000" w:themeColor="text1"/>
          <w:sz w:val="24"/>
          <w:szCs w:val="24"/>
        </w:rPr>
        <w:lastRenderedPageBreak/>
        <w:t>• Statistical analysis (Chi-Square, ANOVA, t-Test)</w:t>
      </w:r>
      <w:r w:rsidRPr="004C3CF6">
        <w:rPr>
          <w:rFonts w:ascii="Times New Roman" w:hAnsi="Times New Roman" w:cs="Times New Roman"/>
          <w:color w:val="000000" w:themeColor="text1"/>
          <w:sz w:val="24"/>
          <w:szCs w:val="24"/>
        </w:rPr>
        <w:br/>
        <w:t>• Data visualization and interpretation</w:t>
      </w:r>
    </w:p>
    <w:p w14:paraId="26CC915C" w14:textId="77777777" w:rsidR="00CD37B8" w:rsidRPr="004C3CF6" w:rsidRDefault="00CD37B8" w:rsidP="00CD37B8">
      <w:pPr>
        <w:pStyle w:val="Heading2"/>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References</w:t>
      </w:r>
    </w:p>
    <w:p w14:paraId="10F1410E" w14:textId="77777777" w:rsidR="00CD37B8" w:rsidRPr="004C3CF6" w:rsidRDefault="00CD37B8" w:rsidP="00CD37B8">
      <w:pPr>
        <w:rPr>
          <w:rFonts w:ascii="Times New Roman" w:hAnsi="Times New Roman" w:cs="Times New Roman"/>
          <w:color w:val="000000" w:themeColor="text1"/>
          <w:sz w:val="24"/>
          <w:szCs w:val="24"/>
        </w:rPr>
      </w:pPr>
      <w:r w:rsidRPr="004C3CF6">
        <w:rPr>
          <w:rFonts w:ascii="Times New Roman" w:hAnsi="Times New Roman" w:cs="Times New Roman"/>
          <w:color w:val="000000" w:themeColor="text1"/>
          <w:sz w:val="24"/>
          <w:szCs w:val="24"/>
        </w:rPr>
        <w:t>Kaggle. (2024). NSMQ Data Analysis (2016–2024). Retrieved from https://www.kaggle.com/</w:t>
      </w:r>
    </w:p>
    <w:p w14:paraId="6EEBA93E" w14:textId="77777777" w:rsidR="00CD37B8" w:rsidRPr="004C3CF6" w:rsidRDefault="00CD37B8" w:rsidP="00CD37B8">
      <w:pPr>
        <w:jc w:val="center"/>
        <w:rPr>
          <w:color w:val="000000" w:themeColor="text1"/>
        </w:rPr>
      </w:pPr>
    </w:p>
    <w:sectPr w:rsidR="00CD37B8" w:rsidRPr="004C3C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FD6"/>
    <w:rsid w:val="0015074B"/>
    <w:rsid w:val="0029639D"/>
    <w:rsid w:val="00326F90"/>
    <w:rsid w:val="004C3CF6"/>
    <w:rsid w:val="007409B3"/>
    <w:rsid w:val="00AA1D8D"/>
    <w:rsid w:val="00B12A12"/>
    <w:rsid w:val="00B47730"/>
    <w:rsid w:val="00CB0664"/>
    <w:rsid w:val="00CD37B8"/>
    <w:rsid w:val="00D211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166A4"/>
  <w14:defaultImageDpi w14:val="300"/>
  <w15:docId w15:val="{F58E84EA-74FB-404C-BD36-D6FF62C63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Janet G(DA-COHORT6)</cp:lastModifiedBy>
  <cp:revision>2</cp:revision>
  <dcterms:created xsi:type="dcterms:W3CDTF">2025-10-10T22:36:00Z</dcterms:created>
  <dcterms:modified xsi:type="dcterms:W3CDTF">2025-10-10T22:36:00Z</dcterms:modified>
  <cp:category/>
</cp:coreProperties>
</file>