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5896" w14:textId="1197050B" w:rsidR="00494A9F" w:rsidRDefault="00F73605" w:rsidP="00C57CF4">
      <w:pPr>
        <w:pStyle w:val="Title"/>
      </w:pPr>
      <w:r w:rsidRPr="00F568C9">
        <w:rPr>
          <w:b/>
          <w:bCs/>
        </w:rPr>
        <w:t>Title:</w:t>
      </w:r>
      <w:r>
        <w:t xml:space="preserve"> Foot and Ankle Kinematic and Morphology Differences in Pediatric Populations</w:t>
      </w:r>
    </w:p>
    <w:p w14:paraId="05DBB331" w14:textId="40669CC7" w:rsidR="00DA11C3" w:rsidRPr="00F568C9" w:rsidRDefault="00DA11C3" w:rsidP="00C57CF4">
      <w:pPr>
        <w:pStyle w:val="Heading1"/>
      </w:pPr>
      <w:r w:rsidRPr="00F568C9">
        <w:t>Abstract</w:t>
      </w:r>
      <w:r w:rsidR="00984CC6">
        <w:t xml:space="preserve"> (~ 6 sentences) </w:t>
      </w:r>
    </w:p>
    <w:p w14:paraId="2A3A6A85" w14:textId="06048E4C" w:rsidR="00984CC6" w:rsidRDefault="000B6535" w:rsidP="00494A9F">
      <w:r>
        <w:t xml:space="preserve">Pes planovalgus, or flatfoot (FF), </w:t>
      </w:r>
      <w:r w:rsidR="00C9298A">
        <w:t>secondary to cerebral palsy is</w:t>
      </w:r>
      <w:r w:rsidR="00132C2F">
        <w:t xml:space="preserve"> one of the most common foot defor</w:t>
      </w:r>
      <w:r w:rsidR="00635E16">
        <w:t xml:space="preserve">mities that </w:t>
      </w:r>
      <w:r w:rsidR="00365699">
        <w:t>negatively impacts motor function</w:t>
      </w:r>
      <w:r w:rsidR="003D534B">
        <w:t xml:space="preserve">, </w:t>
      </w:r>
      <w:r w:rsidR="00B360A3">
        <w:t xml:space="preserve">causes symptoms of pain, </w:t>
      </w:r>
      <w:r w:rsidR="003D534B">
        <w:t xml:space="preserve">and is widely variable amongst </w:t>
      </w:r>
      <w:r w:rsidR="001C0FF8">
        <w:t>populations, including children. Accurate identification of the involved segments, planes, and joint excursions during ambulation</w:t>
      </w:r>
      <w:r w:rsidR="00D52994">
        <w:t xml:space="preserve"> that occur </w:t>
      </w:r>
      <w:r w:rsidR="001C0FF8">
        <w:t xml:space="preserve">in FF is crucial for clinical interventions. </w:t>
      </w:r>
      <w:r w:rsidR="006067CA">
        <w:t>Significant variability</w:t>
      </w:r>
      <w:r w:rsidR="00203735">
        <w:t xml:space="preserve"> in this multiplanar</w:t>
      </w:r>
      <w:r w:rsidR="00D55CC7">
        <w:t xml:space="preserve"> </w:t>
      </w:r>
      <w:r w:rsidR="00402864">
        <w:t>deformity</w:t>
      </w:r>
      <w:r w:rsidR="006067CA">
        <w:t xml:space="preserve"> </w:t>
      </w:r>
      <w:r w:rsidR="00154555">
        <w:t xml:space="preserve">can lead to inconsistent clinical management strategies among children with FF. The purpose of this study </w:t>
      </w:r>
      <w:r w:rsidR="00402864">
        <w:t xml:space="preserve">was to identify subgroups of </w:t>
      </w:r>
      <w:r w:rsidR="003F1431">
        <w:t xml:space="preserve">typically developing children </w:t>
      </w:r>
      <w:r w:rsidR="00CE6918">
        <w:t xml:space="preserve">using multi-segment foot and ankle kinematics </w:t>
      </w:r>
      <w:r w:rsidR="00D164E7">
        <w:t>during gait and their respective bone morphology as inputs for principal component analysis, canonical correlation analysis</w:t>
      </w:r>
      <w:r w:rsidR="00512461">
        <w:t xml:space="preserve"> and various clustering methods </w:t>
      </w:r>
      <w:r w:rsidR="00D55CC7">
        <w:t xml:space="preserve">to </w:t>
      </w:r>
      <w:r w:rsidR="007542E3">
        <w:t>correlate</w:t>
      </w:r>
      <w:r w:rsidR="00FA4844">
        <w:t xml:space="preserve"> their bone morphology with their kinematic gait characteristics</w:t>
      </w:r>
      <w:r w:rsidR="007542E3">
        <w:t xml:space="preserve">. </w:t>
      </w:r>
      <w:r w:rsidR="006D441D">
        <w:t xml:space="preserve">4 </w:t>
      </w:r>
      <w:r w:rsidR="006B1254">
        <w:t xml:space="preserve">distinct </w:t>
      </w:r>
      <w:r w:rsidR="00922F23">
        <w:t xml:space="preserve">subgroups </w:t>
      </w:r>
      <w:r w:rsidR="006B1254">
        <w:t xml:space="preserve">were identified </w:t>
      </w:r>
      <w:r w:rsidR="00922F23">
        <w:t>amongst typically developing children</w:t>
      </w:r>
      <w:r w:rsidR="006B1254">
        <w:t>, with unique gait and bone morphology characteristics</w:t>
      </w:r>
      <w:r w:rsidR="00922F23">
        <w:t xml:space="preserve">. </w:t>
      </w:r>
      <w:r w:rsidR="005114CA">
        <w:t>The identification of</w:t>
      </w:r>
      <w:r w:rsidR="006B1254">
        <w:t xml:space="preserve"> these </w:t>
      </w:r>
      <w:r w:rsidR="005114CA">
        <w:t>subgroups</w:t>
      </w:r>
      <w:r w:rsidR="00D95CD0">
        <w:t xml:space="preserve"> </w:t>
      </w:r>
      <w:r w:rsidR="005114CA">
        <w:t xml:space="preserve">has the potential to </w:t>
      </w:r>
      <w:r w:rsidR="00007198">
        <w:t xml:space="preserve">provide better understanding of form and function in pediatric foot deformities. </w:t>
      </w:r>
    </w:p>
    <w:p w14:paraId="4EF97C75" w14:textId="13A221F9" w:rsidR="00984CC6" w:rsidRDefault="00984CC6">
      <w:pPr>
        <w:rPr>
          <w:b/>
          <w:bCs/>
        </w:rPr>
      </w:pPr>
      <w:r>
        <w:rPr>
          <w:b/>
          <w:bCs/>
        </w:rPr>
        <w:br w:type="page"/>
      </w:r>
    </w:p>
    <w:p w14:paraId="5665B0D3" w14:textId="1412D3BF" w:rsidR="00F568C9" w:rsidRDefault="00F568C9" w:rsidP="00C57CF4">
      <w:pPr>
        <w:pStyle w:val="Heading1"/>
      </w:pPr>
      <w:r w:rsidRPr="00F568C9">
        <w:lastRenderedPageBreak/>
        <w:t>Clinical Problem</w:t>
      </w:r>
    </w:p>
    <w:p w14:paraId="2DF8642B" w14:textId="77777777" w:rsidR="00CB2CC0" w:rsidRDefault="00924611" w:rsidP="00924611">
      <w:r w:rsidRPr="00924611">
        <w:t xml:space="preserve">Cerebral palsy (CP) is the most common motor disability in children caused by a brain disorder that permanently impacts a child’s body movement and muscle coordination. Cases of CP can happen due to altered development of areas in the brain associated with muscle movement in the womb such as bleeding in the brain, white matter damage, or interruption in brain growth </w:t>
      </w:r>
      <w:r w:rsidRPr="00924611">
        <w:fldChar w:fldCharType="begin"/>
      </w:r>
      <w:r w:rsidR="00982BF6">
        <w:instrText xml:space="preserve"> ADDIN ZOTERO_ITEM CSL_CITATION {"citationID":"74FSSVXq","properties":{"formattedCitation":"({\\i{}Cerebral Palsy | National Institute of Neurological Disorders and Stroke}, n.d.)","plainCitation":"(Cerebral Palsy | National Institute of Neurological Disorders and Stroke, n.d.)","noteIndex":0},"citationItems":[{"id":1202,"uris":["http://zotero.org/users/9936247/items/ST4AXBAV"],"itemData":{"id":1202,"type":"webpage","abstract":"Cerebral palsy (CP) refers to a group of neurological disorders that appear in infancy or early childhood and permanently affect body movement and muscle coordination. CP is caused by damage to or abnormalities inside the developing brain that disrupt the brain’s ability to control movement and maintain posture and balance.","language":"en","title":"Cerebral Palsy | National Institute of Neurological Disorders and Stroke","URL":"https://www.ninds.nih.gov/health-information/disorders/cerebral-palsy","accessed":{"date-parts":[["2025",12,1]]}}}],"schema":"https://github.com/citation-style-language/schema/raw/master/csl-citation.json"} </w:instrText>
      </w:r>
      <w:r w:rsidRPr="00924611">
        <w:fldChar w:fldCharType="separate"/>
      </w:r>
      <w:r w:rsidR="00982BF6" w:rsidRPr="00982BF6">
        <w:rPr>
          <w:rFonts w:ascii="Aptos" w:hAnsi="Aptos" w:cs="Times New Roman"/>
          <w:kern w:val="0"/>
        </w:rPr>
        <w:t>(</w:t>
      </w:r>
      <w:r w:rsidR="00982BF6" w:rsidRPr="00982BF6">
        <w:rPr>
          <w:rFonts w:ascii="Aptos" w:hAnsi="Aptos" w:cs="Times New Roman"/>
          <w:i/>
          <w:iCs/>
          <w:kern w:val="0"/>
        </w:rPr>
        <w:t>Cerebral Palsy | National Institute of Neurological Disorders and Stroke</w:t>
      </w:r>
      <w:r w:rsidR="00982BF6" w:rsidRPr="00982BF6">
        <w:rPr>
          <w:rFonts w:ascii="Aptos" w:hAnsi="Aptos" w:cs="Times New Roman"/>
          <w:kern w:val="0"/>
        </w:rPr>
        <w:t>, n.d.)</w:t>
      </w:r>
      <w:r w:rsidRPr="00924611">
        <w:fldChar w:fldCharType="end"/>
      </w:r>
      <w:r w:rsidRPr="00924611">
        <w:t xml:space="preserve">. Symptoms of CP vary widely between people, but typically impact movement and posture including lack of muscle coordination (ataxia), stiff or tight muscles (spasticity), tremor, or altered gait (walking). </w:t>
      </w:r>
    </w:p>
    <w:p w14:paraId="19153997" w14:textId="6C25331A" w:rsidR="00924611" w:rsidRDefault="003508EE" w:rsidP="00924611">
      <w:r>
        <w:t xml:space="preserve">Pes </w:t>
      </w:r>
      <w:r w:rsidR="00290701" w:rsidRPr="002E1329">
        <w:t>planovalgus/flatfoot</w:t>
      </w:r>
      <w:r w:rsidR="00290701">
        <w:t xml:space="preserve"> (FF)</w:t>
      </w:r>
      <w:r w:rsidR="00290701" w:rsidRPr="002E1329">
        <w:t xml:space="preserve"> </w:t>
      </w:r>
      <w:r w:rsidR="00290701">
        <w:t xml:space="preserve">secondary to cerebral palsy </w:t>
      </w:r>
      <w:r w:rsidR="00290701" w:rsidRPr="002E1329">
        <w:t>is one of the most common disorders among children and adolescents with a reported prevalence of 44%</w:t>
      </w:r>
      <w:r w:rsidR="00290701">
        <w:t xml:space="preserve"> </w:t>
      </w:r>
      <w:r w:rsidR="00290701" w:rsidRPr="002E1329">
        <w:fldChar w:fldCharType="begin"/>
      </w:r>
      <w:r w:rsidR="00290701">
        <w:instrText xml:space="preserve"> ADDIN ZOTERO_ITEM CSL_CITATION {"citationID":"sBoUANcO","properties":{"formattedCitation":"(Park et al., 2013; Pfeiffer et al., 2006)","plainCitation":"(Park et al., 2013; Pfeiffer et al., 2006)","noteIndex":0},"citationItems":[{"id":974,"uris":["http://zotero.org/users/9936247/items/UBQUNQGH"],"itemData":{"id":974,"type":"article-journal","abstract":"Background: \n          The prevalence of idiopathic planovalgus decreases with age among children and adolescents. Previous studies have provided averages of radiographic indices for different age groups but not information about the rate of spontaneous correction and the affecting factors. The aim of this study was to estimate the rate of spontaneous improvement of radiographic indices of idiopathic planovalgus through the application of a linear mixed model.\n          Methods: \n          We included patients with idiopathic planovalgus who were no older than the age of fifteen years, who had had two or more weight-bearing foot radiographs made, and who were followed for more than one year. The talonavicular coverage angle, the anteroposterior talus-first metatarsal angle, the calcaneal pitch angle, and the lateral talus-first metatarsal angle were measured on the radiographs. The rate of angular correction was adjusted by multiple factors with the use of a linear mixed model, with sex and laterality as the fixed effects and age and each subject as the random effects.\n          Results: \n          A total of 568 feet were included in this study, and a total of 3284 radiographs were measured. The talonavicular coverage angle was found to have decreased by 1.7° per year (p &lt; 0.001); the anteroposterior talus-first metatarsal angle, by 2.1° per year (p &lt; 0.001); and the lateral talus-first metatarsal angle, by 0.7° per year (p = 0.034). The spontaneous improvement of the calcaneal pitch with aging was not significant.\n          Conclusions: \n          The talonavicular coverage angle and the anteroposterior talus-first metatarsal angle on anteroposterior radiographs and the lateral talus-first metatarsal angle on lateral radiographs improved as patients with idiopathic planovalgus grew older. These findings can assist in the prediction of the radiographic improvement of idiopathic planovalgus.\n          Level of Evidence: \n          Prognostic Level IV. See Instructions for Authors for a complete description of levels of evidence.","container-title":"JBJS","DOI":"10.2106/JBJS.M.00301","ISSN":"0021-9355","issue":"24","language":"en-US","page":"e193","source":"journals.lww.com","title":"Spontaneous Improvement of Radiographic Indices for Idiopathic Planovalgus with Age","volume":"95","author":[{"family":"Park","given":"Moon Seok"},{"family":"Kwon","given":"Soon-Sun"},{"family":"Lee","given":"Seung Yeol"},{"family":"Lee","given":"Kyoung Min"},{"family":"Kim","given":"Tae Gyun"},{"family":"Chung","given":"Chin Youb"}],"issued":{"date-parts":[["2013",12,18]]}}},{"id":982,"uris":["http://zotero.org/users/9936247/items/4TB9RGV8"],"itemData":{"id":982,"type":"article-journal","abstract":"OBJECTIVES. Our aim with this study was to establish the prevalence of ﬂat foot in a population of 3- to 6-year-old children to evaluate cofactors such as age, weight, and gender and to estimate the number of unnecessary treatments performed.\nMETHODS. A total of 835 children (411 girls and 424 boys) were included in this study. The clinical diagnosis of ﬂat foot was based on a valgus position of the heel and a poor formation of the arch. Feet of the children were scanned (while they were in a standing position) by using a laser surface scanner, and rearfoot angle was measured. Rearfoot angle was deﬁned as the angle of the upper Achilles tendon and the distal extension of the rearfoot.\nRESULTS. Prevalence of ﬂexible ﬂat foot in the group of 3- to 6-year-old children was 44%. Prevalence of pathological ﬂat foot was 1%. Ten percent of the children were wearing arch supports. The prevalence of ﬂat foot decreases signiﬁcantly with age: in the group of 3-year-old children 54% showed a ﬂat foot, whereas in the group of 6-year-old children only 24% had a ﬂat foot. Average rearfoot angle was 5.5° of valgus. Boys had a signiﬁcant greater tendency for ﬂat foot than girls: the prevalence of ﬂat foot in boys was 52% and 36% in girls. Thirteen percent of the children were overweight or obese. Signiﬁcant differences in prevalence of ﬂat foot between overweight, obese, and normal-weight children were observed.\nCONCLUSIONS. This study is the ﬁrst to use a three-dimensional laser surface scanner to measure the rearfoot valgus in preschool-aged children. The data demonstrate that the prevalence of ﬂat foot is inﬂuenced by 3 factors: age, gender, and weight. In overweight children and in boys, a highly signiﬁcant prevalence of ﬂat foot was observed; in addition, a retarded development of the medial arch in the boys was discovered. At the time of the study, 90% of the treatments were unnecessary.","container-title":"Pediatrics","DOI":"10.1542/peds.2005-2126","ISSN":"0031-4005, 1098-4275","issue":"2","language":"en","page":"634-639","source":"DOI.org (Crossref)","title":"Prevalence of Flat Foot in Preschool-Aged Children","volume":"118","author":[{"family":"Pfeiffer","given":"Martin"},{"family":"Kotz","given":"Rainer"},{"family":"Ledl","given":"Thomas"},{"family":"Hauser","given":"Gertrude"},{"family":"Sluga","given":"Maria"}],"issued":{"date-parts":[["2006",8,1]]}}}],"schema":"https://github.com/citation-style-language/schema/raw/master/csl-citation.json"} </w:instrText>
      </w:r>
      <w:r w:rsidR="00290701" w:rsidRPr="002E1329">
        <w:fldChar w:fldCharType="separate"/>
      </w:r>
      <w:r w:rsidR="00290701" w:rsidRPr="002E1329">
        <w:rPr>
          <w:rFonts w:ascii="Aptos" w:hAnsi="Aptos"/>
        </w:rPr>
        <w:t>(Park et al., 2013; Pfeiffer et al., 2006)</w:t>
      </w:r>
      <w:r w:rsidR="00290701" w:rsidRPr="002E1329">
        <w:fldChar w:fldCharType="end"/>
      </w:r>
      <w:r w:rsidR="00290701">
        <w:t xml:space="preserve">. </w:t>
      </w:r>
      <w:r w:rsidR="00290701" w:rsidRPr="002E1329">
        <w:t>Unfortunately, early childhood flatfoot may be under-reported due to the asymptomatic nature of the deformity until later in adolescence/young adulthood when unresolved structural changes cause pain, dysfunction</w:t>
      </w:r>
      <w:r w:rsidR="00290701">
        <w:t xml:space="preserve"> </w:t>
      </w:r>
      <w:r w:rsidR="00290701" w:rsidRPr="002E1329">
        <w:fldChar w:fldCharType="begin"/>
      </w:r>
      <w:r w:rsidR="00290701">
        <w:instrText xml:space="preserve"> ADDIN ZOTERO_ITEM CSL_CITATION {"citationID":"7bDvyuCo","properties":{"formattedCitation":"(Bresnahan &amp; Juanto, 2020)","plainCitation":"(Bresnahan &amp; Juanto, 2020)","noteIndex":0},"citationItems":[{"id":986,"uris":["http://zotero.org/users/9936247/items/Z7RQWJ9M"],"itemData":{"id":986,"type":"article-journal","abstract":"Background: Pediatric flatfoot is a common deformity. Unfortunately, the common opinion has been that most children with this faulty foot structure will simply out-grow it, despite no radiographic evidence to support this claim. Every step on a deformed foot leads to excessive tissue strain and further joint damage. Many forms of conservative and surgical treatments have been offered. This study was aimed at investigating the effectiveness of non-surgical and surgical treatment options., Main Text: faulty-foot structure is the leading cause of many secondary orthopedic deformities. A wide range of treatments for pediatric flatfeet have been recommended from the “do-nothing” approach, observation, to irreversible reconstructive surgery. Most forms of conservative care lack evidence of osseous realignment and stability. A conservative surgical option of extra-osseous talotarsal joint stabilization provides patients an effective form of treatment without the complications associated with other irreversible surgical procedures., Conclusion: Pediatric flatfeet should not be ignored or downplayed. The sooner effective treatment is prescribed, the less damage will occur to other parts of the body. When possible, a more conservative corrective procedure should be performed prior to irreversible, joint destructive options.","container-title":"Frontiers in Pediatrics","DOI":"10.3389/fped.2020.00019","ISSN":"2296-2360","journalAbbreviation":"Front Pediatr","page":"19","PMID":"32117826","PMCID":"PMC7026255","source":"PubMed Central","title":"Pediatric Flatfeet—A Disease Entity That Demands Greater Attention and Treatment","volume":"8","author":[{"family":"Bresnahan","given":"Philip J."},{"family":"Juanto","given":"Mario A."}],"issued":{"date-parts":[["2020",2,11]]}}}],"schema":"https://github.com/citation-style-language/schema/raw/master/csl-citation.json"} </w:instrText>
      </w:r>
      <w:r w:rsidR="00290701" w:rsidRPr="002E1329">
        <w:fldChar w:fldCharType="separate"/>
      </w:r>
      <w:r w:rsidR="00290701" w:rsidRPr="002E1329">
        <w:rPr>
          <w:rFonts w:ascii="Aptos" w:hAnsi="Aptos"/>
        </w:rPr>
        <w:t>(Bresnahan &amp; Juanto, 2020)</w:t>
      </w:r>
      <w:r w:rsidR="00290701" w:rsidRPr="002E1329">
        <w:fldChar w:fldCharType="end"/>
      </w:r>
      <w:r w:rsidR="00290701">
        <w:t xml:space="preserve">, </w:t>
      </w:r>
      <w:r w:rsidR="00290701" w:rsidRPr="002E1329">
        <w:t xml:space="preserve">and disability including </w:t>
      </w:r>
      <w:r w:rsidR="00290701" w:rsidRPr="00BB52C2">
        <w:t>unpredictable, progressive collapse of the medial longitudinal arch which occurs in 3-10% of the population from previously asymptomatic planus feet</w:t>
      </w:r>
      <w:r w:rsidR="00290701">
        <w:t xml:space="preserve"> </w:t>
      </w:r>
      <w:r w:rsidR="00290701" w:rsidRPr="002E1329">
        <w:fldChar w:fldCharType="begin"/>
      </w:r>
      <w:r w:rsidR="00290701">
        <w:instrText xml:space="preserve"> ADDIN ZOTERO_ITEM CSL_CITATION {"citationID":"Xy3kzrpV","properties":{"formattedCitation":"(Pita-Fernandez et al., 2017; Thomas et al., 2011)","plainCitation":"(Pita-Fernandez et al., 2017; Thomas et al., 2011)","noteIndex":0},"citationItems":[{"id":1028,"uris":["http://zotero.org/users/9936247/items/428VLF7S"],"itemData":{"id":1028,"type":"article-journal","abstract":"Introduction\nFlat foot is a common deformity in adults. It is characterized by medial rotation and plantar flexion of the talus, eversion of the calcaneus, collapsed medial arch and abduction of the forefoot.\n\nAim\nThe aim of this study was to determine the prevalence of flat foot and its impact on quality of life, dependence, foot pain, disability and functional limitation among random population of 40-year-old and above.\n\nMaterials and Methods\nA cross-sectional study in a random population sample from Cambre (A Coruña-Spain) (n=835) was performed (α =0.05; Precision=±3.4%). The diagnosis of flat foot was stablished by the study of the footprint obtained with a pedograph. Anthropometric variables were studied, Charlson’s Comorbidity Index, function and state of foot (Foot Function Index (FFI), Foot Health Status Questionnaire (FHSQ)), quality of life (SF-36), and dependence for activities of daily living (Barthel and Lawton index). A logistic and linear multiple regression analysis was performed.\n\nResults\nThe prevalence of flat foot was 26.62%. Patients with flat foot were significantly older (65.73±11.04 vs 61.03±11.45-year-old), showed a higher comorbidity index (0.92±1.49 vs 0.50±0.98), had a greater BMI (31.45±5.55 vs 28.40±4.17) and greater foot size (25.16±1.66 vs 24.82±1.65). The presence of flat foot diminishes the quality of life, as measured by the FHSQ, and foot function, measured by the FFI. The presence of flat foot does not alter the physical and mental dimension of the SF-36 or the degree of dependence.\n\nConclusion\nFlat foot was associated with age, Charlson’s Comorbidity Index, BMI and foot size. The SF-36, Barthel and Lawton questionnaires remained unaltered by the presence of flat foot. The FHSQ and FFI questionnaires did prove to be sensitive to the presence of flat foot in a significant manner.","container-title":"Journal of Clinical and Diagnostic Research : JCDR","DOI":"10.7860/JCDR/2017/24362.9697","ISSN":"2249-782X","issue":"4","journalAbbreviation":"J Clin Diagn Res","page":"LC22-LC27","PMID":"28571173","PMCID":"PMC5449819","source":"PubMed Central","title":"Flat Foot in a Random Population and its Impact on Quality of Life and Functionality","volume":"11","author":[{"family":"Pita-Fernandez","given":"Salvador"},{"family":"Gonzalez-Martin","given":"Cristina"},{"family":"Alonso-Tajes","given":"Francisco"},{"family":"Seoane-Pillado","given":"Teresa"},{"family":"Pertega-Diaz","given":"Sonia"},{"family":"Perez-Garcia","given":"Sergio"},{"family":"Seijo-Bestilleiro","given":"Rocio"},{"family":"Balboa-Barreiro","given":"Vanesa"}],"issued":{"date-parts":[["2017",4]]}}},{"id":1031,"uris":["http://zotero.org/users/9936247/items/DSP7CKRP"],"itemData":{"id":1031,"type":"article-journal","abstract":"Summary \n\nFoot and ankle pain affects approximately 20% of adults in middle and old age, with two-thirds reporting moderate or worse disability with daily activities.\n\nA systematic review and meta-analysis of population-based epidemiological studies was undertaken to determine the prevalence of foot and ankle pain in middle and old age. Searches were conducted in the following electronic databases from inception to October 2010: PubMed, EMBASE, AMED, CINAHL, Cochrane, PEDro, and SportDiscus. Full-text English language articles were included if they used population sample frames, cross-sectional design or analysis, and reported prevalence estimates for foot and/or ankle pain in adults aged 45 years and over. Thirty-four articles from 31 studies involving 75,505 participants provided 529 prevalence estimates based on different case definitions and population strata. Random-effects meta-analyses of studies with comparable case definitions provided pooled prevalence estimates, for frequent foot pain of 24% (95% confidence interval 22–25%; n = 3; I2 = 46%) and for frequent ankle pain of 15% (95% confidence interval 13–16%; n = 2; I2 = 0). Small sample sizes and low response rates in some studies, together with heterogeneous case definitions, limit confident conclusions on the distribution, subtypes, and impact of foot/ankle pain. Narrative synthesis of evidence from existing studies suggested preponderance in females, an age-related increase in prevalence in women but not men, that the toes/forefoot were the most common anatomical sites of pain, and that moderate disability in an aspect of daily life was reported by two-thirds of cases. This review provides estimates of the community burden of foot and ankle pain in middle and old age. By outlining the scale of this clinical problem, these findings can be used to inform health care planning and provision.","container-title":"PAIN","ISSN":"0304-3959","issue":"12","title":"The population prevalence of foot and ankle pain in middle and old age: A systematic review","URL":"https://journals.lww.com/pain/fulltext/2011/12000/the_population_prevalence_of_foot_and_ankle_pain.28.aspx","volume":"152","author":[{"family":"Thomas","given":"Martin J."},{"family":"Roddy","given":"Edward"},{"family":"Zhang","given":"Weiya"},{"family":"Menz","given":"Hylton B."},{"family":"Hannan","given":"Marian T."},{"family":"Peat","given":"George M."}],"issued":{"date-parts":[["2011"]]}}}],"schema":"https://github.com/citation-style-language/schema/raw/master/csl-citation.json"} </w:instrText>
      </w:r>
      <w:r w:rsidR="00290701" w:rsidRPr="002E1329">
        <w:fldChar w:fldCharType="separate"/>
      </w:r>
      <w:r w:rsidR="00290701" w:rsidRPr="002E1329">
        <w:rPr>
          <w:rFonts w:ascii="Aptos" w:hAnsi="Aptos"/>
        </w:rPr>
        <w:t>(Pita-Fernandez et al., 2017; Thomas et al., 2011)</w:t>
      </w:r>
      <w:r w:rsidR="00290701" w:rsidRPr="002E1329">
        <w:fldChar w:fldCharType="end"/>
      </w:r>
      <w:r w:rsidR="00290701">
        <w:t xml:space="preserve">. </w:t>
      </w:r>
    </w:p>
    <w:p w14:paraId="33EEAD44" w14:textId="3EF6E7C8" w:rsidR="0060714C" w:rsidRDefault="00BD7A21" w:rsidP="0060714C">
      <w:r w:rsidRPr="002E1329">
        <w:t>Standard-of-care assessment for children with these 3-dimensional (3D) foot deformities is 2-dimensional (2D) radiographic imaging, which have questionable validity and reliability as it is difficult to determine the relative spatial positions of each 3D structure leading to over-estimation of deformity, missed diagnoses, and impaired surgical planning.</w:t>
      </w:r>
      <w:r w:rsidR="006A015C">
        <w:t xml:space="preserve"> </w:t>
      </w:r>
      <w:r w:rsidR="007014F5">
        <w:t xml:space="preserve">Functional assessment of these foot deformities is </w:t>
      </w:r>
      <w:r w:rsidR="00985776">
        <w:t>performed by 3D gait analysis, the c</w:t>
      </w:r>
      <w:r w:rsidR="0060714C">
        <w:t>urrent</w:t>
      </w:r>
      <w:r w:rsidR="0060714C" w:rsidRPr="00924611">
        <w:t xml:space="preserve"> gold standard</w:t>
      </w:r>
      <w:r w:rsidR="004632CB">
        <w:t xml:space="preserve"> for gait deviations</w:t>
      </w:r>
      <w:r w:rsidR="00D54783">
        <w:t xml:space="preserve"> </w:t>
      </w:r>
      <w:r w:rsidR="00985776">
        <w:t xml:space="preserve">that </w:t>
      </w:r>
      <w:r w:rsidR="0012162F">
        <w:t>provide</w:t>
      </w:r>
      <w:r w:rsidR="00985776">
        <w:t>s</w:t>
      </w:r>
      <w:r w:rsidR="00D54783">
        <w:t xml:space="preserve"> a </w:t>
      </w:r>
      <w:r w:rsidR="00D5227F">
        <w:t xml:space="preserve">comprehensive analysis </w:t>
      </w:r>
      <w:r w:rsidR="00BD0E7E">
        <w:t xml:space="preserve">on gait kinematics </w:t>
      </w:r>
      <w:r w:rsidR="00D5227F">
        <w:t xml:space="preserve">by </w:t>
      </w:r>
      <w:r w:rsidR="0060714C" w:rsidRPr="00924611">
        <w:t xml:space="preserve">calculating the biomechanical parameters from a marker-based motion capture system as seen in Figure 1 </w:t>
      </w:r>
      <w:r w:rsidR="0060714C" w:rsidRPr="00924611">
        <w:fldChar w:fldCharType="begin"/>
      </w:r>
      <w:r w:rsidR="0060714C">
        <w:instrText xml:space="preserve"> ADDIN ZOTERO_ITEM CSL_CITATION {"citationID":"sT1Rcgvq","properties":{"formattedCitation":"(Lan et al., 2024)","plainCitation":"(Lan et al., 2024)","noteIndex":0},"citationItems":[{"id":1144,"uris":["http://zotero.org/users/9936247/items/BBMTCCG7"],"itemData":{"id":1144,"type":"article-journal","abstract":"Gait abnormalities are frequent in children and can be caused by different pathologies, such as cerebral palsy, neuromuscular disease, toe walker syndrome, etc. Analysis of the “gait pattern” (i.e., the way the person walks) using 3D analysis provides highly relevant clinical information. This information is used to guide therapeutic choices; however, it is underused in diagnostic processes, probably because of the lack of standardization of data collection methods. Therefore, 3D gait analysis is currently used as an assessment rather than a diagnostic tool. In this work, we aimed to determine if deep learning could be combined with 3D gait analysis data to diagnose gait disorders in children. We tested the diagnostic accuracy of deep learning methods combined with 3D gait analysis data from 371 children (148 with unilateral cerebral palsy, 60 with neuromuscular disease, 19 toe walkers, 60 with bilateral cerebral palsy, 25 stroke, and 59 typically developing children), with a total of 6400 gait cycles. We evaluated the accuracy, sensitivity, specificity, F1 score, Area Under the Curve (AUC) score, and confusion matrix of the predictions by ResNet, LSTM, and InceptionTime deep learning architectures for time series data. The deep learning-based models had good to excellent diagnostic accuracy (ranging from 0.77 to 0.99) for discrimination between healthy and pathological gait, discrimination between different etiologies of pathological gait (binary and multi-classification); and determining stroke onset time. LSTM performed best overall. This study revealed that the gait pattern contains specific, pathology-related information. These results open the way for an extension of 3D gait analysis from evaluation to diagnosis. Furthermore, the method we propose is a data-driven diagnostic model that can be trained and used without human intervention or expert knowledge. Furthermore, the method could be used to distinguish gait-related pathologies and their onset times beyond those studied in this research.","container-title":"Computers in Biology and Medicine","DOI":"10.1016/j.compbiomed.2024.108095","ISSN":"0010-4825","journalAbbreviation":"Computers in Biology and Medicine","page":"108095","source":"ScienceDirect","title":"Towards a diagnostic tool for neurological gait disorders in childhood combining 3D gait kinematics and deep learning","volume":"171","author":[{"family":"Lan","given":"Zhengyang"},{"family":"Lempereur","given":"Mathieu"},{"family":"Gueret","given":"Gwenael"},{"family":"Houx","given":"Laetitia"},{"family":"Cacioppo","given":"Marine"},{"family":"Pons","given":"Christelle"},{"family":"Mensah","given":"Johanne"},{"family":"Rémy-Néris","given":"Olivier"},{"family":"Aïssa-El-Bey","given":"Abdeldjalil"},{"family":"Rousseau","given":"François"},{"family":"Brochard","given":"Sylvain"}],"issued":{"date-parts":[["2024",3,1]]}}}],"schema":"https://github.com/citation-style-language/schema/raw/master/csl-citation.json"} </w:instrText>
      </w:r>
      <w:r w:rsidR="0060714C" w:rsidRPr="00924611">
        <w:fldChar w:fldCharType="separate"/>
      </w:r>
      <w:r w:rsidR="0060714C" w:rsidRPr="00982BF6">
        <w:rPr>
          <w:rFonts w:ascii="Aptos" w:hAnsi="Aptos"/>
        </w:rPr>
        <w:t>(Lan et al., 2024)</w:t>
      </w:r>
      <w:r w:rsidR="0060714C" w:rsidRPr="00924611">
        <w:fldChar w:fldCharType="end"/>
      </w:r>
      <w:r w:rsidR="00985776">
        <w:t xml:space="preserve">. </w:t>
      </w:r>
    </w:p>
    <w:p w14:paraId="04E04A8D" w14:textId="77777777" w:rsidR="000871C3" w:rsidRDefault="000871C3" w:rsidP="00985776">
      <w:pPr>
        <w:jc w:val="center"/>
      </w:pPr>
      <w:r>
        <w:rPr>
          <w:noProof/>
        </w:rPr>
        <w:drawing>
          <wp:inline distT="0" distB="0" distL="0" distR="0" wp14:anchorId="1C2FE801" wp14:editId="74E430E6">
            <wp:extent cx="2489200" cy="1353688"/>
            <wp:effectExtent l="0" t="0" r="6350" b="0"/>
            <wp:docPr id="1789341884" name="Picture 1" descr="The Role of Gait Analysis in Treating Gait Abnormalities in Cereb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ole of Gait Analysis in Treating Gait Abnormalities in Cerebral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3843" cy="1361651"/>
                    </a:xfrm>
                    <a:prstGeom prst="rect">
                      <a:avLst/>
                    </a:prstGeom>
                    <a:noFill/>
                    <a:ln>
                      <a:noFill/>
                    </a:ln>
                  </pic:spPr>
                </pic:pic>
              </a:graphicData>
            </a:graphic>
          </wp:inline>
        </w:drawing>
      </w:r>
    </w:p>
    <w:p w14:paraId="2B98B3A1" w14:textId="1F667C6E" w:rsidR="000871C3" w:rsidRPr="002A57D5" w:rsidRDefault="000871C3" w:rsidP="000871C3">
      <w:pPr>
        <w:rPr>
          <w:lang w:val="x-none"/>
        </w:rPr>
      </w:pPr>
      <w:r w:rsidRPr="009125D4">
        <w:rPr>
          <w:lang w:val="x-none"/>
        </w:rPr>
        <w:t xml:space="preserve">Fig. 1.  Gait analysis setup for children with gait abnormalities </w:t>
      </w:r>
      <w:r>
        <w:rPr>
          <w:lang w:val="x-none"/>
        </w:rPr>
        <w:fldChar w:fldCharType="begin"/>
      </w:r>
      <w:r w:rsidR="00932731">
        <w:rPr>
          <w:lang w:val="x-none"/>
        </w:rPr>
        <w:instrText xml:space="preserve"> ADDIN ZOTERO_ITEM CSL_CITATION {"citationID":"2fEGeo16","properties":{"unsorted":false,"formattedCitation":"(K. N. Dibbern et al., 2025)","plainCitation":"(K. N. Dibbern et al., 2025)","noteIndex":0},"citationItems":[{"id":1093,"uris":["http://zotero.org/users/9936247/items/AMJYBMY8"],"itemData":{"id":1093,"type":"article-journal","abstract":"The recent proliferation of novel machine learning techniques in quantitative marker-based 3D gait analysis (3DGA) has shown promise for improving interpretations of clinical gait analysis. The objective of this study was to characterize the state of the literature on using machine learning in the analysis of marker-based 3D gait analysis to provide clinical insights that may be used to improve clinical analysis and care. Methods: A scoping review of the literature was conducted using the PubMed and Web of Science databases. Search terms from eight relevant articles were identified by the authors and added to by experts in clinical gait analysis and machine learning. Inclusion was decided by the adjudication of three reviewers. Results: The review identified 4324 articles matching the search terms. Adjudication identified 105 relevant papers. The most commonly applied techniques were the following: support vector machines, neural networks (NNs), and logistic regression. The most common clinical conditions evaluated were cerebral palsy, Parkinson’s disease, and post-stroke. Conclusions: ML has been used broadly in the literature and recent advances in deep learning have been more successful in larger datasets while traditional techniques are robust in small datasets and can outperform NNs in accuracy and explainability. XAI techniques can improve model interpretability but have not been broadly used.","container-title":"Bioengineering","DOI":"10.3390/bioengineering12060591","ISSN":"2306-5354","issue":"6","language":"en","license":"http://creativecommons.org/licenses/by/3.0/","page":"591","publisher":"Multidisciplinary Digital Publishing Institute","source":"www.mdpi.com","title":"Scoping Review of Machine Learning Techniques in Marker-Based Clinical Gait Analysis","volume":"12","author":[{"family":"Dibbern","given":"Kevin N."},{"family":"Krzak","given":"Maddalena G."},{"family":"Olivas","given":"Alejandro"},{"family":"Albert","given":"Mark V."},{"family":"Krzak","given":"Joseph J."},{"family":"Kruger","given":"Karen M."}],"issued":{"date-parts":[["2025",6]]}}}],"schema":"https://github.com/citation-style-language/schema/raw/master/csl-citation.json"} </w:instrText>
      </w:r>
      <w:r>
        <w:rPr>
          <w:lang w:val="x-none"/>
        </w:rPr>
        <w:fldChar w:fldCharType="separate"/>
      </w:r>
      <w:r w:rsidR="00932731" w:rsidRPr="00932731">
        <w:rPr>
          <w:rFonts w:ascii="Aptos" w:hAnsi="Aptos"/>
          <w:lang w:val="x-none"/>
        </w:rPr>
        <w:t>(K. N. Dibbern et al., 2025)</w:t>
      </w:r>
      <w:r>
        <w:rPr>
          <w:lang w:val="x-none"/>
        </w:rPr>
        <w:fldChar w:fldCharType="end"/>
      </w:r>
      <w:r w:rsidRPr="009125D4">
        <w:rPr>
          <w:lang w:val="x-none"/>
        </w:rPr>
        <w:t xml:space="preserve">. </w:t>
      </w:r>
    </w:p>
    <w:p w14:paraId="1875D2BA" w14:textId="1FF2A865" w:rsidR="00BD7A21" w:rsidRPr="00924611" w:rsidRDefault="00985776" w:rsidP="00924611">
      <w:r>
        <w:t>However, s</w:t>
      </w:r>
      <w:r w:rsidR="005974E5" w:rsidRPr="002E1329">
        <w:t xml:space="preserve">tatic radiographic measures such as CT and MRI lack critical weightbearing diagnostic information and have shown poor correlation with foot kinematics during </w:t>
      </w:r>
      <w:r w:rsidR="005974E5" w:rsidRPr="002E1329">
        <w:lastRenderedPageBreak/>
        <w:t>walking in studies of pediatric flexible flatfoot</w:t>
      </w:r>
      <w:r w:rsidR="005974E5">
        <w:t xml:space="preserve"> </w:t>
      </w:r>
      <w:r w:rsidR="005974E5" w:rsidRPr="002E1329">
        <w:fldChar w:fldCharType="begin"/>
      </w:r>
      <w:r w:rsidR="005974E5">
        <w:instrText xml:space="preserve"> ADDIN ZOTERO_ITEM CSL_CITATION {"citationID":"jMXCMo3M","properties":{"formattedCitation":"(B\\uc0\\u246{}hm et al., 2020)","plainCitation":"(Böhm et al., 2020)","noteIndex":0},"citationItems":[{"id":1024,"uris":["http://zotero.org/users/9936247/items/F9WX6J7V"],"itemData":{"id":1024,"type":"article-journal","abstract":"Background\nIdiopathic flexible flatfeet, congenital clubfeet and pes cavovarus are the most common foot deformities in children. Accurate assessment to quantify the severity of these deformities by clinical examination alone can be challenging. Radiographs are a valuable adjunct for accurate diagnosis and effective treatment. However, static radiographs during relaxed standing may not reflect the dynamic changes in the foot skeleton during functional activities such as walking. Therefore, the aim of this study is to predict dynamic foot movements during walking from planar standing radiographs to reveal the significance of the radiographic analysis for the assessment of foot function.\nMethods\nPatients 8–17 years with flexible flatfeet (FFF, n=217) recurrent clubfeet (RCF n=38) and overcorrected clubfeet (OCCF, n=71) of non-neurogenic or syndromic origin and pes cavovarus due to peripheral neuropathy (PNP, n=48) were retrospectively included. Patients underwent gait analysis with the Oxford Foot Model and radiographic examination in anterior-posterior and lateral view during standing. Multilinear predictor analysis of selected gait parameters was performed based on radiographic measures.\nResults\nThe variance that was explained by radiography was greatest for the transverse plane forefoot abduction with 33% for OCCF, 50% for RCF and 59% for PNP. Flatfeet and foot kinematics in the other planes or between rearfoot and tibia showed little or no relation.\nConclusions\nThe static measures of foot deformities by radiography could explain only a small amount of variance in foot kinematics during walking, in particular for FFF. An explanation may be that the forces during weight bearing bear little resemblance to those during gait in terms of neither magnitude nor direction. These findings suggest that foot function cannot be accurately assessed solely from static radiographic observations of the foot, commonly undertaken in clinical practice.","container-title":"Foot and Ankle Surgery","DOI":"10.1016/j.fas.2019.10.006","ISSN":"1268-7731","issue":"7","journalAbbreviation":"Foot and Ankle Surgery","page":"801-809","source":"ScienceDirect","title":"Is there a correlation between static radiographs and dynamic foot function in pediatric foot deformities?","volume":"26","author":[{"family":"Böhm","given":"Harald"},{"family":"Döderlein","given":"Leonhard"},{"family":"Fujak","given":"Albert"},{"family":"Dussa","given":"Chakravarty U."}],"issued":{"date-parts":[["2020",10,1]]}}}],"schema":"https://github.com/citation-style-language/schema/raw/master/csl-citation.json"} </w:instrText>
      </w:r>
      <w:r w:rsidR="005974E5" w:rsidRPr="002E1329">
        <w:fldChar w:fldCharType="separate"/>
      </w:r>
      <w:r w:rsidR="005974E5" w:rsidRPr="002E1329">
        <w:rPr>
          <w:rFonts w:ascii="Aptos" w:hAnsi="Aptos" w:cs="Times New Roman"/>
          <w:kern w:val="0"/>
        </w:rPr>
        <w:t>(Böhm et al., 2020)</w:t>
      </w:r>
      <w:r w:rsidR="005974E5" w:rsidRPr="002E1329">
        <w:fldChar w:fldCharType="end"/>
      </w:r>
      <w:r w:rsidR="005974E5">
        <w:t xml:space="preserve">. </w:t>
      </w:r>
      <w:r w:rsidR="0012162F" w:rsidRPr="002E1329">
        <w:rPr>
          <w:b/>
          <w:bCs/>
        </w:rPr>
        <w:t xml:space="preserve">Thus, the relationship between joint form and function is not well understood in the foot. </w:t>
      </w:r>
    </w:p>
    <w:p w14:paraId="4605E8C1" w14:textId="527423A1" w:rsidR="00143EFA" w:rsidRPr="00B77C98" w:rsidRDefault="000A5009" w:rsidP="00494A9F">
      <w:r w:rsidRPr="000A5009">
        <w:t xml:space="preserve">Weightbearing CT (WBCT) is an emerging technology that captures the foot deformity in a loaded position with high resolution volumetric CT data </w:t>
      </w:r>
      <w:r w:rsidRPr="000A5009">
        <w:rPr>
          <w:i/>
          <w:iCs/>
        </w:rPr>
        <w:t>at equivalent or less radiation exposure than the current standard-of-care foot and ankle radiograph series</w:t>
      </w:r>
      <w:r w:rsidRPr="000A5009">
        <w:t>. Previous studies highlighted deviations in the subtalar joint of the hindfoot (i.e. the articulation between the talus and calcaneus) between WBCT scans of patients with and without progressive collapsing foot deformity (PCFD), formerly termed adult-acquired FF deformity, using 3D distance and coverage mapping with statistical shape models (SSMs).</w:t>
      </w:r>
      <w:r w:rsidRPr="000A5009">
        <w:fldChar w:fldCharType="begin"/>
      </w:r>
      <w:r w:rsidR="00932731">
        <w:instrText xml:space="preserve"> ADDIN ZOTERO_ITEM CSL_CITATION {"citationID":"eep9BxRR","properties":{"formattedCitation":"(K. Dibbern et al., 2023; K. N. Dibbern et al., 2021)","plainCitation":"(K. Dibbern et al., 2023; K. N. Dibbern et al., 2021)","noteIndex":0},"citationItems":[{"id":1052,"uris":["http://zotero.org/users/9936247/items/2N7N6KL8"],"itemData":{"id":1052,"type":"article-journal","abstract":"Category:Other; HindfootIntroduction/Purpose:Progressive collapsing foot deformity (PCFD) is a complex three-dimensional (3D) deformity where adjacent structures may adopt subtle differences in positioning that result in increased contact or subluxation. Recent studies have highlighted the need for and utility of 3D analyses in PCFD using weightbearing CT (WBCT) and bone segmentation. Beyond the limitations of triplanar imaging, 3D distance and coverage mapping analyses have further highlighted key regional differences like sinus tarsi narrowing ahead of impingement and early middle facet uncoverage ahead of collapse. However, these analyses rely upon manual identification of subregions hindering the utility of 3D mapping clinically. The objective of this study was to compare an automated selection process with manual selections in the context of subtalar regional distance and coverage maps in PCFD.Methods:In this IRB-approved retrospective study, WBCT data of 20 consecutive patients with flexible PCFD and 10 controls were analyzed. Subregions of the peritalar surface (middle and posterior facets of the calcaneus and talus; sinus tarsi area) were manually selected by two experts on manually generated bone surfaces of all 30 feet. An automated algorithm for selecting coverage area was applied to identify the same regions on the semi-automatically generated bones (Figure). A 3D distance mapping (DM) technique was used to create coverage maps (CMs) across the entire peritalar surface where areas with distances less than 4mm were defined as covered. DM and CM percentages were compared using intra-class correlations and t-tests between PCFD and control groups. The Sørensen–Dice index, or Dice coefficient, was used for comparisons of selections on the semi-automated surfaces to evaluate reproducibility of expert selections.Results:The automated process produced identical selections resulting in perfect intra-method ICCs of 1.00 for all regions and Dice coefficients of 1.00. The average Dice coefficient for all manual selections was 0.903 (range: 0.865-0.935) indicating that observers were able to reliably select the same regions with 90% overlap. When assessing reliability of manual selections, intra- observer ICCs ranged from 0.41-0.92 while inter-observer ICCs ranged from 0.47-0.99 were found. Despite strong significant correlations, average coverage was significantly lower in the sinus tarsi region of the automated selections vs the manual selections (34.3±16.8% vs 23.1±12.7%, p&lt; 0.005). However, mean distances in each region were not significantly different in the middle facet or the sinus tarsi regions (p=0.323, p=0.095, respectively).Conclusion:Understanding of the complex 3D deformities that constitute PCFD requires sensitive and reproducible measures. Fully automated 3D assessments of coverage and bone relations can help improve understanding these deformities aiding in diagnosis, staging, and objective evaluation of treatment effects. Prior work with this method has specifically identified the middle facet and sinus tarsi regions as being of particular importance. Compared to manual selections, these regions were well identified by the automated process. This represents a major step toward viable use of fully automated 3D coverage and distance mapping when evaluating PCFD patients.","container-title":"Foot &amp; Ankle Orthopaedics","DOI":"10.1177/2473011423S00153","ISSN":"2473-0114","issue":"4","language":"EN","page":"2473011423S00153","publisher":"SAGE Publications Inc","source":"SAGE Journals","title":"Evaluation of Automated Coverage and Distance Mapping Selections to Improve Reliability and Clinical Utility of 3D Weightbearing CT Assessments","volume":"8","author":[{"family":"Dibbern","given":"Kevin"},{"family":"Behrens","given":"Andrew"},{"family":"Talaski","given":"Grayson M."},{"family":"Mansur","given":"Nacime Salomao Barbachan"},{"family":"Carvalho","given":"Kepler A.M."},{"family":"Cesar Netto","given":"Cesar","non-dropping-particle":"de"}],"issued":{"date-parts":[["2023",10,1]]}}},{"id":1054,"uris":["http://zotero.org/users/9936247/items/FGVBTRGQ"],"itemData":{"id":1054,"type":"article-journal","abstract":"Background:Progressive collapsing foot deformity (PCFD), formerly termed adult-acquired flatfoot deformity, is a complex 3-dimensional (3D) deformity of the foot characterized by peritalar subluxation (PTS). PTS is typically measured at the posterior facet, but recent studies have called this into question. The objective of this study was to use 3D distance mapping (DM) from weightbearing computed tomography (WBCT) to assess PTS in patients with PCFD and controls. We hypothesized that DMs would identify the middle facet as a superior marker for PTS.Methods:We analyzed WBCT data of 20 consecutive stage I patients with PCFD and 10 control patients with a novel DM technique to objectively characterize joint coverage across the entire peritalar surface, including both articular and nonarticular regions. Joint coverage was defined as the percentage of articular area with DMs &lt;4 mm and impingement when distances were &lt;0.5 mm. Comparisons were performed with independent t tests or Wilcoxon tests. P values &lt;.05 were considered significant.Results:Overall, coverage was decreased in articular regions and impingement was increased in nonarticular regions of patients with PCFD with a significant increase in uncoverage in the middle (46.6%, P &lt; .001) but not anterior or posterior facets. Significant increases in sinus tarsi coverage were identified (98.0%, P &lt; .007) with impingement in 6 of 20 patients with PCFD. Impingement of the subfibular region was noted in only 1 of 20 cases but narrowing greater than 2 standard deviations was noted in 17 of 20 patients.Conclusion:Objective DMs identified significant markers of PTS in the middle but not posterior or anterior facets. We confirmed prior 2-dimensional data that suggested uncoverage of the middle facet provided a more robust and consistent measure of PTS than measures in the posterior facet.Level of Evidence:Level III, case-control study.","container-title":"Foot &amp; Ankle International","DOI":"10.1177/1071100720983227","ISSN":"1071-1007","issue":"6","journalAbbreviation":"Foot Ankle Int.","language":"EN","page":"757-767","publisher":"SAGE Publications Inc","source":"SAGE Journals","title":"Three-Dimensional Distance and Coverage Maps in the Assessment of Peritalar Subluxation in Progressive Collapsing Foot Deformity","volume":"42","author":[{"family":"Dibbern","given":"Kevin N."},{"family":"Li","given":"Shuyuan"},{"family":"Vivtcharenko","given":"Victoria"},{"family":"Auch","given":"Elijah"},{"family":"Lintz","given":"Francois"},{"family":"Ellis","given":"Scott J."},{"family":"Femino","given":"John E."},{"family":"Cesar Netto","given":"Cesar","non-dropping-particle":"de"}],"issued":{"date-parts":[["2021",6,1]]}}}],"schema":"https://github.com/citation-style-language/schema/raw/master/csl-citation.json"} </w:instrText>
      </w:r>
      <w:r w:rsidRPr="000A5009">
        <w:fldChar w:fldCharType="separate"/>
      </w:r>
      <w:r w:rsidR="00932731" w:rsidRPr="00932731">
        <w:rPr>
          <w:rFonts w:ascii="Aptos" w:hAnsi="Aptos"/>
        </w:rPr>
        <w:t>(K. Dibbern et al., 2023; K. N. Dibbern et al., 2021)</w:t>
      </w:r>
      <w:r w:rsidRPr="000A5009">
        <w:fldChar w:fldCharType="end"/>
      </w:r>
      <w:r w:rsidRPr="000A5009">
        <w:t xml:space="preserve"> </w:t>
      </w:r>
      <w:r w:rsidR="00143EFA" w:rsidRPr="00B77C98">
        <w:t xml:space="preserve">While WBCT has been increasingly used in adult foot and ankle pathologies, particularly the complex 3D nature of PCFD, there is limited understanding of functional weightbearing on 3D deformity in pediatrics and how the mechanisms of arch collapse differ from adult-onset cases. </w:t>
      </w:r>
    </w:p>
    <w:p w14:paraId="67B38638" w14:textId="432037B5" w:rsidR="0075384B" w:rsidRDefault="00924611" w:rsidP="00494A9F">
      <w:pPr>
        <w:rPr>
          <w:b/>
          <w:bCs/>
        </w:rPr>
      </w:pPr>
      <w:r w:rsidRPr="00924611">
        <w:t xml:space="preserve">Current treatments for </w:t>
      </w:r>
      <w:r w:rsidR="00D20A3E">
        <w:t xml:space="preserve">FF secondary to CP </w:t>
      </w:r>
      <w:r w:rsidRPr="00924611">
        <w:t xml:space="preserve">include physical, speech, and occupational therapy, drug treatments, surgery, or assistive devices </w:t>
      </w:r>
      <w:r w:rsidRPr="00924611">
        <w:fldChar w:fldCharType="begin"/>
      </w:r>
      <w:r w:rsidR="00982BF6">
        <w:instrText xml:space="preserve"> ADDIN ZOTERO_ITEM CSL_CITATION {"citationID":"qcEtTtnG","properties":{"formattedCitation":"(CDC, 2025)","plainCitation":"(CDC, 2025)","noteIndex":0},"citationItems":[{"id":1204,"uris":["http://zotero.org/users/9936247/items/UY4XI574"],"itemData":{"id":1204,"type":"webpage","abstract":"Read about cerebral palsy, its types, symptoms, causes, screening, and treatment, and CDC's work.","container-title":"Cerebral Palsy (CP)","language":"en-us","title":"About Cerebral Palsy","URL":"https://www.cdc.gov/cerebral-palsy/about/index.html","author":[{"family":"CDC","given":""}],"accessed":{"date-parts":[["2025",12,1]]},"issued":{"date-parts":[["2025",7,23]]}}}],"schema":"https://github.com/citation-style-language/schema/raw/master/csl-citation.json"} </w:instrText>
      </w:r>
      <w:r w:rsidRPr="00924611">
        <w:fldChar w:fldCharType="separate"/>
      </w:r>
      <w:r w:rsidR="00982BF6" w:rsidRPr="00982BF6">
        <w:rPr>
          <w:rFonts w:ascii="Aptos" w:hAnsi="Aptos"/>
        </w:rPr>
        <w:t>(CDC, 2025)</w:t>
      </w:r>
      <w:r w:rsidRPr="00924611">
        <w:fldChar w:fldCharType="end"/>
      </w:r>
      <w:r w:rsidRPr="00924611">
        <w:t xml:space="preserve">. For children with increased symptoms, such as pain and difficulty walking due to severe spasticity and stiffness, surgical procedures to lengthen muscles and tendons may be performed to improve mobility and lesson pain. While these surgical procedures provide improved mobility and decreased pain, great consideration is required from the care team to prevent long-term consequences for developing children. </w:t>
      </w:r>
      <w:r w:rsidRPr="00BD0BBF">
        <w:rPr>
          <w:b/>
          <w:bCs/>
        </w:rPr>
        <w:t>With this, there is a need to</w:t>
      </w:r>
      <w:r w:rsidR="0085118F">
        <w:rPr>
          <w:b/>
          <w:bCs/>
        </w:rPr>
        <w:t xml:space="preserve"> </w:t>
      </w:r>
      <w:r w:rsidR="0031259B">
        <w:rPr>
          <w:b/>
          <w:bCs/>
        </w:rPr>
        <w:t>identify clinical subgroups that differentiate</w:t>
      </w:r>
      <w:r w:rsidR="009D5EF4">
        <w:rPr>
          <w:b/>
          <w:bCs/>
        </w:rPr>
        <w:t xml:space="preserve"> FF secondary to CP in</w:t>
      </w:r>
      <w:r w:rsidRPr="00BD0BBF">
        <w:rPr>
          <w:b/>
          <w:bCs/>
        </w:rPr>
        <w:t xml:space="preserve"> children </w:t>
      </w:r>
      <w:r w:rsidR="009D5EF4">
        <w:rPr>
          <w:b/>
          <w:bCs/>
        </w:rPr>
        <w:t xml:space="preserve">to address inconsistent gait kinematics and </w:t>
      </w:r>
      <w:r w:rsidRPr="00BD0BBF">
        <w:rPr>
          <w:b/>
          <w:bCs/>
        </w:rPr>
        <w:t>increased variability in symptom presentation</w:t>
      </w:r>
      <w:r w:rsidR="0075384B">
        <w:rPr>
          <w:b/>
          <w:bCs/>
        </w:rPr>
        <w:t>. These efforts will facilitate</w:t>
      </w:r>
      <w:r w:rsidR="00526881">
        <w:rPr>
          <w:b/>
          <w:bCs/>
        </w:rPr>
        <w:t xml:space="preserve"> improved</w:t>
      </w:r>
      <w:r w:rsidR="0075384B">
        <w:rPr>
          <w:b/>
          <w:bCs/>
        </w:rPr>
        <w:t xml:space="preserve"> treatment planning and post-operative outcomes </w:t>
      </w:r>
      <w:r w:rsidR="00183704">
        <w:rPr>
          <w:b/>
          <w:bCs/>
        </w:rPr>
        <w:t xml:space="preserve">for similar patients within a subgroup. </w:t>
      </w:r>
    </w:p>
    <w:p w14:paraId="438BFAFB" w14:textId="13130721" w:rsidR="007250EE" w:rsidRPr="007250EE" w:rsidRDefault="007250EE" w:rsidP="00C57CF4">
      <w:pPr>
        <w:pStyle w:val="Heading1"/>
      </w:pPr>
      <w:r w:rsidRPr="007250EE">
        <w:t>Literature Review</w:t>
      </w:r>
    </w:p>
    <w:p w14:paraId="1B1CA54C" w14:textId="5C04E9D8" w:rsidR="00627A0D" w:rsidRDefault="00ED3D44" w:rsidP="00494A9F">
      <w:r>
        <w:t xml:space="preserve">For adult populations, the foot’s complex structure leads to morphological variability even among a healthy population. Root et al. (1971) described different foot types in healthy adult populations </w:t>
      </w:r>
      <w:r>
        <w:fldChar w:fldCharType="begin"/>
      </w:r>
      <w:r w:rsidR="00982BF6">
        <w:instrText xml:space="preserve"> ADDIN ZOTERO_ITEM CSL_CITATION {"citationID":"Y0YInROL","properties":{"unsorted":false,"formattedCitation":"(L, 1977)","plainCitation":"(L, 1977)","noteIndex":0},"citationItems":[{"id":1359,"uris":["http://zotero.org/users/9936247/items/HUTIGTCV"],"itemData":{"id":1359,"type":"article-journal","container-title":"Clinical Biomechanics","page":"457-459","publisher":"Clinical Biomechanics Corporation","source":"CiNii Research","title":"Normal and abnormal function of the foot","volume":"0","author":[{"family":"L","given":"ROOT M."}],"issued":{"date-parts":[["1977"]]}}}],"schema":"https://github.com/citation-style-language/schema/raw/master/csl-citation.json"} </w:instrText>
      </w:r>
      <w:r>
        <w:fldChar w:fldCharType="separate"/>
      </w:r>
      <w:r w:rsidR="00982BF6" w:rsidRPr="00982BF6">
        <w:rPr>
          <w:rFonts w:ascii="Aptos" w:hAnsi="Aptos"/>
        </w:rPr>
        <w:t>(L, 1977)</w:t>
      </w:r>
      <w:r>
        <w:fldChar w:fldCharType="end"/>
      </w:r>
      <w:r>
        <w:t xml:space="preserve"> including rectus, planus, and cavus. </w:t>
      </w:r>
      <w:r w:rsidR="0034281C">
        <w:t>Previous s</w:t>
      </w:r>
      <w:r>
        <w:t>tudies have  investigated kinematic foot types in adults, but results have been inconsistent and, in some cases, conflicting</w:t>
      </w:r>
      <w:r w:rsidR="00997F4E">
        <w:t xml:space="preserve"> due to </w:t>
      </w:r>
      <w:r w:rsidR="00627A0D">
        <w:t xml:space="preserve">varied neutral referencing methods, whereby modeling segments for the hindfoot are not representative of the true </w:t>
      </w:r>
      <w:r w:rsidR="008C451D">
        <w:t xml:space="preserve">orientation of the bones. Further, </w:t>
      </w:r>
      <w:r w:rsidR="00650D16">
        <w:t xml:space="preserve">previous kinematic gait analyses limit primary variables of the interest to discrete variables, such as peak </w:t>
      </w:r>
      <w:r w:rsidR="00E15E6F">
        <w:t xml:space="preserve">angles, rather than the whole gait cycle leading to potential loss of data. </w:t>
      </w:r>
    </w:p>
    <w:p w14:paraId="365B7755" w14:textId="3FB28975" w:rsidR="009E1EDC" w:rsidRDefault="003C6315" w:rsidP="00494A9F">
      <w:r>
        <w:lastRenderedPageBreak/>
        <w:t>Recently, s</w:t>
      </w:r>
      <w:r w:rsidR="00E15E6F">
        <w:t xml:space="preserve">tudies examining FF in children, </w:t>
      </w:r>
      <w:r w:rsidR="00ED3D44">
        <w:t>Kruger et al. (2019) and Krzak et al. (2014) defined 5 distinct, kinematic subgroups among sample</w:t>
      </w:r>
      <w:r w:rsidR="007D6324">
        <w:t>s of</w:t>
      </w:r>
      <w:r w:rsidR="00ED3D44">
        <w:t xml:space="preserve"> typically developing children and children with CP using P</w:t>
      </w:r>
      <w:r w:rsidR="00737296">
        <w:t>rincipal Component Analysis (P</w:t>
      </w:r>
      <w:r w:rsidR="00ED3D44">
        <w:t>CA</w:t>
      </w:r>
      <w:r w:rsidR="00737296">
        <w:t>)</w:t>
      </w:r>
      <w:r>
        <w:t xml:space="preserve"> to reduce the dimensionality of the kinematic variables</w:t>
      </w:r>
      <w:r w:rsidR="003E1F6F">
        <w:t xml:space="preserve">, while ensuring maximum variance in </w:t>
      </w:r>
      <w:r w:rsidR="00606818">
        <w:t>their</w:t>
      </w:r>
      <w:r w:rsidR="003E1F6F">
        <w:t xml:space="preserve"> principal components</w:t>
      </w:r>
      <w:r w:rsidR="00606818">
        <w:t>.</w:t>
      </w:r>
      <w:r w:rsidR="006E4FA8">
        <w:t xml:space="preserve"> </w:t>
      </w:r>
      <w:r w:rsidR="00606818">
        <w:t xml:space="preserve">After reducing the dataset, cluster analysis with </w:t>
      </w:r>
      <w:r w:rsidR="00ED3D44">
        <w:t xml:space="preserve">k-means </w:t>
      </w:r>
      <w:r w:rsidR="00FB28D6">
        <w:t>was performed on the principal components to identify subgroups of similar individuals</w:t>
      </w:r>
      <w:r w:rsidR="00ED3D44">
        <w:t xml:space="preserve"> </w:t>
      </w:r>
      <w:r w:rsidR="00ED3D44">
        <w:fldChar w:fldCharType="begin"/>
      </w:r>
      <w:r w:rsidR="00982BF6">
        <w:instrText xml:space="preserve"> ADDIN ZOTERO_ITEM CSL_CITATION {"citationID":"h1iqrCjY","properties":{"unsorted":false,"formattedCitation":"(Kruger et al., 2019; Krzak et al., 2015)","plainCitation":"(Kruger et al., 2019; Krzak et al., 2015)","noteIndex":0},"citationItems":[{"id":1318,"uris":["http://zotero.org/users/9936247/items/9PIRFMAE"],"itemData":{"id":1318,"type":"article-journal","abstract":"The presence of multiple foot types has been used to explain the variability of foot structure observed among healthy adults. These foot types were determined by specific static morphologic features and included rectus (well aligned hindfoot/forefoot), planus (low arched), and cavus (high arched) foot types. Unique biomechanical characteristics of these foot types have been identified but reported differences in segmental foot kinematics among them has been inconsistent due to differences in neutral referencing and evaluation of only select discrete variables. This study used the radiographically-indexed Milwaukee Foot Model to evaluate differences in segmental foot kinematics among healthy adults with rectus, planus, and cavus feet based on the true bony alignment between segments. Based on the definitions of the individual foot types and due to conflicting results in previous literature, the primary study outcome was peak coronal hindfoot position during stance phase. Additionally, locally weighted regression smoothing with alpha-adjusted serial t-test analysis (LAAST) was used to compare these foot types across the entire gait cycle. Average peak hindfoot inversion was −1.6° ± 5.1°, 6.7° ± 3.5°, and 13.6° ± 4.6°, for the Planus, Rectus, and Cavus Groups, respectively. There were significant differences among all comparisons. Differences were observed between the Rectus and Planus Groups and Cavus and Planus Groups throughout the gait cycle. Additionally, the Planus Group had a premature peak velocity toward coronal varus and early transition toward valgus, likely due to a deficient windlass mechanism. This assessment of kinematic data across the gait cycle can help understand differences in dynamic foot function among foot types.","container-title":"Journal of Biomechanics","DOI":"10.1016/j.jbiomech.2019.07.032","ISSN":"0021-9290","journalAbbreviation":"Journal of Biomechanics","page":"180-186","source":"ScienceDirect","title":"Segmental foot and ankle kinematic differences between rectus, planus, and cavus foot types","volume":"94","author":[{"family":"Kruger","given":"Karen M."},{"family":"Graf","given":"Adam"},{"family":"Flanagan","given":"Ann"},{"family":"McHenry","given":"Benjamin D."},{"family":"Altiok","given":"Haluk"},{"family":"Smith","given":"Peter A."},{"family":"Harris","given":"Gerald F."},{"family":"Krzak","given":"Joseph J."}],"issued":{"date-parts":[["2019",9,20]]}}},{"id":746,"uris":["http://zotero.org/users/9936247/items/XHQGBQR7"],"itemData":{"id":746,"type":"article-journal","abstract":"Background: Elevated kinematic variability of the foot and ankle segments exists during gait among individuals with equinovarus secondary to hemiplegic cerebral palsy (CP). Clinicians have previously addressed such variability by developing classiﬁcation schemes to identify subgroups of individuals based on their kinematics.\nObjective: To identify kinematic subgroups among youth with equinovarus secondary to CP using 3-dimensional multi-segment foot and ankle kinematics during locomotion as inputs for principal component analysis (PCA), and K-means cluster analysis.\nMethods: In a single assessment session, multi-segment foot and ankle kinematics using the Milwaukee Foot Model (MFM) were collected in 24 children/adolescents with equinovarus and 20 typically developing children/adolescents.\nResults: PCA was used as a data reduction technique on 40 variables. K-means cluster analysis was performed on the ﬁrst six principal components (PCs) which accounted for 92% of the variance of the dataset. The PCs described the location and plane of involvement in the foot and ankle. Five distinct kinematic subgroups were identiﬁed using K-means clustering. Participants with equinovarus presented with variable involvement ranging from primary hindfoot or forefoot deviations to deformtiy that included both segments in multiple planes.\nConclusion: This study provides further evidence of the variability in foot characteristics associated with equinovarus secondary to hemiplegic CP. These ﬁndings would not have been detected using a single segment foot model. The identiﬁcation of multiple kinematic subgroups with unique foot and ankle characteristics has the potential to improve treatment since similar patients within a subgroup are likely to beneﬁt from the same intervention(s).","container-title":"Gait &amp; Posture","DOI":"10.1016/j.gaitpost.2014.10.027","ISSN":"0966-6362","issue":"2","language":"en","license":"https://www.elsevier.com/tdm/userlicense/1.0/","page":"402-408","publisher":"Elsevier BV","source":"Crossref","title":"Kinematic foot types in youth with equinovarus secondary to hemiplegia","volume":"41","author":[{"family":"Krzak","given":"Joseph J."},{"family":"Corcos","given":"Daniel M."},{"family":"Damiano","given":"Diane L."},{"family":"Graf","given":"Adam"},{"family":"Hedeker","given":"Donald"},{"family":"Smith","given":"Peter A."},{"family":"Harris","given":"Gerald F."}],"issued":{"date-parts":[["2015",2]]}}}],"schema":"https://github.com/citation-style-language/schema/raw/master/csl-citation.json"} </w:instrText>
      </w:r>
      <w:r w:rsidR="00ED3D44">
        <w:fldChar w:fldCharType="separate"/>
      </w:r>
      <w:r w:rsidR="00982BF6" w:rsidRPr="00982BF6">
        <w:rPr>
          <w:rFonts w:ascii="Aptos" w:hAnsi="Aptos"/>
        </w:rPr>
        <w:t>(Kruger et al., 2019; Krzak et al., 2015)</w:t>
      </w:r>
      <w:r w:rsidR="00ED3D44">
        <w:fldChar w:fldCharType="end"/>
      </w:r>
      <w:r w:rsidR="00ED3D44">
        <w:t xml:space="preserve">. </w:t>
      </w:r>
      <w:r w:rsidR="007D6324">
        <w:t xml:space="preserve">These subgroups </w:t>
      </w:r>
      <w:r w:rsidR="0076756B">
        <w:t>further</w:t>
      </w:r>
      <w:r w:rsidR="00373602">
        <w:t xml:space="preserve"> defined an objective means to classify multi-se</w:t>
      </w:r>
      <w:r w:rsidR="00F859EF">
        <w:t xml:space="preserve">gment and ankle kinematics of children with involvement of different planes and various ranges of motion </w:t>
      </w:r>
      <w:r w:rsidR="00AC0952">
        <w:t xml:space="preserve">to ultimately be used to analyze severity and track disease progression. </w:t>
      </w:r>
      <w:r w:rsidR="00ED3D44">
        <w:t>However, these studies did not consider the morphology/bone shape of the hindfoot in their analysis.</w:t>
      </w:r>
    </w:p>
    <w:p w14:paraId="24C61DDC" w14:textId="3425DE2F" w:rsidR="005312A2" w:rsidRDefault="00D43D8C" w:rsidP="00494A9F">
      <w:r>
        <w:t>Analyzing a</w:t>
      </w:r>
      <w:r w:rsidR="000628CC">
        <w:t xml:space="preserve"> multivariate dataset containing both </w:t>
      </w:r>
      <w:r w:rsidR="00151FD5">
        <w:t xml:space="preserve">gait and bone shape would </w:t>
      </w:r>
      <w:r>
        <w:t xml:space="preserve">help </w:t>
      </w:r>
      <w:r w:rsidR="00151FD5">
        <w:t xml:space="preserve">further </w:t>
      </w:r>
      <w:r w:rsidR="009E5A8F">
        <w:t>identify potential clinical subgroups</w:t>
      </w:r>
      <w:r w:rsidR="00AC0952">
        <w:t xml:space="preserve"> and </w:t>
      </w:r>
      <w:r w:rsidR="00E06F10">
        <w:t xml:space="preserve">provide </w:t>
      </w:r>
      <w:r w:rsidR="00AC0952">
        <w:t>a better understanding of how bone shape may impact functional gait for patients</w:t>
      </w:r>
      <w:r w:rsidR="009E5A8F">
        <w:t xml:space="preserve">. </w:t>
      </w:r>
      <w:r w:rsidR="005312A2">
        <w:t xml:space="preserve">A previous study done by Birdal </w:t>
      </w:r>
      <w:r w:rsidR="007D6324">
        <w:t xml:space="preserve">&amp; </w:t>
      </w:r>
      <w:r w:rsidR="005312A2">
        <w:t xml:space="preserve"> </w:t>
      </w:r>
      <w:r w:rsidR="004F4065">
        <w:t xml:space="preserve">Sertbas (2023), looked at </w:t>
      </w:r>
      <w:r w:rsidR="00854B18">
        <w:t xml:space="preserve">improving gait identification in 3D by </w:t>
      </w:r>
      <w:r w:rsidR="000628CC">
        <w:t>utilizing multivariate data analysis in separate body halves</w:t>
      </w:r>
      <w:r w:rsidR="009E5A8F">
        <w:t xml:space="preserve"> using canonical covariates</w:t>
      </w:r>
      <w:r w:rsidR="00B22CAB">
        <w:t xml:space="preserve"> with </w:t>
      </w:r>
      <w:r w:rsidR="00E06F10">
        <w:t xml:space="preserve">the </w:t>
      </w:r>
      <w:r w:rsidR="00B22CAB">
        <w:t xml:space="preserve">Canonical Correlation Analysis method (CCA) method </w:t>
      </w:r>
      <w:r w:rsidR="00B22CAB">
        <w:fldChar w:fldCharType="begin"/>
      </w:r>
      <w:r w:rsidR="00552632">
        <w:instrText xml:space="preserve"> ADDIN ZOTERO_ITEM CSL_CITATION {"citationID":"nFhgkHHx","properties":{"unsorted":false,"formattedCitation":"(Birdal &amp; Sertbas, 2023)","plainCitation":"(Birdal &amp; Sertbas, 2023)","noteIndex":0},"citationItems":[{"id":1385,"uris":["http://zotero.org/users/9936247/items/6CM5WX7W"],"itemData":{"id":1385,"type":"article-journal","abstract":"Biometric gait recognition is a lesser-known but emerging and effective biometric recognition method which enables subjects’ walking patterns to be re…","container-title":"Computers, Materials and Continua","DOI":"10.32604/cmc.2023.032069","ISSN":"1546-2218","issue":"3","language":"en-US","page":"2727-2744","publisher":"Tech Turkey Press","publisher-place":"Turkey","source":"www.sciencedirect.com","title":"3-D Gait Identification Utilizing Latent Canonical Covariates Consisting of Gait Features","volume":"76","author":[{"family":"Birdal","given":"Ramiz Gorkem"},{"family":"Sertbas","given":"Ahmet"}],"issued":{"date-parts":[["2023",10,8]]}}}],"schema":"https://github.com/citation-style-language/schema/raw/master/csl-citation.json"} </w:instrText>
      </w:r>
      <w:r w:rsidR="00B22CAB">
        <w:fldChar w:fldCharType="separate"/>
      </w:r>
      <w:r w:rsidR="00552632" w:rsidRPr="00552632">
        <w:rPr>
          <w:rFonts w:ascii="Aptos" w:hAnsi="Aptos"/>
        </w:rPr>
        <w:t>(Birdal &amp; Sertbas, 2023)</w:t>
      </w:r>
      <w:r w:rsidR="00B22CAB">
        <w:fldChar w:fldCharType="end"/>
      </w:r>
      <w:r w:rsidR="00E06F10">
        <w:t xml:space="preserve">. </w:t>
      </w:r>
      <w:r w:rsidR="0071083C">
        <w:t xml:space="preserve">CCA primarily aims to projection pairs </w:t>
      </w:r>
      <w:r w:rsidR="001868E0">
        <w:t>for two sets of vectors such that the transformed vectors are maximally correlated in the dimensionality reduced space</w:t>
      </w:r>
      <w:r w:rsidR="00916C67">
        <w:t xml:space="preserve"> </w:t>
      </w:r>
      <w:r w:rsidR="00916C67">
        <w:fldChar w:fldCharType="begin"/>
      </w:r>
      <w:r w:rsidR="00916C67">
        <w:instrText xml:space="preserve"> ADDIN ZOTERO_ITEM CSL_CITATION {"citationID":"vMjQzVXB","properties":{"unsorted":false,"formattedCitation":"(Birdal &amp; Sertbas, 2023)","plainCitation":"(Birdal &amp; Sertbas, 2023)","noteIndex":0},"citationItems":[{"id":1385,"uris":["http://zotero.org/users/9936247/items/6CM5WX7W"],"itemData":{"id":1385,"type":"article-journal","abstract":"Biometric gait recognition is a lesser-known but emerging and effective biometric recognition method which enables subjects’ walking patterns to be re…","container-title":"Computers, Materials and Continua","DOI":"10.32604/cmc.2023.032069","ISSN":"1546-2218","issue":"3","language":"en-US","page":"2727-2744","publisher":"Tech Turkey Press","publisher-place":"Turkey","source":"www.sciencedirect.com","title":"3-D Gait Identification Utilizing Latent Canonical Covariates Consisting of Gait Features","volume":"76","author":[{"family":"Birdal","given":"Ramiz Gorkem"},{"family":"Sertbas","given":"Ahmet"}],"issued":{"date-parts":[["2023",10,8]]}}}],"schema":"https://github.com/citation-style-language/schema/raw/master/csl-citation.json"} </w:instrText>
      </w:r>
      <w:r w:rsidR="00916C67">
        <w:fldChar w:fldCharType="separate"/>
      </w:r>
      <w:r w:rsidR="00916C67" w:rsidRPr="00916C67">
        <w:rPr>
          <w:rFonts w:ascii="Aptos" w:hAnsi="Aptos"/>
        </w:rPr>
        <w:t>(Birdal &amp; Sertbas, 2023)</w:t>
      </w:r>
      <w:r w:rsidR="00916C67">
        <w:fldChar w:fldCharType="end"/>
      </w:r>
      <w:r w:rsidR="00916C67">
        <w:t xml:space="preserve">. </w:t>
      </w:r>
      <w:r w:rsidR="00A17205">
        <w:t xml:space="preserve">The authors found that CCA-based multi-feature fusion </w:t>
      </w:r>
      <w:r w:rsidR="00811E3E">
        <w:t>helped</w:t>
      </w:r>
      <w:r w:rsidR="00AE7631">
        <w:t xml:space="preserve"> enhance gait assessment and identification </w:t>
      </w:r>
      <w:r w:rsidR="00811E3E">
        <w:t xml:space="preserve">to recognize a </w:t>
      </w:r>
      <w:r w:rsidR="00EB5ABD">
        <w:t>subject’s</w:t>
      </w:r>
      <w:r w:rsidR="00811E3E">
        <w:t xml:space="preserve"> walking patterns.</w:t>
      </w:r>
    </w:p>
    <w:p w14:paraId="65A7A3A9" w14:textId="36B11C62" w:rsidR="00837CB7" w:rsidRDefault="005B655F" w:rsidP="00494A9F">
      <w:r>
        <w:t xml:space="preserve">The purpose of </w:t>
      </w:r>
      <w:r w:rsidR="00250AFE">
        <w:t xml:space="preserve">the current study was to identify clinically relevant subgroups among a sample of </w:t>
      </w:r>
      <w:r w:rsidR="00CD6A48">
        <w:t xml:space="preserve">10 </w:t>
      </w:r>
      <w:r w:rsidR="00250AFE">
        <w:t xml:space="preserve">typically developing children </w:t>
      </w:r>
      <w:r w:rsidR="00CD6A48">
        <w:t>by u</w:t>
      </w:r>
      <w:r w:rsidR="00BA7C93">
        <w:t xml:space="preserve">sing multi-segment foot kinematics and statistical shape models </w:t>
      </w:r>
      <w:r w:rsidR="00B77C98">
        <w:t>(SSMs) as inputs for PCA, CCA, and K-means cluster analysis. We anticipate that identified subgroups would present with unique kinematic and morphological characteristics</w:t>
      </w:r>
      <w:r w:rsidR="007250EE">
        <w:t xml:space="preserve">. </w:t>
      </w:r>
    </w:p>
    <w:p w14:paraId="5A3B48E3" w14:textId="57036DBD" w:rsidR="00F568C9" w:rsidRPr="00CF267F" w:rsidRDefault="009D5C10" w:rsidP="00CF267F">
      <w:pPr>
        <w:pStyle w:val="Heading1"/>
        <w:rPr>
          <w:b/>
          <w:bCs/>
        </w:rPr>
      </w:pPr>
      <w:r>
        <w:t>Method</w:t>
      </w:r>
      <w:r w:rsidR="00F152A6">
        <w:t>s</w:t>
      </w:r>
      <w:r w:rsidR="00102D8E">
        <w:t xml:space="preserve"> (make sure to include </w:t>
      </w:r>
      <w:r w:rsidR="005F4AAC">
        <w:t xml:space="preserve">python tools) </w:t>
      </w:r>
    </w:p>
    <w:p w14:paraId="7E28FBC8" w14:textId="598DED61" w:rsidR="00771CDF" w:rsidRDefault="00712F32" w:rsidP="00771CDF">
      <w:pPr>
        <w:pStyle w:val="Heading2"/>
      </w:pPr>
      <w:r>
        <w:t>Data Collection</w:t>
      </w:r>
      <w:r w:rsidR="00EF4E44">
        <w:t xml:space="preserve"> a</w:t>
      </w:r>
      <w:r w:rsidR="001E0E4F">
        <w:t>nd Preprocessing</w:t>
      </w:r>
    </w:p>
    <w:p w14:paraId="6BD006EC" w14:textId="76A12D4E" w:rsidR="006E2C0B" w:rsidRDefault="00771CDF" w:rsidP="00771CDF">
      <w:r>
        <w:tab/>
      </w:r>
      <w:r w:rsidR="004A1659">
        <w:t>Ten typically developing children/adolescents</w:t>
      </w:r>
      <w:r w:rsidR="00DF54A9">
        <w:t xml:space="preserve"> </w:t>
      </w:r>
      <w:r w:rsidR="007B208B">
        <w:t>w</w:t>
      </w:r>
      <w:r w:rsidR="004E7029">
        <w:t xml:space="preserve">ere included. All participants </w:t>
      </w:r>
      <w:r w:rsidR="00D31604">
        <w:t xml:space="preserve">were not diagnosed with foot deformities and were recruited for diagnostic gait analysis. </w:t>
      </w:r>
      <w:r w:rsidR="00156FA7">
        <w:t>Multi-segment 3D marker gait analysis was captured for each patient, consisting of static and walking trials.</w:t>
      </w:r>
      <w:r w:rsidR="00F83C87">
        <w:t xml:space="preserve"> Kinematic gait variables of interest for this project included,</w:t>
      </w:r>
      <w:r w:rsidR="00C766BF">
        <w:t xml:space="preserve"> sagittal ankle, coronal ankle, ankle rotation, sagittal midfoot, coronal midfoot, and midfoot rotation angles throughout the gait cycle</w:t>
      </w:r>
      <w:r w:rsidR="006E2C0B">
        <w:t xml:space="preserve">. </w:t>
      </w:r>
    </w:p>
    <w:p w14:paraId="5D39949B" w14:textId="1B6239FB" w:rsidR="006E2C0B" w:rsidRDefault="00000000" w:rsidP="00771CDF">
      <m:oMathPara>
        <m:oMath>
          <m:sSub>
            <m:sSubPr>
              <m:ctrlPr>
                <w:rPr>
                  <w:rFonts w:ascii="Cambria Math" w:hAnsi="Cambria Math"/>
                  <w:i/>
                </w:rPr>
              </m:ctrlPr>
            </m:sSubPr>
            <m:e>
              <m:r>
                <w:rPr>
                  <w:rFonts w:ascii="Cambria Math" w:hAnsi="Cambria Math"/>
                </w:rPr>
                <m:t>X</m:t>
              </m:r>
            </m:e>
            <m:sub>
              <m:r>
                <w:rPr>
                  <w:rFonts w:ascii="Cambria Math" w:hAnsi="Cambria Math"/>
                </w:rPr>
                <m:t>gait</m:t>
              </m:r>
            </m:sub>
          </m:sSub>
          <m:r>
            <w:rPr>
              <w:rFonts w:ascii="Cambria Math" w:hAnsi="Cambria Math"/>
            </w:rPr>
            <m:t xml:space="preserve"> ϵ </m:t>
          </m:r>
          <m:sSup>
            <m:sSupPr>
              <m:ctrlPr>
                <w:rPr>
                  <w:rFonts w:ascii="Cambria Math" w:hAnsi="Cambria Math"/>
                  <w:i/>
                </w:rPr>
              </m:ctrlPr>
            </m:sSupPr>
            <m:e>
              <m:r>
                <m:rPr>
                  <m:scr m:val="double-struck"/>
                </m:rPr>
                <w:rPr>
                  <w:rFonts w:ascii="Cambria Math" w:hAnsi="Cambria Math"/>
                </w:rPr>
                <m:t>R</m:t>
              </m:r>
            </m:e>
            <m:sup>
              <m:r>
                <w:rPr>
                  <w:rFonts w:ascii="Cambria Math" w:hAnsi="Cambria Math"/>
                </w:rPr>
                <m:t xml:space="preserve">10 x </m:t>
              </m:r>
              <m:d>
                <m:dPr>
                  <m:ctrlPr>
                    <w:rPr>
                      <w:rFonts w:ascii="Cambria Math" w:hAnsi="Cambria Math"/>
                      <w:i/>
                    </w:rPr>
                  </m:ctrlPr>
                </m:dPr>
                <m:e>
                  <m:r>
                    <w:rPr>
                      <w:rFonts w:ascii="Cambria Math" w:hAnsi="Cambria Math"/>
                    </w:rPr>
                    <m:t>101 x 6=606</m:t>
                  </m:r>
                </m:e>
              </m:d>
            </m:sup>
          </m:sSup>
        </m:oMath>
      </m:oMathPara>
    </w:p>
    <w:p w14:paraId="4AA00841" w14:textId="6FE2D5DA" w:rsidR="00771CDF" w:rsidRDefault="00D31604" w:rsidP="00771CDF">
      <w:r>
        <w:t xml:space="preserve">Individuals </w:t>
      </w:r>
      <w:r w:rsidR="008F227D">
        <w:t xml:space="preserve">received a bilateral </w:t>
      </w:r>
      <w:r w:rsidR="00712F32">
        <w:t xml:space="preserve">WBCT to collect bone morphology. </w:t>
      </w:r>
      <w:r w:rsidR="00250B9F">
        <w:t xml:space="preserve">WBCT of the calcaneus was segmented </w:t>
      </w:r>
      <w:r w:rsidR="00705DDA">
        <w:t>with DisiorBone Logic</w:t>
      </w:r>
      <w:r w:rsidR="0024393E">
        <w:t xml:space="preserve"> to form a 3D </w:t>
      </w:r>
      <w:r w:rsidR="008F227D">
        <w:t>ST</w:t>
      </w:r>
      <w:r w:rsidR="003D748D">
        <w:t>L</w:t>
      </w:r>
      <w:r w:rsidR="008F227D">
        <w:t xml:space="preserve"> </w:t>
      </w:r>
      <w:r w:rsidR="002309B8">
        <w:t xml:space="preserve">of the </w:t>
      </w:r>
      <w:r w:rsidR="003D748D">
        <w:t>bone for each patient</w:t>
      </w:r>
      <w:r w:rsidR="002309B8">
        <w:t>.</w:t>
      </w:r>
      <w:r w:rsidR="0024393E">
        <w:t xml:space="preserve"> </w:t>
      </w:r>
      <w:r w:rsidR="003170AE">
        <w:t xml:space="preserve"> From this, a</w:t>
      </w:r>
      <w:r w:rsidR="00705DDA">
        <w:t xml:space="preserve"> statistical shape model (SSM) particle cloud </w:t>
      </w:r>
      <w:r w:rsidR="003170AE">
        <w:t>was formed</w:t>
      </w:r>
      <w:r w:rsidR="008F227D">
        <w:t xml:space="preserve">, </w:t>
      </w:r>
      <w:r w:rsidR="003170AE">
        <w:t xml:space="preserve">where particles </w:t>
      </w:r>
      <w:r w:rsidR="00705DDA">
        <w:t>represent</w:t>
      </w:r>
      <w:r w:rsidR="003170AE">
        <w:t>ed</w:t>
      </w:r>
      <w:r w:rsidR="00705DDA">
        <w:t xml:space="preserve"> </w:t>
      </w:r>
      <w:r w:rsidR="003D748D">
        <w:t xml:space="preserve">points on </w:t>
      </w:r>
      <w:r w:rsidR="00705DDA">
        <w:t>the surfac</w:t>
      </w:r>
      <w:r w:rsidR="00B939FC">
        <w:t xml:space="preserve">e </w:t>
      </w:r>
      <w:r w:rsidR="00705DDA">
        <w:t>morphology of the bone</w:t>
      </w:r>
      <w:r w:rsidR="003170AE">
        <w:t xml:space="preserve">. </w:t>
      </w:r>
      <w:r w:rsidR="008F227D">
        <w:t xml:space="preserve">Calcaneus particles </w:t>
      </w:r>
      <w:r w:rsidR="00175965">
        <w:t xml:space="preserve">of </w:t>
      </w:r>
      <w:r w:rsidR="008F227D">
        <w:t xml:space="preserve">the left </w:t>
      </w:r>
      <w:r w:rsidR="00175965">
        <w:t xml:space="preserve">hindfoot </w:t>
      </w:r>
      <w:r w:rsidR="008F227D">
        <w:t>were mirrored to match the right</w:t>
      </w:r>
      <w:r w:rsidR="00175965">
        <w:t xml:space="preserve"> </w:t>
      </w:r>
      <w:r w:rsidR="003D26C7">
        <w:t xml:space="preserve">bone </w:t>
      </w:r>
      <w:r w:rsidR="00175965">
        <w:t>of each patient</w:t>
      </w:r>
      <w:r w:rsidR="00FE0694">
        <w:t xml:space="preserve">. </w:t>
      </w:r>
      <w:r w:rsidR="00010D50">
        <w:t xml:space="preserve">Procrustes </w:t>
      </w:r>
      <w:r w:rsidR="002F6AA0">
        <w:t xml:space="preserve">analysis in SciPy </w:t>
      </w:r>
      <w:r w:rsidR="009A59D8">
        <w:t>was performed on all the</w:t>
      </w:r>
      <w:r w:rsidR="00F23FF6">
        <w:t xml:space="preserve"> bones to apply the necessary translation, scaling, rotation, and reflection to minimize the sum of squared point</w:t>
      </w:r>
      <w:r w:rsidR="00923A35">
        <w:t xml:space="preserve">wise differences between them, using the mean shape as the reference. </w:t>
      </w:r>
    </w:p>
    <w:p w14:paraId="4B4E029E" w14:textId="74E7E4C6" w:rsidR="003D26C7" w:rsidRPr="00FE0694" w:rsidRDefault="00000000" w:rsidP="003D26C7">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SSM</m:t>
              </m:r>
            </m:sub>
          </m:sSub>
          <m:r>
            <w:rPr>
              <w:rFonts w:ascii="Cambria Math" w:hAnsi="Cambria Math"/>
            </w:rPr>
            <m:t xml:space="preserve"> ϵ </m:t>
          </m:r>
          <m:sSup>
            <m:sSupPr>
              <m:ctrlPr>
                <w:rPr>
                  <w:rFonts w:ascii="Cambria Math" w:hAnsi="Cambria Math"/>
                  <w:i/>
                </w:rPr>
              </m:ctrlPr>
            </m:sSupPr>
            <m:e>
              <m:r>
                <m:rPr>
                  <m:scr m:val="double-struck"/>
                </m:rPr>
                <w:rPr>
                  <w:rFonts w:ascii="Cambria Math" w:hAnsi="Cambria Math"/>
                </w:rPr>
                <m:t>R</m:t>
              </m:r>
            </m:e>
            <m:sup>
              <m:r>
                <w:rPr>
                  <w:rFonts w:ascii="Cambria Math" w:hAnsi="Cambria Math"/>
                </w:rPr>
                <m:t xml:space="preserve">10 x </m:t>
              </m:r>
              <m:d>
                <m:dPr>
                  <m:ctrlPr>
                    <w:rPr>
                      <w:rFonts w:ascii="Cambria Math" w:hAnsi="Cambria Math"/>
                      <w:i/>
                    </w:rPr>
                  </m:ctrlPr>
                </m:dPr>
                <m:e>
                  <m:r>
                    <w:rPr>
                      <w:rFonts w:ascii="Cambria Math" w:hAnsi="Cambria Math"/>
                    </w:rPr>
                    <m:t>4096 ∙3 ∙2=24576</m:t>
                  </m:r>
                </m:e>
              </m:d>
            </m:sup>
          </m:sSup>
        </m:oMath>
      </m:oMathPara>
    </w:p>
    <w:p w14:paraId="4EC9B1A3" w14:textId="77F386BB" w:rsidR="00AD75E9" w:rsidRDefault="00000000" w:rsidP="003D26C7">
      <m:oMathPara>
        <m:oMath>
          <m:sSub>
            <m:sSubPr>
              <m:ctrlPr>
                <w:rPr>
                  <w:rFonts w:ascii="Cambria Math" w:hAnsi="Cambria Math"/>
                  <w:i/>
                </w:rPr>
              </m:ctrlPr>
            </m:sSubPr>
            <m:e>
              <m:r>
                <w:rPr>
                  <w:rFonts w:ascii="Cambria Math" w:hAnsi="Cambria Math"/>
                </w:rPr>
                <m:t>X</m:t>
              </m:r>
            </m:e>
            <m:sub>
              <m:r>
                <w:rPr>
                  <w:rFonts w:ascii="Cambria Math" w:hAnsi="Cambria Math"/>
                </w:rPr>
                <m:t xml:space="preserve">gait </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SSM</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 xml:space="preserve">10 x </m:t>
              </m:r>
              <m:d>
                <m:dPr>
                  <m:ctrlPr>
                    <w:rPr>
                      <w:rFonts w:ascii="Cambria Math" w:hAnsi="Cambria Math"/>
                      <w:i/>
                    </w:rPr>
                  </m:ctrlPr>
                </m:dPr>
                <m:e>
                  <m:r>
                    <w:rPr>
                      <w:rFonts w:ascii="Cambria Math" w:hAnsi="Cambria Math"/>
                    </w:rPr>
                    <m:t>606+ 24576=25182</m:t>
                  </m:r>
                </m:e>
              </m:d>
            </m:sup>
          </m:sSup>
          <m:r>
            <w:rPr>
              <w:rFonts w:ascii="Cambria Math" w:hAnsi="Cambria Math"/>
            </w:rPr>
            <m:t xml:space="preserve"> </m:t>
          </m:r>
        </m:oMath>
      </m:oMathPara>
    </w:p>
    <w:p w14:paraId="17D0199F" w14:textId="58C7B974" w:rsidR="00705DDA" w:rsidRDefault="00356AE4" w:rsidP="00771CDF">
      <w:r>
        <w:t xml:space="preserve">Each variable was then normalized by </w:t>
      </w:r>
      <w:r w:rsidR="00967BB9">
        <w:t>removing the mean and scaling to unit variance</w:t>
      </w:r>
      <w:r w:rsidR="002F6AA0">
        <w:t xml:space="preserve"> with </w:t>
      </w:r>
      <w:r w:rsidR="00923A35">
        <w:t>S</w:t>
      </w:r>
      <w:r w:rsidR="008B3CC8">
        <w:t xml:space="preserve">cikitlearn – StandardScaler. </w:t>
      </w:r>
    </w:p>
    <w:p w14:paraId="55FA3AC7" w14:textId="2F58081B" w:rsidR="008B3CC8" w:rsidRDefault="008B3CC8" w:rsidP="008B3CC8">
      <w:pPr>
        <w:pStyle w:val="Heading2"/>
      </w:pPr>
      <w:r>
        <w:t>Data Dimensionality Reduction</w:t>
      </w:r>
    </w:p>
    <w:p w14:paraId="149DA75C" w14:textId="4C812254" w:rsidR="008B3CC8" w:rsidRDefault="008B3CC8" w:rsidP="008B3CC8">
      <w:pPr>
        <w:pStyle w:val="Heading3"/>
      </w:pPr>
      <w:r>
        <w:t>Principal Component Analysis</w:t>
      </w:r>
      <w:r w:rsidR="0049107F">
        <w:t xml:space="preserve"> (PCA) </w:t>
      </w:r>
    </w:p>
    <w:p w14:paraId="2C88D407" w14:textId="09A18760" w:rsidR="002E4F7D" w:rsidRDefault="001923DA" w:rsidP="00B2033A">
      <w:r>
        <w:t>The</w:t>
      </w:r>
      <w:r w:rsidR="00C370C2">
        <w:t xml:space="preserve"> PCs for gait and SSM were derived separately first </w:t>
      </w:r>
      <w:r w:rsidR="008D129D">
        <w:t>utilizing the normalized respective datasets</w:t>
      </w:r>
      <w:r w:rsidR="00F36EBB">
        <w:t xml:space="preserve"> using Scikitlearn – PCA</w:t>
      </w:r>
      <w:r w:rsidR="00803B2D">
        <w:t>, which resulted in 10 initial PCs for</w:t>
      </w:r>
      <w:r w:rsidR="006E0481">
        <w:t xml:space="preserve"> both gait and SSM. Criteria </w:t>
      </w:r>
      <w:r w:rsidR="008C0FE9">
        <w:t xml:space="preserve">for </w:t>
      </w:r>
      <w:r w:rsidR="006E0481">
        <w:t>PC</w:t>
      </w:r>
      <w:r w:rsidR="008C0FE9">
        <w:t xml:space="preserve"> retention </w:t>
      </w:r>
      <w:r w:rsidR="00DB7459">
        <w:t xml:space="preserve">included: </w:t>
      </w:r>
      <w:commentRangeStart w:id="0"/>
      <w:commentRangeStart w:id="1"/>
      <w:r w:rsidR="006E0481">
        <w:t xml:space="preserve">(1) explained variance </w:t>
      </w:r>
      <w:r w:rsidR="008C0FE9">
        <w:t xml:space="preserve">≥ </w:t>
      </w:r>
      <w:r w:rsidR="000577D4">
        <w:t>0.1</w:t>
      </w:r>
      <w:r w:rsidR="002F16AB">
        <w:t>0, (2) components located to the left of an ‘elbow’ on the scree plot containing the eigen</w:t>
      </w:r>
      <w:r w:rsidR="00CE60A2">
        <w:t>values across all PCs</w:t>
      </w:r>
      <w:r w:rsidR="00695EB8">
        <w:t xml:space="preserve"> </w:t>
      </w:r>
      <w:r w:rsidR="00695EB8">
        <w:fldChar w:fldCharType="begin"/>
      </w:r>
      <w:r w:rsidR="00695EB8">
        <w:instrText xml:space="preserve"> ADDIN ZOTERO_ITEM CSL_CITATION {"citationID":"mCVyP8ZE","properties":{"unsorted":false,"formattedCitation":"(Cattell, 1966)","plainCitation":"(Cattell, 1966)","noteIndex":0},"citationItems":[{"id":1395,"uris":["http://zotero.org/users/9936247/items/AAULX3UZ"],"itemData":{"id":1395,"type":"article-journal","container-title":"Multivariate Behavioral Research","DOI":"10.1207/s15327906mbr0102_10","ISSN":"0027-3171","issue":"2","note":"_eprint: https://doi.org/10.1207/s15327906mbr0102_10","page":"245-276","PMID":"26828106","publisher":"Routledge","source":"Taylor and Francis+NEJM","title":"The Scree Test For The Number Of Factors","volume":"1","author":[{"family":"Cattell","given":"Raymond B."}],"issued":{"date-parts":[["1966",4,1]]}}}],"schema":"https://github.com/citation-style-language/schema/raw/master/csl-citation.json"} </w:instrText>
      </w:r>
      <w:r w:rsidR="00695EB8">
        <w:fldChar w:fldCharType="separate"/>
      </w:r>
      <w:r w:rsidR="00695EB8" w:rsidRPr="00932731">
        <w:rPr>
          <w:rFonts w:ascii="Aptos" w:hAnsi="Aptos"/>
        </w:rPr>
        <w:t>(Cattell, 1966)</w:t>
      </w:r>
      <w:r w:rsidR="00695EB8">
        <w:fldChar w:fldCharType="end"/>
      </w:r>
      <w:r w:rsidR="00695EB8">
        <w:t xml:space="preserve">, </w:t>
      </w:r>
      <w:r w:rsidR="00CE60A2">
        <w:t>(3) retaining minimum number of components such that cumulative percent of variance accounted for was ≥ 80%</w:t>
      </w:r>
      <w:r w:rsidR="00932731">
        <w:t xml:space="preserve"> </w:t>
      </w:r>
      <w:r w:rsidR="00163489">
        <w:t xml:space="preserve"> </w:t>
      </w:r>
      <w:r w:rsidR="00163489">
        <w:fldChar w:fldCharType="begin"/>
      </w:r>
      <w:r w:rsidR="00163489">
        <w:instrText xml:space="preserve"> ADDIN ZOTERO_ITEM CSL_CITATION {"citationID":"5NdBljci","properties":{"unsorted":false,"formattedCitation":"(Jolliffe &amp; Cadima, 2016)","plainCitation":"(Jolliffe &amp; Cadima, 2016)","noteIndex":0},"citationItems":[{"id":1397,"uris":["http://zotero.org/users/9936247/items/W8VWHAH8"],"itemData":{"id":1397,"type":"article-journal","abstract":"Large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Sciences","DOI":"10.1098/rsta.2015.0202","ISSN":"1364-503X","issue":"2065","journalAbbreviation":"Philos Trans A Math Phys Eng Sci","page":"20150202","source":"Silverchair","title":"Principal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163489">
        <w:fldChar w:fldCharType="separate"/>
      </w:r>
      <w:r w:rsidR="00163489" w:rsidRPr="00163489">
        <w:rPr>
          <w:rFonts w:ascii="Aptos" w:hAnsi="Aptos"/>
        </w:rPr>
        <w:t>(Jolliffe &amp; Cadima, 2016)</w:t>
      </w:r>
      <w:r w:rsidR="00163489">
        <w:fldChar w:fldCharType="end"/>
      </w:r>
      <w:r w:rsidR="008C0FE9">
        <w:t>.</w:t>
      </w:r>
      <w:commentRangeEnd w:id="0"/>
      <w:r w:rsidR="002E4F7D">
        <w:rPr>
          <w:rStyle w:val="CommentReference"/>
          <w:sz w:val="24"/>
          <w:szCs w:val="24"/>
        </w:rPr>
        <w:commentReference w:id="0"/>
      </w:r>
      <w:commentRangeEnd w:id="1"/>
      <w:r w:rsidR="00EA4A29">
        <w:rPr>
          <w:rStyle w:val="CommentReference"/>
          <w:sz w:val="24"/>
          <w:szCs w:val="24"/>
        </w:rPr>
        <w:commentReference w:id="1"/>
      </w:r>
      <w:r w:rsidR="00C66DB1">
        <w:t xml:space="preserve"> </w:t>
      </w:r>
      <w:r w:rsidR="000C4A3A">
        <w:t>Gait and shape loadings on the PCs were examined for clinical interpretation</w:t>
      </w:r>
      <w:r w:rsidR="00C75A6F">
        <w:t xml:space="preserve">. </w:t>
      </w:r>
    </w:p>
    <w:p w14:paraId="47DD52E2" w14:textId="5B22DFBC" w:rsidR="0049107F" w:rsidRDefault="0049107F" w:rsidP="0049107F">
      <w:pPr>
        <w:pStyle w:val="Heading3"/>
      </w:pPr>
      <w:r>
        <w:t>Canonical Correlation Analysis (CCA)</w:t>
      </w:r>
    </w:p>
    <w:p w14:paraId="71DE145A" w14:textId="60F16EF3" w:rsidR="00D12163" w:rsidRDefault="00FD45A1" w:rsidP="00F75960">
      <w:r>
        <w:t>CCA was</w:t>
      </w:r>
      <w:r w:rsidR="00B10AD6">
        <w:t xml:space="preserve"> performed on the </w:t>
      </w:r>
      <w:r w:rsidR="00241CD7">
        <w:t>PCs that were retained</w:t>
      </w:r>
      <w:r w:rsidR="00981180">
        <w:t xml:space="preserve"> using Scikitlearn – CCA </w:t>
      </w:r>
      <w:r w:rsidR="00A0040A">
        <w:t>to find</w:t>
      </w:r>
      <w:r w:rsidR="005633CD">
        <w:t xml:space="preserve"> the canonical vectors such that </w:t>
      </w:r>
      <w:r w:rsidR="00F145D4">
        <w:t xml:space="preserve">they capture the maximum correlation between gait and SSM PCs. </w:t>
      </w:r>
      <w:r w:rsidR="00162606">
        <w:t xml:space="preserve">CCA canonical correlations </w:t>
      </w:r>
      <w:r w:rsidR="00742CF3">
        <w:t>were examined to determine appropriateness for clustering.</w:t>
      </w:r>
      <w:r w:rsidR="00D12163">
        <w:t xml:space="preserve"> Leave-One-Out Stability Analysis assessed the robustness of the relationships between gait and SSM </w:t>
      </w:r>
      <w:r w:rsidR="00DA7C20">
        <w:t xml:space="preserve">by examining the weights, loadings, and rotations. </w:t>
      </w:r>
      <w:r w:rsidR="00DA7B1B">
        <w:t xml:space="preserve">PCs with the largest contributions were identified </w:t>
      </w:r>
      <w:r w:rsidR="00F93546">
        <w:t xml:space="preserve">to highlight what dominates the gait-SSM relationship. </w:t>
      </w:r>
      <w:r w:rsidR="00F7319F">
        <w:t xml:space="preserve">CCA scores for both gait and SSM were concatenated for clustering analysis. </w:t>
      </w:r>
    </w:p>
    <w:p w14:paraId="2903F683" w14:textId="2F4D88D8" w:rsidR="00884EBE" w:rsidRDefault="00610C4F" w:rsidP="00610C4F">
      <w:pPr>
        <w:pStyle w:val="Heading2"/>
      </w:pPr>
      <w:r>
        <w:lastRenderedPageBreak/>
        <w:t>Cluster Analysis</w:t>
      </w:r>
    </w:p>
    <w:p w14:paraId="05E4F900" w14:textId="3187195A" w:rsidR="00610C4F" w:rsidRDefault="004F439D" w:rsidP="00610C4F">
      <w:r>
        <w:t xml:space="preserve">Hierarchical clustering analysis </w:t>
      </w:r>
      <w:r w:rsidR="00026E5E">
        <w:t xml:space="preserve">with </w:t>
      </w:r>
      <w:r w:rsidR="009705D8">
        <w:t xml:space="preserve">Ward’s method was initially performed on the gait-shape CCA scores for all participants. This established the </w:t>
      </w:r>
      <w:r w:rsidR="00357732">
        <w:t>number of prior clusters to be used in the cluster methods. K-means and Gaussia</w:t>
      </w:r>
      <w:r w:rsidR="00ED1D44">
        <w:t xml:space="preserve">n Mixture Modeling (GMM) clustering were both </w:t>
      </w:r>
      <w:r w:rsidR="00453BEF">
        <w:t>evaluated</w:t>
      </w:r>
      <w:r w:rsidR="00257457">
        <w:t xml:space="preserve"> </w:t>
      </w:r>
      <w:r w:rsidR="00ED1D44">
        <w:t>on the CCA scores</w:t>
      </w:r>
      <w:r w:rsidR="0014102E">
        <w:t xml:space="preserve"> for appropriate </w:t>
      </w:r>
      <w:r w:rsidR="00453BEF">
        <w:t xml:space="preserve">subgroup membership. </w:t>
      </w:r>
      <w:r w:rsidR="000A01D5">
        <w:t xml:space="preserve">For k-means, the optimal number of clusters </w:t>
      </w:r>
      <w:r w:rsidR="00F1391E">
        <w:t xml:space="preserve">was determined by the distance coefficients </w:t>
      </w:r>
      <w:r w:rsidR="00BF3B31">
        <w:t>as they are merged into clusters</w:t>
      </w:r>
      <w:r w:rsidR="00954610">
        <w:t xml:space="preserve">, maximizing similarities within a subgroup and differences between subgroups. </w:t>
      </w:r>
      <w:r w:rsidR="00B507AF">
        <w:t xml:space="preserve">A scree plot and silhouette score plotted the most optimal </w:t>
      </w:r>
      <w:r w:rsidR="004231E5">
        <w:t xml:space="preserve">number of clusters for the dataset. </w:t>
      </w:r>
      <w:r w:rsidR="00292AB9">
        <w:t xml:space="preserve">Unlike the hard clustering method of K-means, GMM </w:t>
      </w:r>
      <w:r w:rsidR="00DD7D95">
        <w:t>performed</w:t>
      </w:r>
      <w:r w:rsidR="00292AB9">
        <w:t xml:space="preserve"> soft clustering </w:t>
      </w:r>
      <w:r w:rsidR="008C1D54">
        <w:t>by assuming multiple Gaussian distributions belong to different clusters. GMM performance</w:t>
      </w:r>
      <w:r w:rsidR="00DD7D95">
        <w:t xml:space="preserve"> </w:t>
      </w:r>
      <w:r w:rsidR="004231E5">
        <w:t xml:space="preserve">was evaluated with log-likelihood, which measures how well the model explains the data, </w:t>
      </w:r>
      <w:r w:rsidR="001267AD">
        <w:t>and scoring methods including Akaike information criterion (AIC) and Bayesian information criterion (BIC)</w:t>
      </w:r>
      <w:r w:rsidR="00A94364">
        <w:t xml:space="preserve">. </w:t>
      </w:r>
      <w:r w:rsidR="00196637">
        <w:t xml:space="preserve">Cluster agreement across methods (ARI) and heatmap visualization were analyzed to compare clustering analysis between K-means and GMM. </w:t>
      </w:r>
      <w:r w:rsidR="007A6B80">
        <w:t xml:space="preserve">Once subgroup membership was assigned, main effect of membership of identified </w:t>
      </w:r>
      <w:r w:rsidR="00177E3C">
        <w:t>on CCA/PCA scores and original data space for analysis</w:t>
      </w:r>
      <w:r w:rsidR="001360F6">
        <w:t xml:space="preserve"> and clinical interpretation. </w:t>
      </w:r>
      <w:r w:rsidR="004231E5">
        <w:t xml:space="preserve"> </w:t>
      </w:r>
    </w:p>
    <w:p w14:paraId="1E9B6E7B" w14:textId="5A53CA82" w:rsidR="00D0363F" w:rsidRPr="00610C4F" w:rsidRDefault="00D0363F" w:rsidP="00610C4F"/>
    <w:p w14:paraId="553330F9" w14:textId="7D18BDEB" w:rsidR="00837CB7" w:rsidRDefault="00505BC0" w:rsidP="00505BC0">
      <w:pPr>
        <w:pStyle w:val="Heading1"/>
      </w:pPr>
      <w:r>
        <w:t>Results</w:t>
      </w:r>
    </w:p>
    <w:p w14:paraId="793DC0FD" w14:textId="0A707614" w:rsidR="00837CB7" w:rsidRDefault="00505BC0" w:rsidP="00505BC0">
      <w:pPr>
        <w:pStyle w:val="Heading2"/>
      </w:pPr>
      <w:r>
        <w:t>Principal Component Analysis</w:t>
      </w:r>
    </w:p>
    <w:p w14:paraId="621CFCC2" w14:textId="4C2A2322" w:rsidR="00196C7F" w:rsidRPr="00196C7F" w:rsidRDefault="00A14693" w:rsidP="00196C7F">
      <w:r>
        <w:t xml:space="preserve">Of the 6060 </w:t>
      </w:r>
      <w:r w:rsidR="00EC6853">
        <w:t>gait and 245</w:t>
      </w:r>
      <w:r w:rsidR="004D0DCE">
        <w:t>760 SSM features,</w:t>
      </w:r>
      <w:r w:rsidR="00911EA8">
        <w:t xml:space="preserve"> 10 PCs were formed with PCA. PC1 and PC2 for both gait and SSM explained 80% of the variance,</w:t>
      </w:r>
      <w:r w:rsidR="00EB1D10">
        <w:t xml:space="preserve"> for both dataset</w:t>
      </w:r>
      <w:r w:rsidR="000878FA">
        <w:t>s</w:t>
      </w:r>
      <w:r w:rsidR="00945FD0">
        <w:t xml:space="preserve"> (Figure 1). </w:t>
      </w:r>
    </w:p>
    <w:p w14:paraId="09C482E7" w14:textId="120BB846" w:rsidR="00505BC0" w:rsidRDefault="00EF17B7" w:rsidP="00505BC0">
      <w:r w:rsidRPr="00EF17B7">
        <w:rPr>
          <w:noProof/>
        </w:rPr>
        <w:lastRenderedPageBreak/>
        <w:drawing>
          <wp:inline distT="0" distB="0" distL="0" distR="0" wp14:anchorId="66A9139E" wp14:editId="3E105E3E">
            <wp:extent cx="5232903" cy="3903992"/>
            <wp:effectExtent l="0" t="0" r="6350" b="1270"/>
            <wp:docPr id="11" name="Picture 10">
              <a:extLst xmlns:a="http://schemas.openxmlformats.org/drawingml/2006/main">
                <a:ext uri="{FF2B5EF4-FFF2-40B4-BE49-F238E27FC236}">
                  <a16:creationId xmlns:a16="http://schemas.microsoft.com/office/drawing/2014/main" id="{1E6FDC90-1342-4769-0270-12A61AF31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E6FDC90-1342-4769-0270-12A61AF31E66}"/>
                        </a:ext>
                      </a:extLst>
                    </pic:cNvPr>
                    <pic:cNvPicPr>
                      <a:picLocks noChangeAspect="1"/>
                    </pic:cNvPicPr>
                  </pic:nvPicPr>
                  <pic:blipFill>
                    <a:blip r:embed="rId12"/>
                    <a:stretch>
                      <a:fillRect/>
                    </a:stretch>
                  </pic:blipFill>
                  <pic:spPr>
                    <a:xfrm>
                      <a:off x="0" y="0"/>
                      <a:ext cx="5252745" cy="3918795"/>
                    </a:xfrm>
                    <a:prstGeom prst="rect">
                      <a:avLst/>
                    </a:prstGeom>
                  </pic:spPr>
                </pic:pic>
              </a:graphicData>
            </a:graphic>
          </wp:inline>
        </w:drawing>
      </w:r>
    </w:p>
    <w:p w14:paraId="2206DC3D" w14:textId="42962A21" w:rsidR="00945FD0" w:rsidRDefault="00945FD0" w:rsidP="00505BC0">
      <w:r>
        <w:t>Figure 1. Explained variance of PCs for Gait and SSM</w:t>
      </w:r>
    </w:p>
    <w:p w14:paraId="0E6F3E0C" w14:textId="032AF930" w:rsidR="00945FD0" w:rsidRDefault="006356BD" w:rsidP="00505BC0">
      <w:r>
        <w:tab/>
      </w:r>
      <w:r w:rsidR="00F73E5D">
        <w:t>PCA w</w:t>
      </w:r>
      <w:r>
        <w:t>eighting scores for each subject</w:t>
      </w:r>
      <w:r w:rsidR="00F73E5D">
        <w:t xml:space="preserve"> highlighted how strongly that subject expressed the particular mode of variation in gait or bone shape (Table 1, 2). </w:t>
      </w:r>
    </w:p>
    <w:tbl>
      <w:tblPr>
        <w:tblStyle w:val="TableGrid"/>
        <w:tblW w:w="0" w:type="auto"/>
        <w:tblLook w:val="04A0" w:firstRow="1" w:lastRow="0" w:firstColumn="1" w:lastColumn="0" w:noHBand="0" w:noVBand="1"/>
      </w:tblPr>
      <w:tblGrid>
        <w:gridCol w:w="830"/>
        <w:gridCol w:w="847"/>
        <w:gridCol w:w="897"/>
        <w:gridCol w:w="847"/>
        <w:gridCol w:w="847"/>
        <w:gridCol w:w="847"/>
        <w:gridCol w:w="847"/>
        <w:gridCol w:w="847"/>
        <w:gridCol w:w="847"/>
        <w:gridCol w:w="847"/>
        <w:gridCol w:w="847"/>
      </w:tblGrid>
      <w:tr w:rsidR="00294A6E" w:rsidRPr="00294A6E" w14:paraId="1AAA2038" w14:textId="77777777" w:rsidTr="00294A6E">
        <w:trPr>
          <w:trHeight w:val="290"/>
        </w:trPr>
        <w:tc>
          <w:tcPr>
            <w:tcW w:w="960" w:type="dxa"/>
            <w:noWrap/>
            <w:hideMark/>
          </w:tcPr>
          <w:p w14:paraId="15B4D475" w14:textId="77777777" w:rsidR="00294A6E" w:rsidRPr="00945FD0" w:rsidRDefault="00294A6E">
            <w:pPr>
              <w:rPr>
                <w:sz w:val="22"/>
                <w:szCs w:val="22"/>
              </w:rPr>
            </w:pPr>
          </w:p>
        </w:tc>
        <w:tc>
          <w:tcPr>
            <w:tcW w:w="980" w:type="dxa"/>
            <w:noWrap/>
            <w:hideMark/>
          </w:tcPr>
          <w:p w14:paraId="55474539" w14:textId="77777777" w:rsidR="00294A6E" w:rsidRPr="00945FD0" w:rsidRDefault="00294A6E">
            <w:pPr>
              <w:rPr>
                <w:b/>
                <w:bCs/>
                <w:sz w:val="22"/>
                <w:szCs w:val="22"/>
              </w:rPr>
            </w:pPr>
            <w:r w:rsidRPr="00945FD0">
              <w:rPr>
                <w:b/>
                <w:bCs/>
                <w:sz w:val="22"/>
                <w:szCs w:val="22"/>
              </w:rPr>
              <w:t>PC1</w:t>
            </w:r>
          </w:p>
        </w:tc>
        <w:tc>
          <w:tcPr>
            <w:tcW w:w="1040" w:type="dxa"/>
            <w:noWrap/>
            <w:hideMark/>
          </w:tcPr>
          <w:p w14:paraId="2A3788CE" w14:textId="77777777" w:rsidR="00294A6E" w:rsidRPr="00945FD0" w:rsidRDefault="00294A6E">
            <w:pPr>
              <w:rPr>
                <w:b/>
                <w:bCs/>
                <w:sz w:val="22"/>
                <w:szCs w:val="22"/>
              </w:rPr>
            </w:pPr>
            <w:r w:rsidRPr="00945FD0">
              <w:rPr>
                <w:b/>
                <w:bCs/>
                <w:sz w:val="22"/>
                <w:szCs w:val="22"/>
              </w:rPr>
              <w:t>PC2</w:t>
            </w:r>
          </w:p>
        </w:tc>
        <w:tc>
          <w:tcPr>
            <w:tcW w:w="980" w:type="dxa"/>
            <w:noWrap/>
            <w:hideMark/>
          </w:tcPr>
          <w:p w14:paraId="2F880C4C" w14:textId="77777777" w:rsidR="00294A6E" w:rsidRPr="00945FD0" w:rsidRDefault="00294A6E">
            <w:pPr>
              <w:rPr>
                <w:b/>
                <w:bCs/>
                <w:sz w:val="22"/>
                <w:szCs w:val="22"/>
              </w:rPr>
            </w:pPr>
            <w:r w:rsidRPr="00945FD0">
              <w:rPr>
                <w:b/>
                <w:bCs/>
                <w:sz w:val="22"/>
                <w:szCs w:val="22"/>
              </w:rPr>
              <w:t>PC3</w:t>
            </w:r>
          </w:p>
        </w:tc>
        <w:tc>
          <w:tcPr>
            <w:tcW w:w="980" w:type="dxa"/>
            <w:noWrap/>
            <w:hideMark/>
          </w:tcPr>
          <w:p w14:paraId="114C81B3" w14:textId="77777777" w:rsidR="00294A6E" w:rsidRPr="00945FD0" w:rsidRDefault="00294A6E">
            <w:pPr>
              <w:rPr>
                <w:b/>
                <w:bCs/>
                <w:sz w:val="22"/>
                <w:szCs w:val="22"/>
              </w:rPr>
            </w:pPr>
            <w:r w:rsidRPr="00945FD0">
              <w:rPr>
                <w:b/>
                <w:bCs/>
                <w:sz w:val="22"/>
                <w:szCs w:val="22"/>
              </w:rPr>
              <w:t>PC4</w:t>
            </w:r>
          </w:p>
        </w:tc>
        <w:tc>
          <w:tcPr>
            <w:tcW w:w="980" w:type="dxa"/>
            <w:noWrap/>
            <w:hideMark/>
          </w:tcPr>
          <w:p w14:paraId="3F186B72" w14:textId="77777777" w:rsidR="00294A6E" w:rsidRPr="00945FD0" w:rsidRDefault="00294A6E">
            <w:pPr>
              <w:rPr>
                <w:b/>
                <w:bCs/>
                <w:sz w:val="22"/>
                <w:szCs w:val="22"/>
              </w:rPr>
            </w:pPr>
            <w:r w:rsidRPr="00945FD0">
              <w:rPr>
                <w:b/>
                <w:bCs/>
                <w:sz w:val="22"/>
                <w:szCs w:val="22"/>
              </w:rPr>
              <w:t>PC5</w:t>
            </w:r>
          </w:p>
        </w:tc>
        <w:tc>
          <w:tcPr>
            <w:tcW w:w="980" w:type="dxa"/>
            <w:noWrap/>
            <w:hideMark/>
          </w:tcPr>
          <w:p w14:paraId="26DECFD4" w14:textId="77777777" w:rsidR="00294A6E" w:rsidRPr="00945FD0" w:rsidRDefault="00294A6E">
            <w:pPr>
              <w:rPr>
                <w:b/>
                <w:bCs/>
                <w:sz w:val="22"/>
                <w:szCs w:val="22"/>
              </w:rPr>
            </w:pPr>
            <w:r w:rsidRPr="00945FD0">
              <w:rPr>
                <w:b/>
                <w:bCs/>
                <w:sz w:val="22"/>
                <w:szCs w:val="22"/>
              </w:rPr>
              <w:t>PC6</w:t>
            </w:r>
          </w:p>
        </w:tc>
        <w:tc>
          <w:tcPr>
            <w:tcW w:w="980" w:type="dxa"/>
            <w:noWrap/>
            <w:hideMark/>
          </w:tcPr>
          <w:p w14:paraId="4CD7C292" w14:textId="77777777" w:rsidR="00294A6E" w:rsidRPr="00945FD0" w:rsidRDefault="00294A6E">
            <w:pPr>
              <w:rPr>
                <w:b/>
                <w:bCs/>
                <w:sz w:val="22"/>
                <w:szCs w:val="22"/>
              </w:rPr>
            </w:pPr>
            <w:r w:rsidRPr="00945FD0">
              <w:rPr>
                <w:b/>
                <w:bCs/>
                <w:sz w:val="22"/>
                <w:szCs w:val="22"/>
              </w:rPr>
              <w:t>PC7</w:t>
            </w:r>
          </w:p>
        </w:tc>
        <w:tc>
          <w:tcPr>
            <w:tcW w:w="980" w:type="dxa"/>
            <w:noWrap/>
            <w:hideMark/>
          </w:tcPr>
          <w:p w14:paraId="0C502A9E" w14:textId="77777777" w:rsidR="00294A6E" w:rsidRPr="00945FD0" w:rsidRDefault="00294A6E">
            <w:pPr>
              <w:rPr>
                <w:b/>
                <w:bCs/>
                <w:sz w:val="22"/>
                <w:szCs w:val="22"/>
              </w:rPr>
            </w:pPr>
            <w:r w:rsidRPr="00945FD0">
              <w:rPr>
                <w:b/>
                <w:bCs/>
                <w:sz w:val="22"/>
                <w:szCs w:val="22"/>
              </w:rPr>
              <w:t>PC8</w:t>
            </w:r>
          </w:p>
        </w:tc>
        <w:tc>
          <w:tcPr>
            <w:tcW w:w="980" w:type="dxa"/>
            <w:noWrap/>
            <w:hideMark/>
          </w:tcPr>
          <w:p w14:paraId="7A7F9F20" w14:textId="77777777" w:rsidR="00294A6E" w:rsidRPr="00945FD0" w:rsidRDefault="00294A6E">
            <w:pPr>
              <w:rPr>
                <w:b/>
                <w:bCs/>
                <w:sz w:val="22"/>
                <w:szCs w:val="22"/>
              </w:rPr>
            </w:pPr>
            <w:r w:rsidRPr="00945FD0">
              <w:rPr>
                <w:b/>
                <w:bCs/>
                <w:sz w:val="22"/>
                <w:szCs w:val="22"/>
              </w:rPr>
              <w:t>PC9</w:t>
            </w:r>
          </w:p>
        </w:tc>
        <w:tc>
          <w:tcPr>
            <w:tcW w:w="980" w:type="dxa"/>
            <w:noWrap/>
            <w:hideMark/>
          </w:tcPr>
          <w:p w14:paraId="0D088384" w14:textId="77777777" w:rsidR="00294A6E" w:rsidRPr="00945FD0" w:rsidRDefault="00294A6E">
            <w:pPr>
              <w:rPr>
                <w:b/>
                <w:bCs/>
                <w:sz w:val="22"/>
                <w:szCs w:val="22"/>
              </w:rPr>
            </w:pPr>
            <w:r w:rsidRPr="00945FD0">
              <w:rPr>
                <w:b/>
                <w:bCs/>
                <w:sz w:val="22"/>
                <w:szCs w:val="22"/>
              </w:rPr>
              <w:t>PC10</w:t>
            </w:r>
          </w:p>
        </w:tc>
      </w:tr>
      <w:tr w:rsidR="00294A6E" w:rsidRPr="00294A6E" w14:paraId="715147A2" w14:textId="77777777" w:rsidTr="00294A6E">
        <w:trPr>
          <w:trHeight w:val="290"/>
        </w:trPr>
        <w:tc>
          <w:tcPr>
            <w:tcW w:w="960" w:type="dxa"/>
            <w:noWrap/>
            <w:hideMark/>
          </w:tcPr>
          <w:p w14:paraId="0BA2BFD7" w14:textId="77777777" w:rsidR="00294A6E" w:rsidRPr="00945FD0" w:rsidRDefault="00294A6E" w:rsidP="00294A6E">
            <w:pPr>
              <w:rPr>
                <w:sz w:val="22"/>
                <w:szCs w:val="22"/>
              </w:rPr>
            </w:pPr>
            <w:r w:rsidRPr="00945FD0">
              <w:rPr>
                <w:sz w:val="22"/>
                <w:szCs w:val="22"/>
              </w:rPr>
              <w:t>0</w:t>
            </w:r>
          </w:p>
        </w:tc>
        <w:tc>
          <w:tcPr>
            <w:tcW w:w="980" w:type="dxa"/>
            <w:noWrap/>
            <w:hideMark/>
          </w:tcPr>
          <w:p w14:paraId="7DA6571F" w14:textId="77777777" w:rsidR="00294A6E" w:rsidRPr="00945FD0" w:rsidRDefault="00294A6E" w:rsidP="00294A6E">
            <w:pPr>
              <w:rPr>
                <w:sz w:val="22"/>
                <w:szCs w:val="22"/>
              </w:rPr>
            </w:pPr>
            <w:r w:rsidRPr="00945FD0">
              <w:rPr>
                <w:sz w:val="22"/>
                <w:szCs w:val="22"/>
              </w:rPr>
              <w:t>29.32</w:t>
            </w:r>
          </w:p>
        </w:tc>
        <w:tc>
          <w:tcPr>
            <w:tcW w:w="1040" w:type="dxa"/>
            <w:noWrap/>
            <w:hideMark/>
          </w:tcPr>
          <w:p w14:paraId="71692D0E" w14:textId="77777777" w:rsidR="00294A6E" w:rsidRPr="00945FD0" w:rsidRDefault="00294A6E" w:rsidP="00294A6E">
            <w:pPr>
              <w:rPr>
                <w:sz w:val="22"/>
                <w:szCs w:val="22"/>
              </w:rPr>
            </w:pPr>
            <w:r w:rsidRPr="00945FD0">
              <w:rPr>
                <w:sz w:val="22"/>
                <w:szCs w:val="22"/>
              </w:rPr>
              <w:t>7.54</w:t>
            </w:r>
          </w:p>
        </w:tc>
        <w:tc>
          <w:tcPr>
            <w:tcW w:w="980" w:type="dxa"/>
            <w:noWrap/>
            <w:hideMark/>
          </w:tcPr>
          <w:p w14:paraId="6AF26865" w14:textId="77777777" w:rsidR="00294A6E" w:rsidRPr="00945FD0" w:rsidRDefault="00294A6E" w:rsidP="00294A6E">
            <w:pPr>
              <w:rPr>
                <w:sz w:val="22"/>
                <w:szCs w:val="22"/>
              </w:rPr>
            </w:pPr>
            <w:r w:rsidRPr="00945FD0">
              <w:rPr>
                <w:sz w:val="22"/>
                <w:szCs w:val="22"/>
              </w:rPr>
              <w:t>-15.26</w:t>
            </w:r>
          </w:p>
        </w:tc>
        <w:tc>
          <w:tcPr>
            <w:tcW w:w="980" w:type="dxa"/>
            <w:noWrap/>
            <w:hideMark/>
          </w:tcPr>
          <w:p w14:paraId="709BE3B3" w14:textId="77777777" w:rsidR="00294A6E" w:rsidRPr="00945FD0" w:rsidRDefault="00294A6E" w:rsidP="00294A6E">
            <w:pPr>
              <w:rPr>
                <w:sz w:val="22"/>
                <w:szCs w:val="22"/>
              </w:rPr>
            </w:pPr>
            <w:r w:rsidRPr="00945FD0">
              <w:rPr>
                <w:sz w:val="22"/>
                <w:szCs w:val="22"/>
              </w:rPr>
              <w:t>-0.72</w:t>
            </w:r>
          </w:p>
        </w:tc>
        <w:tc>
          <w:tcPr>
            <w:tcW w:w="980" w:type="dxa"/>
            <w:noWrap/>
            <w:hideMark/>
          </w:tcPr>
          <w:p w14:paraId="277B315B" w14:textId="77777777" w:rsidR="00294A6E" w:rsidRPr="00945FD0" w:rsidRDefault="00294A6E" w:rsidP="00294A6E">
            <w:pPr>
              <w:rPr>
                <w:sz w:val="22"/>
                <w:szCs w:val="22"/>
              </w:rPr>
            </w:pPr>
            <w:r w:rsidRPr="00945FD0">
              <w:rPr>
                <w:sz w:val="22"/>
                <w:szCs w:val="22"/>
              </w:rPr>
              <w:t>-4.34</w:t>
            </w:r>
          </w:p>
        </w:tc>
        <w:tc>
          <w:tcPr>
            <w:tcW w:w="980" w:type="dxa"/>
            <w:noWrap/>
            <w:hideMark/>
          </w:tcPr>
          <w:p w14:paraId="3C21361E" w14:textId="77777777" w:rsidR="00294A6E" w:rsidRPr="00945FD0" w:rsidRDefault="00294A6E" w:rsidP="00294A6E">
            <w:pPr>
              <w:rPr>
                <w:sz w:val="22"/>
                <w:szCs w:val="22"/>
              </w:rPr>
            </w:pPr>
            <w:r w:rsidRPr="00945FD0">
              <w:rPr>
                <w:sz w:val="22"/>
                <w:szCs w:val="22"/>
              </w:rPr>
              <w:t>-1.52</w:t>
            </w:r>
          </w:p>
        </w:tc>
        <w:tc>
          <w:tcPr>
            <w:tcW w:w="980" w:type="dxa"/>
            <w:noWrap/>
            <w:hideMark/>
          </w:tcPr>
          <w:p w14:paraId="6125F05E" w14:textId="77777777" w:rsidR="00294A6E" w:rsidRPr="00945FD0" w:rsidRDefault="00294A6E" w:rsidP="00294A6E">
            <w:pPr>
              <w:rPr>
                <w:sz w:val="22"/>
                <w:szCs w:val="22"/>
              </w:rPr>
            </w:pPr>
            <w:r w:rsidRPr="00945FD0">
              <w:rPr>
                <w:sz w:val="22"/>
                <w:szCs w:val="22"/>
              </w:rPr>
              <w:t>0.28</w:t>
            </w:r>
          </w:p>
        </w:tc>
        <w:tc>
          <w:tcPr>
            <w:tcW w:w="980" w:type="dxa"/>
            <w:noWrap/>
            <w:hideMark/>
          </w:tcPr>
          <w:p w14:paraId="07832D54" w14:textId="77777777" w:rsidR="00294A6E" w:rsidRPr="00945FD0" w:rsidRDefault="00294A6E" w:rsidP="00294A6E">
            <w:pPr>
              <w:rPr>
                <w:sz w:val="22"/>
                <w:szCs w:val="22"/>
              </w:rPr>
            </w:pPr>
            <w:r w:rsidRPr="00945FD0">
              <w:rPr>
                <w:sz w:val="22"/>
                <w:szCs w:val="22"/>
              </w:rPr>
              <w:t>0.26</w:t>
            </w:r>
          </w:p>
        </w:tc>
        <w:tc>
          <w:tcPr>
            <w:tcW w:w="980" w:type="dxa"/>
            <w:noWrap/>
            <w:hideMark/>
          </w:tcPr>
          <w:p w14:paraId="4E6EA790" w14:textId="77777777" w:rsidR="00294A6E" w:rsidRPr="00945FD0" w:rsidRDefault="00294A6E" w:rsidP="00294A6E">
            <w:pPr>
              <w:rPr>
                <w:sz w:val="22"/>
                <w:szCs w:val="22"/>
              </w:rPr>
            </w:pPr>
            <w:r w:rsidRPr="00945FD0">
              <w:rPr>
                <w:sz w:val="22"/>
                <w:szCs w:val="22"/>
              </w:rPr>
              <w:t>0.98</w:t>
            </w:r>
          </w:p>
        </w:tc>
        <w:tc>
          <w:tcPr>
            <w:tcW w:w="980" w:type="dxa"/>
            <w:noWrap/>
            <w:hideMark/>
          </w:tcPr>
          <w:p w14:paraId="061F140F" w14:textId="77777777" w:rsidR="00294A6E" w:rsidRPr="00945FD0" w:rsidRDefault="00294A6E" w:rsidP="00294A6E">
            <w:pPr>
              <w:rPr>
                <w:sz w:val="22"/>
                <w:szCs w:val="22"/>
              </w:rPr>
            </w:pPr>
            <w:r w:rsidRPr="00945FD0">
              <w:rPr>
                <w:sz w:val="22"/>
                <w:szCs w:val="22"/>
              </w:rPr>
              <w:t>0.00</w:t>
            </w:r>
          </w:p>
        </w:tc>
      </w:tr>
      <w:tr w:rsidR="00294A6E" w:rsidRPr="00294A6E" w14:paraId="07C2FC61" w14:textId="77777777" w:rsidTr="00294A6E">
        <w:trPr>
          <w:trHeight w:val="290"/>
        </w:trPr>
        <w:tc>
          <w:tcPr>
            <w:tcW w:w="960" w:type="dxa"/>
            <w:noWrap/>
            <w:hideMark/>
          </w:tcPr>
          <w:p w14:paraId="5635F6EE" w14:textId="77777777" w:rsidR="00294A6E" w:rsidRPr="00945FD0" w:rsidRDefault="00294A6E" w:rsidP="00294A6E">
            <w:pPr>
              <w:rPr>
                <w:sz w:val="22"/>
                <w:szCs w:val="22"/>
              </w:rPr>
            </w:pPr>
            <w:r w:rsidRPr="00945FD0">
              <w:rPr>
                <w:sz w:val="22"/>
                <w:szCs w:val="22"/>
              </w:rPr>
              <w:t>1</w:t>
            </w:r>
          </w:p>
        </w:tc>
        <w:tc>
          <w:tcPr>
            <w:tcW w:w="980" w:type="dxa"/>
            <w:noWrap/>
            <w:hideMark/>
          </w:tcPr>
          <w:p w14:paraId="6F4EE3A5" w14:textId="77777777" w:rsidR="00294A6E" w:rsidRPr="00945FD0" w:rsidRDefault="00294A6E" w:rsidP="00294A6E">
            <w:pPr>
              <w:rPr>
                <w:sz w:val="22"/>
                <w:szCs w:val="22"/>
              </w:rPr>
            </w:pPr>
            <w:r w:rsidRPr="00945FD0">
              <w:rPr>
                <w:sz w:val="22"/>
                <w:szCs w:val="22"/>
              </w:rPr>
              <w:t>5.51</w:t>
            </w:r>
          </w:p>
        </w:tc>
        <w:tc>
          <w:tcPr>
            <w:tcW w:w="1040" w:type="dxa"/>
            <w:noWrap/>
            <w:hideMark/>
          </w:tcPr>
          <w:p w14:paraId="40803351" w14:textId="77777777" w:rsidR="00294A6E" w:rsidRPr="00945FD0" w:rsidRDefault="00294A6E" w:rsidP="00294A6E">
            <w:pPr>
              <w:rPr>
                <w:sz w:val="22"/>
                <w:szCs w:val="22"/>
              </w:rPr>
            </w:pPr>
            <w:r w:rsidRPr="00945FD0">
              <w:rPr>
                <w:sz w:val="22"/>
                <w:szCs w:val="22"/>
              </w:rPr>
              <w:t>-4.49</w:t>
            </w:r>
          </w:p>
        </w:tc>
        <w:tc>
          <w:tcPr>
            <w:tcW w:w="980" w:type="dxa"/>
            <w:noWrap/>
            <w:hideMark/>
          </w:tcPr>
          <w:p w14:paraId="113D865E" w14:textId="77777777" w:rsidR="00294A6E" w:rsidRPr="00945FD0" w:rsidRDefault="00294A6E" w:rsidP="00294A6E">
            <w:pPr>
              <w:rPr>
                <w:sz w:val="22"/>
                <w:szCs w:val="22"/>
              </w:rPr>
            </w:pPr>
            <w:r w:rsidRPr="00945FD0">
              <w:rPr>
                <w:sz w:val="22"/>
                <w:szCs w:val="22"/>
              </w:rPr>
              <w:t>8.49</w:t>
            </w:r>
          </w:p>
        </w:tc>
        <w:tc>
          <w:tcPr>
            <w:tcW w:w="980" w:type="dxa"/>
            <w:noWrap/>
            <w:hideMark/>
          </w:tcPr>
          <w:p w14:paraId="005872C2" w14:textId="77777777" w:rsidR="00294A6E" w:rsidRPr="00945FD0" w:rsidRDefault="00294A6E" w:rsidP="00294A6E">
            <w:pPr>
              <w:rPr>
                <w:sz w:val="22"/>
                <w:szCs w:val="22"/>
              </w:rPr>
            </w:pPr>
            <w:r w:rsidRPr="00945FD0">
              <w:rPr>
                <w:sz w:val="22"/>
                <w:szCs w:val="22"/>
              </w:rPr>
              <w:t>-2.51</w:t>
            </w:r>
          </w:p>
        </w:tc>
        <w:tc>
          <w:tcPr>
            <w:tcW w:w="980" w:type="dxa"/>
            <w:noWrap/>
            <w:hideMark/>
          </w:tcPr>
          <w:p w14:paraId="5C372F34" w14:textId="77777777" w:rsidR="00294A6E" w:rsidRPr="00945FD0" w:rsidRDefault="00294A6E" w:rsidP="00294A6E">
            <w:pPr>
              <w:rPr>
                <w:sz w:val="22"/>
                <w:szCs w:val="22"/>
              </w:rPr>
            </w:pPr>
            <w:r w:rsidRPr="00945FD0">
              <w:rPr>
                <w:sz w:val="22"/>
                <w:szCs w:val="22"/>
              </w:rPr>
              <w:t>-1.97</w:t>
            </w:r>
          </w:p>
        </w:tc>
        <w:tc>
          <w:tcPr>
            <w:tcW w:w="980" w:type="dxa"/>
            <w:noWrap/>
            <w:hideMark/>
          </w:tcPr>
          <w:p w14:paraId="4C1AB69B" w14:textId="77777777" w:rsidR="00294A6E" w:rsidRPr="00945FD0" w:rsidRDefault="00294A6E" w:rsidP="00294A6E">
            <w:pPr>
              <w:rPr>
                <w:sz w:val="22"/>
                <w:szCs w:val="22"/>
              </w:rPr>
            </w:pPr>
            <w:r w:rsidRPr="00945FD0">
              <w:rPr>
                <w:sz w:val="22"/>
                <w:szCs w:val="22"/>
              </w:rPr>
              <w:t>-4.06</w:t>
            </w:r>
          </w:p>
        </w:tc>
        <w:tc>
          <w:tcPr>
            <w:tcW w:w="980" w:type="dxa"/>
            <w:noWrap/>
            <w:hideMark/>
          </w:tcPr>
          <w:p w14:paraId="37DC42EF" w14:textId="77777777" w:rsidR="00294A6E" w:rsidRPr="00945FD0" w:rsidRDefault="00294A6E" w:rsidP="00294A6E">
            <w:pPr>
              <w:rPr>
                <w:sz w:val="22"/>
                <w:szCs w:val="22"/>
              </w:rPr>
            </w:pPr>
            <w:r w:rsidRPr="00945FD0">
              <w:rPr>
                <w:sz w:val="22"/>
                <w:szCs w:val="22"/>
              </w:rPr>
              <w:t>1.83</w:t>
            </w:r>
          </w:p>
        </w:tc>
        <w:tc>
          <w:tcPr>
            <w:tcW w:w="980" w:type="dxa"/>
            <w:noWrap/>
            <w:hideMark/>
          </w:tcPr>
          <w:p w14:paraId="18009083" w14:textId="77777777" w:rsidR="00294A6E" w:rsidRPr="00945FD0" w:rsidRDefault="00294A6E" w:rsidP="00294A6E">
            <w:pPr>
              <w:rPr>
                <w:sz w:val="22"/>
                <w:szCs w:val="22"/>
              </w:rPr>
            </w:pPr>
            <w:r w:rsidRPr="00945FD0">
              <w:rPr>
                <w:sz w:val="22"/>
                <w:szCs w:val="22"/>
              </w:rPr>
              <w:t>1.46</w:t>
            </w:r>
          </w:p>
        </w:tc>
        <w:tc>
          <w:tcPr>
            <w:tcW w:w="980" w:type="dxa"/>
            <w:noWrap/>
            <w:hideMark/>
          </w:tcPr>
          <w:p w14:paraId="68B4A237" w14:textId="77777777" w:rsidR="00294A6E" w:rsidRPr="00945FD0" w:rsidRDefault="00294A6E" w:rsidP="00294A6E">
            <w:pPr>
              <w:rPr>
                <w:sz w:val="22"/>
                <w:szCs w:val="22"/>
              </w:rPr>
            </w:pPr>
            <w:r w:rsidRPr="00945FD0">
              <w:rPr>
                <w:sz w:val="22"/>
                <w:szCs w:val="22"/>
              </w:rPr>
              <w:t>-3.10</w:t>
            </w:r>
          </w:p>
        </w:tc>
        <w:tc>
          <w:tcPr>
            <w:tcW w:w="980" w:type="dxa"/>
            <w:noWrap/>
            <w:hideMark/>
          </w:tcPr>
          <w:p w14:paraId="74C013C2" w14:textId="77777777" w:rsidR="00294A6E" w:rsidRPr="00945FD0" w:rsidRDefault="00294A6E" w:rsidP="00294A6E">
            <w:pPr>
              <w:rPr>
                <w:sz w:val="22"/>
                <w:szCs w:val="22"/>
              </w:rPr>
            </w:pPr>
            <w:r w:rsidRPr="00945FD0">
              <w:rPr>
                <w:sz w:val="22"/>
                <w:szCs w:val="22"/>
              </w:rPr>
              <w:t>0.00</w:t>
            </w:r>
          </w:p>
        </w:tc>
      </w:tr>
      <w:tr w:rsidR="00294A6E" w:rsidRPr="00294A6E" w14:paraId="174F581B" w14:textId="77777777" w:rsidTr="00294A6E">
        <w:trPr>
          <w:trHeight w:val="290"/>
        </w:trPr>
        <w:tc>
          <w:tcPr>
            <w:tcW w:w="960" w:type="dxa"/>
            <w:noWrap/>
            <w:hideMark/>
          </w:tcPr>
          <w:p w14:paraId="5E58D54D" w14:textId="77777777" w:rsidR="00294A6E" w:rsidRPr="00945FD0" w:rsidRDefault="00294A6E" w:rsidP="00294A6E">
            <w:pPr>
              <w:rPr>
                <w:sz w:val="22"/>
                <w:szCs w:val="22"/>
              </w:rPr>
            </w:pPr>
            <w:r w:rsidRPr="00945FD0">
              <w:rPr>
                <w:sz w:val="22"/>
                <w:szCs w:val="22"/>
              </w:rPr>
              <w:t>2</w:t>
            </w:r>
          </w:p>
        </w:tc>
        <w:tc>
          <w:tcPr>
            <w:tcW w:w="980" w:type="dxa"/>
            <w:noWrap/>
            <w:hideMark/>
          </w:tcPr>
          <w:p w14:paraId="10FBD06E" w14:textId="77777777" w:rsidR="00294A6E" w:rsidRPr="00945FD0" w:rsidRDefault="00294A6E" w:rsidP="00294A6E">
            <w:pPr>
              <w:rPr>
                <w:sz w:val="22"/>
                <w:szCs w:val="22"/>
              </w:rPr>
            </w:pPr>
            <w:r w:rsidRPr="00945FD0">
              <w:rPr>
                <w:sz w:val="22"/>
                <w:szCs w:val="22"/>
              </w:rPr>
              <w:t>-6.50</w:t>
            </w:r>
          </w:p>
        </w:tc>
        <w:tc>
          <w:tcPr>
            <w:tcW w:w="1040" w:type="dxa"/>
            <w:noWrap/>
            <w:hideMark/>
          </w:tcPr>
          <w:p w14:paraId="2777BD31" w14:textId="77777777" w:rsidR="00294A6E" w:rsidRPr="00945FD0" w:rsidRDefault="00294A6E" w:rsidP="00294A6E">
            <w:pPr>
              <w:rPr>
                <w:sz w:val="22"/>
                <w:szCs w:val="22"/>
              </w:rPr>
            </w:pPr>
            <w:r w:rsidRPr="00945FD0">
              <w:rPr>
                <w:sz w:val="22"/>
                <w:szCs w:val="22"/>
              </w:rPr>
              <w:t>-30.88</w:t>
            </w:r>
          </w:p>
        </w:tc>
        <w:tc>
          <w:tcPr>
            <w:tcW w:w="980" w:type="dxa"/>
            <w:noWrap/>
            <w:hideMark/>
          </w:tcPr>
          <w:p w14:paraId="37A1C13D" w14:textId="77777777" w:rsidR="00294A6E" w:rsidRPr="00945FD0" w:rsidRDefault="00294A6E" w:rsidP="00294A6E">
            <w:pPr>
              <w:rPr>
                <w:sz w:val="22"/>
                <w:szCs w:val="22"/>
              </w:rPr>
            </w:pPr>
            <w:r w:rsidRPr="00945FD0">
              <w:rPr>
                <w:sz w:val="22"/>
                <w:szCs w:val="22"/>
              </w:rPr>
              <w:t>-3.60</w:t>
            </w:r>
          </w:p>
        </w:tc>
        <w:tc>
          <w:tcPr>
            <w:tcW w:w="980" w:type="dxa"/>
            <w:noWrap/>
            <w:hideMark/>
          </w:tcPr>
          <w:p w14:paraId="537F2317" w14:textId="77777777" w:rsidR="00294A6E" w:rsidRPr="00945FD0" w:rsidRDefault="00294A6E" w:rsidP="00294A6E">
            <w:pPr>
              <w:rPr>
                <w:sz w:val="22"/>
                <w:szCs w:val="22"/>
              </w:rPr>
            </w:pPr>
            <w:r w:rsidRPr="00945FD0">
              <w:rPr>
                <w:sz w:val="22"/>
                <w:szCs w:val="22"/>
              </w:rPr>
              <w:t>1.34</w:t>
            </w:r>
          </w:p>
        </w:tc>
        <w:tc>
          <w:tcPr>
            <w:tcW w:w="980" w:type="dxa"/>
            <w:noWrap/>
            <w:hideMark/>
          </w:tcPr>
          <w:p w14:paraId="4F7212B4" w14:textId="77777777" w:rsidR="00294A6E" w:rsidRPr="00945FD0" w:rsidRDefault="00294A6E" w:rsidP="00294A6E">
            <w:pPr>
              <w:rPr>
                <w:sz w:val="22"/>
                <w:szCs w:val="22"/>
              </w:rPr>
            </w:pPr>
            <w:r w:rsidRPr="00945FD0">
              <w:rPr>
                <w:sz w:val="22"/>
                <w:szCs w:val="22"/>
              </w:rPr>
              <w:t>0.59</w:t>
            </w:r>
          </w:p>
        </w:tc>
        <w:tc>
          <w:tcPr>
            <w:tcW w:w="980" w:type="dxa"/>
            <w:noWrap/>
            <w:hideMark/>
          </w:tcPr>
          <w:p w14:paraId="66446C10" w14:textId="77777777" w:rsidR="00294A6E" w:rsidRPr="00945FD0" w:rsidRDefault="00294A6E" w:rsidP="00294A6E">
            <w:pPr>
              <w:rPr>
                <w:sz w:val="22"/>
                <w:szCs w:val="22"/>
              </w:rPr>
            </w:pPr>
            <w:r w:rsidRPr="00945FD0">
              <w:rPr>
                <w:sz w:val="22"/>
                <w:szCs w:val="22"/>
              </w:rPr>
              <w:t>1.82</w:t>
            </w:r>
          </w:p>
        </w:tc>
        <w:tc>
          <w:tcPr>
            <w:tcW w:w="980" w:type="dxa"/>
            <w:noWrap/>
            <w:hideMark/>
          </w:tcPr>
          <w:p w14:paraId="69F2987F" w14:textId="77777777" w:rsidR="00294A6E" w:rsidRPr="00945FD0" w:rsidRDefault="00294A6E" w:rsidP="00294A6E">
            <w:pPr>
              <w:rPr>
                <w:sz w:val="22"/>
                <w:szCs w:val="22"/>
              </w:rPr>
            </w:pPr>
            <w:r w:rsidRPr="00945FD0">
              <w:rPr>
                <w:sz w:val="22"/>
                <w:szCs w:val="22"/>
              </w:rPr>
              <w:t>0.73</w:t>
            </w:r>
          </w:p>
        </w:tc>
        <w:tc>
          <w:tcPr>
            <w:tcW w:w="980" w:type="dxa"/>
            <w:noWrap/>
            <w:hideMark/>
          </w:tcPr>
          <w:p w14:paraId="1AD1358D" w14:textId="77777777" w:rsidR="00294A6E" w:rsidRPr="00945FD0" w:rsidRDefault="00294A6E" w:rsidP="00294A6E">
            <w:pPr>
              <w:rPr>
                <w:sz w:val="22"/>
                <w:szCs w:val="22"/>
              </w:rPr>
            </w:pPr>
            <w:r w:rsidRPr="00945FD0">
              <w:rPr>
                <w:sz w:val="22"/>
                <w:szCs w:val="22"/>
              </w:rPr>
              <w:t>3.14</w:t>
            </w:r>
          </w:p>
        </w:tc>
        <w:tc>
          <w:tcPr>
            <w:tcW w:w="980" w:type="dxa"/>
            <w:noWrap/>
            <w:hideMark/>
          </w:tcPr>
          <w:p w14:paraId="67002DE6" w14:textId="77777777" w:rsidR="00294A6E" w:rsidRPr="00945FD0" w:rsidRDefault="00294A6E" w:rsidP="00294A6E">
            <w:pPr>
              <w:rPr>
                <w:sz w:val="22"/>
                <w:szCs w:val="22"/>
              </w:rPr>
            </w:pPr>
            <w:r w:rsidRPr="00945FD0">
              <w:rPr>
                <w:sz w:val="22"/>
                <w:szCs w:val="22"/>
              </w:rPr>
              <w:t>1.11</w:t>
            </w:r>
          </w:p>
        </w:tc>
        <w:tc>
          <w:tcPr>
            <w:tcW w:w="980" w:type="dxa"/>
            <w:noWrap/>
            <w:hideMark/>
          </w:tcPr>
          <w:p w14:paraId="0CEDBBEE" w14:textId="77777777" w:rsidR="00294A6E" w:rsidRPr="00945FD0" w:rsidRDefault="00294A6E" w:rsidP="00294A6E">
            <w:pPr>
              <w:rPr>
                <w:sz w:val="22"/>
                <w:szCs w:val="22"/>
              </w:rPr>
            </w:pPr>
            <w:r w:rsidRPr="00945FD0">
              <w:rPr>
                <w:sz w:val="22"/>
                <w:szCs w:val="22"/>
              </w:rPr>
              <w:t>0.00</w:t>
            </w:r>
          </w:p>
        </w:tc>
      </w:tr>
      <w:tr w:rsidR="00294A6E" w:rsidRPr="00294A6E" w14:paraId="132933D4" w14:textId="77777777" w:rsidTr="00294A6E">
        <w:trPr>
          <w:trHeight w:val="290"/>
        </w:trPr>
        <w:tc>
          <w:tcPr>
            <w:tcW w:w="960" w:type="dxa"/>
            <w:noWrap/>
            <w:hideMark/>
          </w:tcPr>
          <w:p w14:paraId="59F3B197" w14:textId="77777777" w:rsidR="00294A6E" w:rsidRPr="00945FD0" w:rsidRDefault="00294A6E" w:rsidP="00294A6E">
            <w:pPr>
              <w:rPr>
                <w:sz w:val="22"/>
                <w:szCs w:val="22"/>
              </w:rPr>
            </w:pPr>
            <w:r w:rsidRPr="00945FD0">
              <w:rPr>
                <w:sz w:val="22"/>
                <w:szCs w:val="22"/>
              </w:rPr>
              <w:t>3</w:t>
            </w:r>
          </w:p>
        </w:tc>
        <w:tc>
          <w:tcPr>
            <w:tcW w:w="980" w:type="dxa"/>
            <w:noWrap/>
            <w:hideMark/>
          </w:tcPr>
          <w:p w14:paraId="74F0C704" w14:textId="77777777" w:rsidR="00294A6E" w:rsidRPr="00945FD0" w:rsidRDefault="00294A6E" w:rsidP="00294A6E">
            <w:pPr>
              <w:rPr>
                <w:sz w:val="22"/>
                <w:szCs w:val="22"/>
              </w:rPr>
            </w:pPr>
            <w:r w:rsidRPr="00945FD0">
              <w:rPr>
                <w:sz w:val="22"/>
                <w:szCs w:val="22"/>
              </w:rPr>
              <w:t>-15.11</w:t>
            </w:r>
          </w:p>
        </w:tc>
        <w:tc>
          <w:tcPr>
            <w:tcW w:w="1040" w:type="dxa"/>
            <w:noWrap/>
            <w:hideMark/>
          </w:tcPr>
          <w:p w14:paraId="540FEA80" w14:textId="77777777" w:rsidR="00294A6E" w:rsidRPr="00945FD0" w:rsidRDefault="00294A6E" w:rsidP="00294A6E">
            <w:pPr>
              <w:rPr>
                <w:sz w:val="22"/>
                <w:szCs w:val="22"/>
              </w:rPr>
            </w:pPr>
            <w:r w:rsidRPr="00945FD0">
              <w:rPr>
                <w:sz w:val="22"/>
                <w:szCs w:val="22"/>
              </w:rPr>
              <w:t>-9.45</w:t>
            </w:r>
          </w:p>
        </w:tc>
        <w:tc>
          <w:tcPr>
            <w:tcW w:w="980" w:type="dxa"/>
            <w:noWrap/>
            <w:hideMark/>
          </w:tcPr>
          <w:p w14:paraId="01A408B2" w14:textId="77777777" w:rsidR="00294A6E" w:rsidRPr="00945FD0" w:rsidRDefault="00294A6E" w:rsidP="00294A6E">
            <w:pPr>
              <w:rPr>
                <w:sz w:val="22"/>
                <w:szCs w:val="22"/>
              </w:rPr>
            </w:pPr>
            <w:r w:rsidRPr="00945FD0">
              <w:rPr>
                <w:sz w:val="22"/>
                <w:szCs w:val="22"/>
              </w:rPr>
              <w:t>-9.19</w:t>
            </w:r>
          </w:p>
        </w:tc>
        <w:tc>
          <w:tcPr>
            <w:tcW w:w="980" w:type="dxa"/>
            <w:noWrap/>
            <w:hideMark/>
          </w:tcPr>
          <w:p w14:paraId="0CEE4020" w14:textId="77777777" w:rsidR="00294A6E" w:rsidRPr="00945FD0" w:rsidRDefault="00294A6E" w:rsidP="00294A6E">
            <w:pPr>
              <w:rPr>
                <w:sz w:val="22"/>
                <w:szCs w:val="22"/>
              </w:rPr>
            </w:pPr>
            <w:r w:rsidRPr="00945FD0">
              <w:rPr>
                <w:sz w:val="22"/>
                <w:szCs w:val="22"/>
              </w:rPr>
              <w:t>4.38</w:t>
            </w:r>
          </w:p>
        </w:tc>
        <w:tc>
          <w:tcPr>
            <w:tcW w:w="980" w:type="dxa"/>
            <w:noWrap/>
            <w:hideMark/>
          </w:tcPr>
          <w:p w14:paraId="2B1ECC97" w14:textId="77777777" w:rsidR="00294A6E" w:rsidRPr="00945FD0" w:rsidRDefault="00294A6E" w:rsidP="00294A6E">
            <w:pPr>
              <w:rPr>
                <w:sz w:val="22"/>
                <w:szCs w:val="22"/>
              </w:rPr>
            </w:pPr>
            <w:r w:rsidRPr="00945FD0">
              <w:rPr>
                <w:sz w:val="22"/>
                <w:szCs w:val="22"/>
              </w:rPr>
              <w:t>3.11</w:t>
            </w:r>
          </w:p>
        </w:tc>
        <w:tc>
          <w:tcPr>
            <w:tcW w:w="980" w:type="dxa"/>
            <w:noWrap/>
            <w:hideMark/>
          </w:tcPr>
          <w:p w14:paraId="579B8E57" w14:textId="77777777" w:rsidR="00294A6E" w:rsidRPr="00945FD0" w:rsidRDefault="00294A6E" w:rsidP="00294A6E">
            <w:pPr>
              <w:rPr>
                <w:sz w:val="22"/>
                <w:szCs w:val="22"/>
              </w:rPr>
            </w:pPr>
            <w:r w:rsidRPr="00945FD0">
              <w:rPr>
                <w:sz w:val="22"/>
                <w:szCs w:val="22"/>
              </w:rPr>
              <w:t>-2.00</w:t>
            </w:r>
          </w:p>
        </w:tc>
        <w:tc>
          <w:tcPr>
            <w:tcW w:w="980" w:type="dxa"/>
            <w:noWrap/>
            <w:hideMark/>
          </w:tcPr>
          <w:p w14:paraId="05B07AC2" w14:textId="77777777" w:rsidR="00294A6E" w:rsidRPr="00945FD0" w:rsidRDefault="00294A6E" w:rsidP="00294A6E">
            <w:pPr>
              <w:rPr>
                <w:sz w:val="22"/>
                <w:szCs w:val="22"/>
              </w:rPr>
            </w:pPr>
            <w:r w:rsidRPr="00945FD0">
              <w:rPr>
                <w:sz w:val="22"/>
                <w:szCs w:val="22"/>
              </w:rPr>
              <w:t>1.12</w:t>
            </w:r>
          </w:p>
        </w:tc>
        <w:tc>
          <w:tcPr>
            <w:tcW w:w="980" w:type="dxa"/>
            <w:noWrap/>
            <w:hideMark/>
          </w:tcPr>
          <w:p w14:paraId="5E6229DC" w14:textId="77777777" w:rsidR="00294A6E" w:rsidRPr="00945FD0" w:rsidRDefault="00294A6E" w:rsidP="00294A6E">
            <w:pPr>
              <w:rPr>
                <w:sz w:val="22"/>
                <w:szCs w:val="22"/>
              </w:rPr>
            </w:pPr>
            <w:r w:rsidRPr="00945FD0">
              <w:rPr>
                <w:sz w:val="22"/>
                <w:szCs w:val="22"/>
              </w:rPr>
              <w:t>-3.93</w:t>
            </w:r>
          </w:p>
        </w:tc>
        <w:tc>
          <w:tcPr>
            <w:tcW w:w="980" w:type="dxa"/>
            <w:noWrap/>
            <w:hideMark/>
          </w:tcPr>
          <w:p w14:paraId="76ECBE67" w14:textId="77777777" w:rsidR="00294A6E" w:rsidRPr="00945FD0" w:rsidRDefault="00294A6E" w:rsidP="00294A6E">
            <w:pPr>
              <w:rPr>
                <w:sz w:val="22"/>
                <w:szCs w:val="22"/>
              </w:rPr>
            </w:pPr>
            <w:r w:rsidRPr="00945FD0">
              <w:rPr>
                <w:sz w:val="22"/>
                <w:szCs w:val="22"/>
              </w:rPr>
              <w:t>-0.89</w:t>
            </w:r>
          </w:p>
        </w:tc>
        <w:tc>
          <w:tcPr>
            <w:tcW w:w="980" w:type="dxa"/>
            <w:noWrap/>
            <w:hideMark/>
          </w:tcPr>
          <w:p w14:paraId="73515B51" w14:textId="77777777" w:rsidR="00294A6E" w:rsidRPr="00945FD0" w:rsidRDefault="00294A6E" w:rsidP="00294A6E">
            <w:pPr>
              <w:rPr>
                <w:sz w:val="22"/>
                <w:szCs w:val="22"/>
              </w:rPr>
            </w:pPr>
            <w:r w:rsidRPr="00945FD0">
              <w:rPr>
                <w:sz w:val="22"/>
                <w:szCs w:val="22"/>
              </w:rPr>
              <w:t>0.00</w:t>
            </w:r>
          </w:p>
        </w:tc>
      </w:tr>
      <w:tr w:rsidR="00294A6E" w:rsidRPr="00294A6E" w14:paraId="32238BCA" w14:textId="77777777" w:rsidTr="00294A6E">
        <w:trPr>
          <w:trHeight w:val="290"/>
        </w:trPr>
        <w:tc>
          <w:tcPr>
            <w:tcW w:w="960" w:type="dxa"/>
            <w:noWrap/>
            <w:hideMark/>
          </w:tcPr>
          <w:p w14:paraId="2EB61A2B" w14:textId="77777777" w:rsidR="00294A6E" w:rsidRPr="00945FD0" w:rsidRDefault="00294A6E" w:rsidP="00294A6E">
            <w:pPr>
              <w:rPr>
                <w:sz w:val="22"/>
                <w:szCs w:val="22"/>
              </w:rPr>
            </w:pPr>
            <w:r w:rsidRPr="00945FD0">
              <w:rPr>
                <w:sz w:val="22"/>
                <w:szCs w:val="22"/>
              </w:rPr>
              <w:t>4</w:t>
            </w:r>
          </w:p>
        </w:tc>
        <w:tc>
          <w:tcPr>
            <w:tcW w:w="980" w:type="dxa"/>
            <w:noWrap/>
            <w:hideMark/>
          </w:tcPr>
          <w:p w14:paraId="1B16A868" w14:textId="77777777" w:rsidR="00294A6E" w:rsidRPr="00945FD0" w:rsidRDefault="00294A6E" w:rsidP="00294A6E">
            <w:pPr>
              <w:rPr>
                <w:sz w:val="22"/>
                <w:szCs w:val="22"/>
              </w:rPr>
            </w:pPr>
            <w:r w:rsidRPr="00945FD0">
              <w:rPr>
                <w:sz w:val="22"/>
                <w:szCs w:val="22"/>
              </w:rPr>
              <w:t>-30.59</w:t>
            </w:r>
          </w:p>
        </w:tc>
        <w:tc>
          <w:tcPr>
            <w:tcW w:w="1040" w:type="dxa"/>
            <w:noWrap/>
            <w:hideMark/>
          </w:tcPr>
          <w:p w14:paraId="4F476DE1" w14:textId="77777777" w:rsidR="00294A6E" w:rsidRPr="00945FD0" w:rsidRDefault="00294A6E" w:rsidP="00294A6E">
            <w:pPr>
              <w:rPr>
                <w:sz w:val="22"/>
                <w:szCs w:val="22"/>
              </w:rPr>
            </w:pPr>
            <w:r w:rsidRPr="00945FD0">
              <w:rPr>
                <w:sz w:val="22"/>
                <w:szCs w:val="22"/>
              </w:rPr>
              <w:t>16.38</w:t>
            </w:r>
          </w:p>
        </w:tc>
        <w:tc>
          <w:tcPr>
            <w:tcW w:w="980" w:type="dxa"/>
            <w:noWrap/>
            <w:hideMark/>
          </w:tcPr>
          <w:p w14:paraId="024F3140" w14:textId="77777777" w:rsidR="00294A6E" w:rsidRPr="00945FD0" w:rsidRDefault="00294A6E" w:rsidP="00294A6E">
            <w:pPr>
              <w:rPr>
                <w:sz w:val="22"/>
                <w:szCs w:val="22"/>
              </w:rPr>
            </w:pPr>
            <w:r w:rsidRPr="00945FD0">
              <w:rPr>
                <w:sz w:val="22"/>
                <w:szCs w:val="22"/>
              </w:rPr>
              <w:t>-0.04</w:t>
            </w:r>
          </w:p>
        </w:tc>
        <w:tc>
          <w:tcPr>
            <w:tcW w:w="980" w:type="dxa"/>
            <w:noWrap/>
            <w:hideMark/>
          </w:tcPr>
          <w:p w14:paraId="332115EE" w14:textId="77777777" w:rsidR="00294A6E" w:rsidRPr="00945FD0" w:rsidRDefault="00294A6E" w:rsidP="00294A6E">
            <w:pPr>
              <w:rPr>
                <w:sz w:val="22"/>
                <w:szCs w:val="22"/>
              </w:rPr>
            </w:pPr>
            <w:r w:rsidRPr="00945FD0">
              <w:rPr>
                <w:sz w:val="22"/>
                <w:szCs w:val="22"/>
              </w:rPr>
              <w:t>5.66</w:t>
            </w:r>
          </w:p>
        </w:tc>
        <w:tc>
          <w:tcPr>
            <w:tcW w:w="980" w:type="dxa"/>
            <w:noWrap/>
            <w:hideMark/>
          </w:tcPr>
          <w:p w14:paraId="17530F5A" w14:textId="77777777" w:rsidR="00294A6E" w:rsidRPr="00945FD0" w:rsidRDefault="00294A6E" w:rsidP="00294A6E">
            <w:pPr>
              <w:rPr>
                <w:sz w:val="22"/>
                <w:szCs w:val="22"/>
              </w:rPr>
            </w:pPr>
            <w:r w:rsidRPr="00945FD0">
              <w:rPr>
                <w:sz w:val="22"/>
                <w:szCs w:val="22"/>
              </w:rPr>
              <w:t>-2.83</w:t>
            </w:r>
          </w:p>
        </w:tc>
        <w:tc>
          <w:tcPr>
            <w:tcW w:w="980" w:type="dxa"/>
            <w:noWrap/>
            <w:hideMark/>
          </w:tcPr>
          <w:p w14:paraId="6880A98A" w14:textId="77777777" w:rsidR="00294A6E" w:rsidRPr="00945FD0" w:rsidRDefault="00294A6E" w:rsidP="00294A6E">
            <w:pPr>
              <w:rPr>
                <w:sz w:val="22"/>
                <w:szCs w:val="22"/>
              </w:rPr>
            </w:pPr>
            <w:r w:rsidRPr="00945FD0">
              <w:rPr>
                <w:sz w:val="22"/>
                <w:szCs w:val="22"/>
              </w:rPr>
              <w:t>-1.75</w:t>
            </w:r>
          </w:p>
        </w:tc>
        <w:tc>
          <w:tcPr>
            <w:tcW w:w="980" w:type="dxa"/>
            <w:noWrap/>
            <w:hideMark/>
          </w:tcPr>
          <w:p w14:paraId="2AF4F5AA" w14:textId="77777777" w:rsidR="00294A6E" w:rsidRPr="00945FD0" w:rsidRDefault="00294A6E" w:rsidP="00294A6E">
            <w:pPr>
              <w:rPr>
                <w:sz w:val="22"/>
                <w:szCs w:val="22"/>
              </w:rPr>
            </w:pPr>
            <w:r w:rsidRPr="00945FD0">
              <w:rPr>
                <w:sz w:val="22"/>
                <w:szCs w:val="22"/>
              </w:rPr>
              <w:t>-2.38</w:t>
            </w:r>
          </w:p>
        </w:tc>
        <w:tc>
          <w:tcPr>
            <w:tcW w:w="980" w:type="dxa"/>
            <w:noWrap/>
            <w:hideMark/>
          </w:tcPr>
          <w:p w14:paraId="12814F21" w14:textId="77777777" w:rsidR="00294A6E" w:rsidRPr="00945FD0" w:rsidRDefault="00294A6E" w:rsidP="00294A6E">
            <w:pPr>
              <w:rPr>
                <w:sz w:val="22"/>
                <w:szCs w:val="22"/>
              </w:rPr>
            </w:pPr>
            <w:r w:rsidRPr="00945FD0">
              <w:rPr>
                <w:sz w:val="22"/>
                <w:szCs w:val="22"/>
              </w:rPr>
              <w:t>1.82</w:t>
            </w:r>
          </w:p>
        </w:tc>
        <w:tc>
          <w:tcPr>
            <w:tcW w:w="980" w:type="dxa"/>
            <w:noWrap/>
            <w:hideMark/>
          </w:tcPr>
          <w:p w14:paraId="05C56CB3" w14:textId="77777777" w:rsidR="00294A6E" w:rsidRPr="00945FD0" w:rsidRDefault="00294A6E" w:rsidP="00294A6E">
            <w:pPr>
              <w:rPr>
                <w:sz w:val="22"/>
                <w:szCs w:val="22"/>
              </w:rPr>
            </w:pPr>
            <w:r w:rsidRPr="00945FD0">
              <w:rPr>
                <w:sz w:val="22"/>
                <w:szCs w:val="22"/>
              </w:rPr>
              <w:t>0.56</w:t>
            </w:r>
          </w:p>
        </w:tc>
        <w:tc>
          <w:tcPr>
            <w:tcW w:w="980" w:type="dxa"/>
            <w:noWrap/>
            <w:hideMark/>
          </w:tcPr>
          <w:p w14:paraId="01E7BBFD" w14:textId="77777777" w:rsidR="00294A6E" w:rsidRPr="00945FD0" w:rsidRDefault="00294A6E" w:rsidP="00294A6E">
            <w:pPr>
              <w:rPr>
                <w:sz w:val="22"/>
                <w:szCs w:val="22"/>
              </w:rPr>
            </w:pPr>
            <w:r w:rsidRPr="00945FD0">
              <w:rPr>
                <w:sz w:val="22"/>
                <w:szCs w:val="22"/>
              </w:rPr>
              <w:t>0.00</w:t>
            </w:r>
          </w:p>
        </w:tc>
      </w:tr>
      <w:tr w:rsidR="00294A6E" w:rsidRPr="00294A6E" w14:paraId="3D2E98A5" w14:textId="77777777" w:rsidTr="00294A6E">
        <w:trPr>
          <w:trHeight w:val="290"/>
        </w:trPr>
        <w:tc>
          <w:tcPr>
            <w:tcW w:w="960" w:type="dxa"/>
            <w:noWrap/>
            <w:hideMark/>
          </w:tcPr>
          <w:p w14:paraId="18B684AD" w14:textId="77777777" w:rsidR="00294A6E" w:rsidRPr="00945FD0" w:rsidRDefault="00294A6E" w:rsidP="00294A6E">
            <w:pPr>
              <w:rPr>
                <w:sz w:val="22"/>
                <w:szCs w:val="22"/>
              </w:rPr>
            </w:pPr>
            <w:r w:rsidRPr="00945FD0">
              <w:rPr>
                <w:sz w:val="22"/>
                <w:szCs w:val="22"/>
              </w:rPr>
              <w:t>5</w:t>
            </w:r>
          </w:p>
        </w:tc>
        <w:tc>
          <w:tcPr>
            <w:tcW w:w="980" w:type="dxa"/>
            <w:noWrap/>
            <w:hideMark/>
          </w:tcPr>
          <w:p w14:paraId="2D0CA57C" w14:textId="77777777" w:rsidR="00294A6E" w:rsidRPr="00945FD0" w:rsidRDefault="00294A6E" w:rsidP="00294A6E">
            <w:pPr>
              <w:rPr>
                <w:sz w:val="22"/>
                <w:szCs w:val="22"/>
              </w:rPr>
            </w:pPr>
            <w:r w:rsidRPr="00945FD0">
              <w:rPr>
                <w:sz w:val="22"/>
                <w:szCs w:val="22"/>
              </w:rPr>
              <w:t>-13.54</w:t>
            </w:r>
          </w:p>
        </w:tc>
        <w:tc>
          <w:tcPr>
            <w:tcW w:w="1040" w:type="dxa"/>
            <w:noWrap/>
            <w:hideMark/>
          </w:tcPr>
          <w:p w14:paraId="59354835" w14:textId="77777777" w:rsidR="00294A6E" w:rsidRPr="00945FD0" w:rsidRDefault="00294A6E" w:rsidP="00294A6E">
            <w:pPr>
              <w:rPr>
                <w:sz w:val="22"/>
                <w:szCs w:val="22"/>
              </w:rPr>
            </w:pPr>
            <w:r w:rsidRPr="00945FD0">
              <w:rPr>
                <w:sz w:val="22"/>
                <w:szCs w:val="22"/>
              </w:rPr>
              <w:t>5.62</w:t>
            </w:r>
          </w:p>
        </w:tc>
        <w:tc>
          <w:tcPr>
            <w:tcW w:w="980" w:type="dxa"/>
            <w:noWrap/>
            <w:hideMark/>
          </w:tcPr>
          <w:p w14:paraId="6C200200" w14:textId="77777777" w:rsidR="00294A6E" w:rsidRPr="00945FD0" w:rsidRDefault="00294A6E" w:rsidP="00294A6E">
            <w:pPr>
              <w:rPr>
                <w:sz w:val="22"/>
                <w:szCs w:val="22"/>
              </w:rPr>
            </w:pPr>
            <w:r w:rsidRPr="00945FD0">
              <w:rPr>
                <w:sz w:val="22"/>
                <w:szCs w:val="22"/>
              </w:rPr>
              <w:t>7.42</w:t>
            </w:r>
          </w:p>
        </w:tc>
        <w:tc>
          <w:tcPr>
            <w:tcW w:w="980" w:type="dxa"/>
            <w:noWrap/>
            <w:hideMark/>
          </w:tcPr>
          <w:p w14:paraId="22F9B7A8" w14:textId="77777777" w:rsidR="00294A6E" w:rsidRPr="00945FD0" w:rsidRDefault="00294A6E" w:rsidP="00294A6E">
            <w:pPr>
              <w:rPr>
                <w:sz w:val="22"/>
                <w:szCs w:val="22"/>
              </w:rPr>
            </w:pPr>
            <w:r w:rsidRPr="00945FD0">
              <w:rPr>
                <w:sz w:val="22"/>
                <w:szCs w:val="22"/>
              </w:rPr>
              <w:t>-6.49</w:t>
            </w:r>
          </w:p>
        </w:tc>
        <w:tc>
          <w:tcPr>
            <w:tcW w:w="980" w:type="dxa"/>
            <w:noWrap/>
            <w:hideMark/>
          </w:tcPr>
          <w:p w14:paraId="61077308" w14:textId="77777777" w:rsidR="00294A6E" w:rsidRPr="00945FD0" w:rsidRDefault="00294A6E" w:rsidP="00294A6E">
            <w:pPr>
              <w:rPr>
                <w:sz w:val="22"/>
                <w:szCs w:val="22"/>
              </w:rPr>
            </w:pPr>
            <w:r w:rsidRPr="00945FD0">
              <w:rPr>
                <w:sz w:val="22"/>
                <w:szCs w:val="22"/>
              </w:rPr>
              <w:t>-2.20</w:t>
            </w:r>
          </w:p>
        </w:tc>
        <w:tc>
          <w:tcPr>
            <w:tcW w:w="980" w:type="dxa"/>
            <w:noWrap/>
            <w:hideMark/>
          </w:tcPr>
          <w:p w14:paraId="75D4F34A" w14:textId="77777777" w:rsidR="00294A6E" w:rsidRPr="00945FD0" w:rsidRDefault="00294A6E" w:rsidP="00294A6E">
            <w:pPr>
              <w:rPr>
                <w:sz w:val="22"/>
                <w:szCs w:val="22"/>
              </w:rPr>
            </w:pPr>
            <w:r w:rsidRPr="00945FD0">
              <w:rPr>
                <w:sz w:val="22"/>
                <w:szCs w:val="22"/>
              </w:rPr>
              <w:t>0.51</w:t>
            </w:r>
          </w:p>
        </w:tc>
        <w:tc>
          <w:tcPr>
            <w:tcW w:w="980" w:type="dxa"/>
            <w:noWrap/>
            <w:hideMark/>
          </w:tcPr>
          <w:p w14:paraId="0586419E" w14:textId="77777777" w:rsidR="00294A6E" w:rsidRPr="00945FD0" w:rsidRDefault="00294A6E" w:rsidP="00294A6E">
            <w:pPr>
              <w:rPr>
                <w:sz w:val="22"/>
                <w:szCs w:val="22"/>
              </w:rPr>
            </w:pPr>
            <w:r w:rsidRPr="00945FD0">
              <w:rPr>
                <w:sz w:val="22"/>
                <w:szCs w:val="22"/>
              </w:rPr>
              <w:t>3.33</w:t>
            </w:r>
          </w:p>
        </w:tc>
        <w:tc>
          <w:tcPr>
            <w:tcW w:w="980" w:type="dxa"/>
            <w:noWrap/>
            <w:hideMark/>
          </w:tcPr>
          <w:p w14:paraId="0A8FF4E3" w14:textId="77777777" w:rsidR="00294A6E" w:rsidRPr="00945FD0" w:rsidRDefault="00294A6E" w:rsidP="00294A6E">
            <w:pPr>
              <w:rPr>
                <w:sz w:val="22"/>
                <w:szCs w:val="22"/>
              </w:rPr>
            </w:pPr>
            <w:r w:rsidRPr="00945FD0">
              <w:rPr>
                <w:sz w:val="22"/>
                <w:szCs w:val="22"/>
              </w:rPr>
              <w:t>-1.55</w:t>
            </w:r>
          </w:p>
        </w:tc>
        <w:tc>
          <w:tcPr>
            <w:tcW w:w="980" w:type="dxa"/>
            <w:noWrap/>
            <w:hideMark/>
          </w:tcPr>
          <w:p w14:paraId="4FB25B91" w14:textId="77777777" w:rsidR="00294A6E" w:rsidRPr="00945FD0" w:rsidRDefault="00294A6E" w:rsidP="00294A6E">
            <w:pPr>
              <w:rPr>
                <w:sz w:val="22"/>
                <w:szCs w:val="22"/>
              </w:rPr>
            </w:pPr>
            <w:r w:rsidRPr="00945FD0">
              <w:rPr>
                <w:sz w:val="22"/>
                <w:szCs w:val="22"/>
              </w:rPr>
              <w:t>2.52</w:t>
            </w:r>
          </w:p>
        </w:tc>
        <w:tc>
          <w:tcPr>
            <w:tcW w:w="980" w:type="dxa"/>
            <w:noWrap/>
            <w:hideMark/>
          </w:tcPr>
          <w:p w14:paraId="086F9EDF" w14:textId="77777777" w:rsidR="00294A6E" w:rsidRPr="00945FD0" w:rsidRDefault="00294A6E" w:rsidP="00294A6E">
            <w:pPr>
              <w:rPr>
                <w:sz w:val="22"/>
                <w:szCs w:val="22"/>
              </w:rPr>
            </w:pPr>
            <w:r w:rsidRPr="00945FD0">
              <w:rPr>
                <w:sz w:val="22"/>
                <w:szCs w:val="22"/>
              </w:rPr>
              <w:t>0.00</w:t>
            </w:r>
          </w:p>
        </w:tc>
      </w:tr>
      <w:tr w:rsidR="00294A6E" w:rsidRPr="00294A6E" w14:paraId="1DF1DC0B" w14:textId="77777777" w:rsidTr="00294A6E">
        <w:trPr>
          <w:trHeight w:val="290"/>
        </w:trPr>
        <w:tc>
          <w:tcPr>
            <w:tcW w:w="960" w:type="dxa"/>
            <w:noWrap/>
            <w:hideMark/>
          </w:tcPr>
          <w:p w14:paraId="3FA2BE4B" w14:textId="77777777" w:rsidR="00294A6E" w:rsidRPr="00945FD0" w:rsidRDefault="00294A6E" w:rsidP="00294A6E">
            <w:pPr>
              <w:rPr>
                <w:sz w:val="22"/>
                <w:szCs w:val="22"/>
              </w:rPr>
            </w:pPr>
            <w:r w:rsidRPr="00945FD0">
              <w:rPr>
                <w:sz w:val="22"/>
                <w:szCs w:val="22"/>
              </w:rPr>
              <w:t>6</w:t>
            </w:r>
          </w:p>
        </w:tc>
        <w:tc>
          <w:tcPr>
            <w:tcW w:w="980" w:type="dxa"/>
            <w:noWrap/>
            <w:hideMark/>
          </w:tcPr>
          <w:p w14:paraId="616B209B" w14:textId="77777777" w:rsidR="00294A6E" w:rsidRPr="00945FD0" w:rsidRDefault="00294A6E" w:rsidP="00294A6E">
            <w:pPr>
              <w:rPr>
                <w:sz w:val="22"/>
                <w:szCs w:val="22"/>
              </w:rPr>
            </w:pPr>
            <w:r w:rsidRPr="00945FD0">
              <w:rPr>
                <w:sz w:val="22"/>
                <w:szCs w:val="22"/>
              </w:rPr>
              <w:t>-8.59</w:t>
            </w:r>
          </w:p>
        </w:tc>
        <w:tc>
          <w:tcPr>
            <w:tcW w:w="1040" w:type="dxa"/>
            <w:noWrap/>
            <w:hideMark/>
          </w:tcPr>
          <w:p w14:paraId="65CEC095" w14:textId="77777777" w:rsidR="00294A6E" w:rsidRPr="00945FD0" w:rsidRDefault="00294A6E" w:rsidP="00294A6E">
            <w:pPr>
              <w:rPr>
                <w:sz w:val="22"/>
                <w:szCs w:val="22"/>
              </w:rPr>
            </w:pPr>
            <w:r w:rsidRPr="00945FD0">
              <w:rPr>
                <w:sz w:val="22"/>
                <w:szCs w:val="22"/>
              </w:rPr>
              <w:t>-0.66</w:t>
            </w:r>
          </w:p>
        </w:tc>
        <w:tc>
          <w:tcPr>
            <w:tcW w:w="980" w:type="dxa"/>
            <w:noWrap/>
            <w:hideMark/>
          </w:tcPr>
          <w:p w14:paraId="47BF1202" w14:textId="77777777" w:rsidR="00294A6E" w:rsidRPr="00945FD0" w:rsidRDefault="00294A6E" w:rsidP="00294A6E">
            <w:pPr>
              <w:rPr>
                <w:sz w:val="22"/>
                <w:szCs w:val="22"/>
              </w:rPr>
            </w:pPr>
            <w:r w:rsidRPr="00945FD0">
              <w:rPr>
                <w:sz w:val="22"/>
                <w:szCs w:val="22"/>
              </w:rPr>
              <w:t>-4.02</w:t>
            </w:r>
          </w:p>
        </w:tc>
        <w:tc>
          <w:tcPr>
            <w:tcW w:w="980" w:type="dxa"/>
            <w:noWrap/>
            <w:hideMark/>
          </w:tcPr>
          <w:p w14:paraId="0822B690" w14:textId="77777777" w:rsidR="00294A6E" w:rsidRPr="00945FD0" w:rsidRDefault="00294A6E" w:rsidP="00294A6E">
            <w:pPr>
              <w:rPr>
                <w:sz w:val="22"/>
                <w:szCs w:val="22"/>
              </w:rPr>
            </w:pPr>
            <w:r w:rsidRPr="00945FD0">
              <w:rPr>
                <w:sz w:val="22"/>
                <w:szCs w:val="22"/>
              </w:rPr>
              <w:t>-8.63</w:t>
            </w:r>
          </w:p>
        </w:tc>
        <w:tc>
          <w:tcPr>
            <w:tcW w:w="980" w:type="dxa"/>
            <w:noWrap/>
            <w:hideMark/>
          </w:tcPr>
          <w:p w14:paraId="36C27201" w14:textId="77777777" w:rsidR="00294A6E" w:rsidRPr="00945FD0" w:rsidRDefault="00294A6E" w:rsidP="00294A6E">
            <w:pPr>
              <w:rPr>
                <w:sz w:val="22"/>
                <w:szCs w:val="22"/>
              </w:rPr>
            </w:pPr>
            <w:r w:rsidRPr="00945FD0">
              <w:rPr>
                <w:sz w:val="22"/>
                <w:szCs w:val="22"/>
              </w:rPr>
              <w:t>-1.20</w:t>
            </w:r>
          </w:p>
        </w:tc>
        <w:tc>
          <w:tcPr>
            <w:tcW w:w="980" w:type="dxa"/>
            <w:noWrap/>
            <w:hideMark/>
          </w:tcPr>
          <w:p w14:paraId="5C9C52F9" w14:textId="77777777" w:rsidR="00294A6E" w:rsidRPr="00945FD0" w:rsidRDefault="00294A6E" w:rsidP="00294A6E">
            <w:pPr>
              <w:rPr>
                <w:sz w:val="22"/>
                <w:szCs w:val="22"/>
              </w:rPr>
            </w:pPr>
            <w:r w:rsidRPr="00945FD0">
              <w:rPr>
                <w:sz w:val="22"/>
                <w:szCs w:val="22"/>
              </w:rPr>
              <w:t>3.73</w:t>
            </w:r>
          </w:p>
        </w:tc>
        <w:tc>
          <w:tcPr>
            <w:tcW w:w="980" w:type="dxa"/>
            <w:noWrap/>
            <w:hideMark/>
          </w:tcPr>
          <w:p w14:paraId="742806A7" w14:textId="77777777" w:rsidR="00294A6E" w:rsidRPr="00945FD0" w:rsidRDefault="00294A6E" w:rsidP="00294A6E">
            <w:pPr>
              <w:rPr>
                <w:sz w:val="22"/>
                <w:szCs w:val="22"/>
              </w:rPr>
            </w:pPr>
            <w:r w:rsidRPr="00945FD0">
              <w:rPr>
                <w:sz w:val="22"/>
                <w:szCs w:val="22"/>
              </w:rPr>
              <w:t>-3.12</w:t>
            </w:r>
          </w:p>
        </w:tc>
        <w:tc>
          <w:tcPr>
            <w:tcW w:w="980" w:type="dxa"/>
            <w:noWrap/>
            <w:hideMark/>
          </w:tcPr>
          <w:p w14:paraId="3E941999" w14:textId="77777777" w:rsidR="00294A6E" w:rsidRPr="00945FD0" w:rsidRDefault="00294A6E" w:rsidP="00294A6E">
            <w:pPr>
              <w:rPr>
                <w:sz w:val="22"/>
                <w:szCs w:val="22"/>
              </w:rPr>
            </w:pPr>
            <w:r w:rsidRPr="00945FD0">
              <w:rPr>
                <w:sz w:val="22"/>
                <w:szCs w:val="22"/>
              </w:rPr>
              <w:t>-0.88</w:t>
            </w:r>
          </w:p>
        </w:tc>
        <w:tc>
          <w:tcPr>
            <w:tcW w:w="980" w:type="dxa"/>
            <w:noWrap/>
            <w:hideMark/>
          </w:tcPr>
          <w:p w14:paraId="52A6CFD5" w14:textId="77777777" w:rsidR="00294A6E" w:rsidRPr="00945FD0" w:rsidRDefault="00294A6E" w:rsidP="00294A6E">
            <w:pPr>
              <w:rPr>
                <w:sz w:val="22"/>
                <w:szCs w:val="22"/>
              </w:rPr>
            </w:pPr>
            <w:r w:rsidRPr="00945FD0">
              <w:rPr>
                <w:sz w:val="22"/>
                <w:szCs w:val="22"/>
              </w:rPr>
              <w:t>-1.87</w:t>
            </w:r>
          </w:p>
        </w:tc>
        <w:tc>
          <w:tcPr>
            <w:tcW w:w="980" w:type="dxa"/>
            <w:noWrap/>
            <w:hideMark/>
          </w:tcPr>
          <w:p w14:paraId="648002A2" w14:textId="77777777" w:rsidR="00294A6E" w:rsidRPr="00945FD0" w:rsidRDefault="00294A6E" w:rsidP="00294A6E">
            <w:pPr>
              <w:rPr>
                <w:sz w:val="22"/>
                <w:szCs w:val="22"/>
              </w:rPr>
            </w:pPr>
            <w:r w:rsidRPr="00945FD0">
              <w:rPr>
                <w:sz w:val="22"/>
                <w:szCs w:val="22"/>
              </w:rPr>
              <w:t>0.00</w:t>
            </w:r>
          </w:p>
        </w:tc>
      </w:tr>
      <w:tr w:rsidR="00294A6E" w:rsidRPr="00294A6E" w14:paraId="10C939FE" w14:textId="77777777" w:rsidTr="00294A6E">
        <w:trPr>
          <w:trHeight w:val="290"/>
        </w:trPr>
        <w:tc>
          <w:tcPr>
            <w:tcW w:w="960" w:type="dxa"/>
            <w:noWrap/>
            <w:hideMark/>
          </w:tcPr>
          <w:p w14:paraId="629347A5" w14:textId="77777777" w:rsidR="00294A6E" w:rsidRPr="00945FD0" w:rsidRDefault="00294A6E" w:rsidP="00294A6E">
            <w:pPr>
              <w:rPr>
                <w:sz w:val="22"/>
                <w:szCs w:val="22"/>
              </w:rPr>
            </w:pPr>
            <w:r w:rsidRPr="00945FD0">
              <w:rPr>
                <w:sz w:val="22"/>
                <w:szCs w:val="22"/>
              </w:rPr>
              <w:t>7</w:t>
            </w:r>
          </w:p>
        </w:tc>
        <w:tc>
          <w:tcPr>
            <w:tcW w:w="980" w:type="dxa"/>
            <w:noWrap/>
            <w:hideMark/>
          </w:tcPr>
          <w:p w14:paraId="473060E1" w14:textId="77777777" w:rsidR="00294A6E" w:rsidRPr="00945FD0" w:rsidRDefault="00294A6E" w:rsidP="00294A6E">
            <w:pPr>
              <w:rPr>
                <w:sz w:val="22"/>
                <w:szCs w:val="22"/>
              </w:rPr>
            </w:pPr>
            <w:r w:rsidRPr="00945FD0">
              <w:rPr>
                <w:sz w:val="22"/>
                <w:szCs w:val="22"/>
              </w:rPr>
              <w:t>17.76</w:t>
            </w:r>
          </w:p>
        </w:tc>
        <w:tc>
          <w:tcPr>
            <w:tcW w:w="1040" w:type="dxa"/>
            <w:noWrap/>
            <w:hideMark/>
          </w:tcPr>
          <w:p w14:paraId="26016CB5" w14:textId="77777777" w:rsidR="00294A6E" w:rsidRPr="00945FD0" w:rsidRDefault="00294A6E" w:rsidP="00294A6E">
            <w:pPr>
              <w:rPr>
                <w:sz w:val="22"/>
                <w:szCs w:val="22"/>
              </w:rPr>
            </w:pPr>
            <w:r w:rsidRPr="00945FD0">
              <w:rPr>
                <w:sz w:val="22"/>
                <w:szCs w:val="22"/>
              </w:rPr>
              <w:t>-6.84</w:t>
            </w:r>
          </w:p>
        </w:tc>
        <w:tc>
          <w:tcPr>
            <w:tcW w:w="980" w:type="dxa"/>
            <w:noWrap/>
            <w:hideMark/>
          </w:tcPr>
          <w:p w14:paraId="1FB434D9" w14:textId="77777777" w:rsidR="00294A6E" w:rsidRPr="00945FD0" w:rsidRDefault="00294A6E" w:rsidP="00294A6E">
            <w:pPr>
              <w:rPr>
                <w:sz w:val="22"/>
                <w:szCs w:val="22"/>
              </w:rPr>
            </w:pPr>
            <w:r w:rsidRPr="00945FD0">
              <w:rPr>
                <w:sz w:val="22"/>
                <w:szCs w:val="22"/>
              </w:rPr>
              <w:t>9.69</w:t>
            </w:r>
          </w:p>
        </w:tc>
        <w:tc>
          <w:tcPr>
            <w:tcW w:w="980" w:type="dxa"/>
            <w:noWrap/>
            <w:hideMark/>
          </w:tcPr>
          <w:p w14:paraId="5F5C1B2F" w14:textId="77777777" w:rsidR="00294A6E" w:rsidRPr="00945FD0" w:rsidRDefault="00294A6E" w:rsidP="00294A6E">
            <w:pPr>
              <w:rPr>
                <w:sz w:val="22"/>
                <w:szCs w:val="22"/>
              </w:rPr>
            </w:pPr>
            <w:r w:rsidRPr="00945FD0">
              <w:rPr>
                <w:sz w:val="22"/>
                <w:szCs w:val="22"/>
              </w:rPr>
              <w:t>-0.96</w:t>
            </w:r>
          </w:p>
        </w:tc>
        <w:tc>
          <w:tcPr>
            <w:tcW w:w="980" w:type="dxa"/>
            <w:noWrap/>
            <w:hideMark/>
          </w:tcPr>
          <w:p w14:paraId="6B8BB64F" w14:textId="77777777" w:rsidR="00294A6E" w:rsidRPr="00945FD0" w:rsidRDefault="00294A6E" w:rsidP="00294A6E">
            <w:pPr>
              <w:rPr>
                <w:sz w:val="22"/>
                <w:szCs w:val="22"/>
              </w:rPr>
            </w:pPr>
            <w:r w:rsidRPr="00945FD0">
              <w:rPr>
                <w:sz w:val="22"/>
                <w:szCs w:val="22"/>
              </w:rPr>
              <w:t>3.39</w:t>
            </w:r>
          </w:p>
        </w:tc>
        <w:tc>
          <w:tcPr>
            <w:tcW w:w="980" w:type="dxa"/>
            <w:noWrap/>
            <w:hideMark/>
          </w:tcPr>
          <w:p w14:paraId="69DDE58A" w14:textId="77777777" w:rsidR="00294A6E" w:rsidRPr="00945FD0" w:rsidRDefault="00294A6E" w:rsidP="00294A6E">
            <w:pPr>
              <w:rPr>
                <w:sz w:val="22"/>
                <w:szCs w:val="22"/>
              </w:rPr>
            </w:pPr>
            <w:r w:rsidRPr="00945FD0">
              <w:rPr>
                <w:sz w:val="22"/>
                <w:szCs w:val="22"/>
              </w:rPr>
              <w:t>-2.64</w:t>
            </w:r>
          </w:p>
        </w:tc>
        <w:tc>
          <w:tcPr>
            <w:tcW w:w="980" w:type="dxa"/>
            <w:noWrap/>
            <w:hideMark/>
          </w:tcPr>
          <w:p w14:paraId="00BBCE41" w14:textId="77777777" w:rsidR="00294A6E" w:rsidRPr="00945FD0" w:rsidRDefault="00294A6E" w:rsidP="00294A6E">
            <w:pPr>
              <w:rPr>
                <w:sz w:val="22"/>
                <w:szCs w:val="22"/>
              </w:rPr>
            </w:pPr>
            <w:r w:rsidRPr="00945FD0">
              <w:rPr>
                <w:sz w:val="22"/>
                <w:szCs w:val="22"/>
              </w:rPr>
              <w:t>-3.80</w:t>
            </w:r>
          </w:p>
        </w:tc>
        <w:tc>
          <w:tcPr>
            <w:tcW w:w="980" w:type="dxa"/>
            <w:noWrap/>
            <w:hideMark/>
          </w:tcPr>
          <w:p w14:paraId="3FE45567" w14:textId="77777777" w:rsidR="00294A6E" w:rsidRPr="00945FD0" w:rsidRDefault="00294A6E" w:rsidP="00294A6E">
            <w:pPr>
              <w:rPr>
                <w:sz w:val="22"/>
                <w:szCs w:val="22"/>
              </w:rPr>
            </w:pPr>
            <w:r w:rsidRPr="00945FD0">
              <w:rPr>
                <w:sz w:val="22"/>
                <w:szCs w:val="22"/>
              </w:rPr>
              <w:t>-1.02</w:t>
            </w:r>
          </w:p>
        </w:tc>
        <w:tc>
          <w:tcPr>
            <w:tcW w:w="980" w:type="dxa"/>
            <w:noWrap/>
            <w:hideMark/>
          </w:tcPr>
          <w:p w14:paraId="35AD1654" w14:textId="77777777" w:rsidR="00294A6E" w:rsidRPr="00945FD0" w:rsidRDefault="00294A6E" w:rsidP="00294A6E">
            <w:pPr>
              <w:rPr>
                <w:sz w:val="22"/>
                <w:szCs w:val="22"/>
              </w:rPr>
            </w:pPr>
            <w:r w:rsidRPr="00945FD0">
              <w:rPr>
                <w:sz w:val="22"/>
                <w:szCs w:val="22"/>
              </w:rPr>
              <w:t>1.71</w:t>
            </w:r>
          </w:p>
        </w:tc>
        <w:tc>
          <w:tcPr>
            <w:tcW w:w="980" w:type="dxa"/>
            <w:noWrap/>
            <w:hideMark/>
          </w:tcPr>
          <w:p w14:paraId="4C3E6583" w14:textId="77777777" w:rsidR="00294A6E" w:rsidRPr="00945FD0" w:rsidRDefault="00294A6E" w:rsidP="00294A6E">
            <w:pPr>
              <w:rPr>
                <w:sz w:val="22"/>
                <w:szCs w:val="22"/>
              </w:rPr>
            </w:pPr>
            <w:r w:rsidRPr="00945FD0">
              <w:rPr>
                <w:sz w:val="22"/>
                <w:szCs w:val="22"/>
              </w:rPr>
              <w:t>0.00</w:t>
            </w:r>
          </w:p>
        </w:tc>
      </w:tr>
      <w:tr w:rsidR="00294A6E" w:rsidRPr="00294A6E" w14:paraId="59920CDC" w14:textId="77777777" w:rsidTr="00294A6E">
        <w:trPr>
          <w:trHeight w:val="290"/>
        </w:trPr>
        <w:tc>
          <w:tcPr>
            <w:tcW w:w="960" w:type="dxa"/>
            <w:noWrap/>
            <w:hideMark/>
          </w:tcPr>
          <w:p w14:paraId="12C2923A" w14:textId="77777777" w:rsidR="00294A6E" w:rsidRPr="00945FD0" w:rsidRDefault="00294A6E" w:rsidP="00294A6E">
            <w:pPr>
              <w:rPr>
                <w:sz w:val="22"/>
                <w:szCs w:val="22"/>
              </w:rPr>
            </w:pPr>
            <w:r w:rsidRPr="00945FD0">
              <w:rPr>
                <w:sz w:val="22"/>
                <w:szCs w:val="22"/>
              </w:rPr>
              <w:t>8</w:t>
            </w:r>
          </w:p>
        </w:tc>
        <w:tc>
          <w:tcPr>
            <w:tcW w:w="980" w:type="dxa"/>
            <w:noWrap/>
            <w:hideMark/>
          </w:tcPr>
          <w:p w14:paraId="4D708373" w14:textId="77777777" w:rsidR="00294A6E" w:rsidRPr="00945FD0" w:rsidRDefault="00294A6E" w:rsidP="00294A6E">
            <w:pPr>
              <w:rPr>
                <w:sz w:val="22"/>
                <w:szCs w:val="22"/>
              </w:rPr>
            </w:pPr>
            <w:r w:rsidRPr="00945FD0">
              <w:rPr>
                <w:sz w:val="22"/>
                <w:szCs w:val="22"/>
              </w:rPr>
              <w:t>16.30</w:t>
            </w:r>
          </w:p>
        </w:tc>
        <w:tc>
          <w:tcPr>
            <w:tcW w:w="1040" w:type="dxa"/>
            <w:noWrap/>
            <w:hideMark/>
          </w:tcPr>
          <w:p w14:paraId="706FBE72" w14:textId="77777777" w:rsidR="00294A6E" w:rsidRPr="00945FD0" w:rsidRDefault="00294A6E" w:rsidP="00294A6E">
            <w:pPr>
              <w:rPr>
                <w:sz w:val="22"/>
                <w:szCs w:val="22"/>
              </w:rPr>
            </w:pPr>
            <w:r w:rsidRPr="00945FD0">
              <w:rPr>
                <w:sz w:val="22"/>
                <w:szCs w:val="22"/>
              </w:rPr>
              <w:t>2.72</w:t>
            </w:r>
          </w:p>
        </w:tc>
        <w:tc>
          <w:tcPr>
            <w:tcW w:w="980" w:type="dxa"/>
            <w:noWrap/>
            <w:hideMark/>
          </w:tcPr>
          <w:p w14:paraId="09EA1C4B" w14:textId="77777777" w:rsidR="00294A6E" w:rsidRPr="00945FD0" w:rsidRDefault="00294A6E" w:rsidP="00294A6E">
            <w:pPr>
              <w:rPr>
                <w:sz w:val="22"/>
                <w:szCs w:val="22"/>
              </w:rPr>
            </w:pPr>
            <w:r w:rsidRPr="00945FD0">
              <w:rPr>
                <w:sz w:val="22"/>
                <w:szCs w:val="22"/>
              </w:rPr>
              <w:t>8.80</w:t>
            </w:r>
          </w:p>
        </w:tc>
        <w:tc>
          <w:tcPr>
            <w:tcW w:w="980" w:type="dxa"/>
            <w:noWrap/>
            <w:hideMark/>
          </w:tcPr>
          <w:p w14:paraId="754C2CE7" w14:textId="77777777" w:rsidR="00294A6E" w:rsidRPr="00945FD0" w:rsidRDefault="00294A6E" w:rsidP="00294A6E">
            <w:pPr>
              <w:rPr>
                <w:sz w:val="22"/>
                <w:szCs w:val="22"/>
              </w:rPr>
            </w:pPr>
            <w:r w:rsidRPr="00945FD0">
              <w:rPr>
                <w:sz w:val="22"/>
                <w:szCs w:val="22"/>
              </w:rPr>
              <w:t>8.70</w:t>
            </w:r>
          </w:p>
        </w:tc>
        <w:tc>
          <w:tcPr>
            <w:tcW w:w="980" w:type="dxa"/>
            <w:noWrap/>
            <w:hideMark/>
          </w:tcPr>
          <w:p w14:paraId="06639AF3" w14:textId="77777777" w:rsidR="00294A6E" w:rsidRPr="00945FD0" w:rsidRDefault="00294A6E" w:rsidP="00294A6E">
            <w:pPr>
              <w:rPr>
                <w:sz w:val="22"/>
                <w:szCs w:val="22"/>
              </w:rPr>
            </w:pPr>
            <w:r w:rsidRPr="00945FD0">
              <w:rPr>
                <w:sz w:val="22"/>
                <w:szCs w:val="22"/>
              </w:rPr>
              <w:t>-2.51</w:t>
            </w:r>
          </w:p>
        </w:tc>
        <w:tc>
          <w:tcPr>
            <w:tcW w:w="980" w:type="dxa"/>
            <w:noWrap/>
            <w:hideMark/>
          </w:tcPr>
          <w:p w14:paraId="363C07A9" w14:textId="77777777" w:rsidR="00294A6E" w:rsidRPr="00945FD0" w:rsidRDefault="00294A6E" w:rsidP="00294A6E">
            <w:pPr>
              <w:rPr>
                <w:sz w:val="22"/>
                <w:szCs w:val="22"/>
              </w:rPr>
            </w:pPr>
            <w:r w:rsidRPr="00945FD0">
              <w:rPr>
                <w:sz w:val="22"/>
                <w:szCs w:val="22"/>
              </w:rPr>
              <w:t>4.48</w:t>
            </w:r>
          </w:p>
        </w:tc>
        <w:tc>
          <w:tcPr>
            <w:tcW w:w="980" w:type="dxa"/>
            <w:noWrap/>
            <w:hideMark/>
          </w:tcPr>
          <w:p w14:paraId="37FEBEC1" w14:textId="77777777" w:rsidR="00294A6E" w:rsidRPr="00945FD0" w:rsidRDefault="00294A6E" w:rsidP="00294A6E">
            <w:pPr>
              <w:rPr>
                <w:sz w:val="22"/>
                <w:szCs w:val="22"/>
              </w:rPr>
            </w:pPr>
            <w:r w:rsidRPr="00945FD0">
              <w:rPr>
                <w:sz w:val="22"/>
                <w:szCs w:val="22"/>
              </w:rPr>
              <w:t>0.52</w:t>
            </w:r>
          </w:p>
        </w:tc>
        <w:tc>
          <w:tcPr>
            <w:tcW w:w="980" w:type="dxa"/>
            <w:noWrap/>
            <w:hideMark/>
          </w:tcPr>
          <w:p w14:paraId="42E8BC38" w14:textId="77777777" w:rsidR="00294A6E" w:rsidRPr="00945FD0" w:rsidRDefault="00294A6E" w:rsidP="00294A6E">
            <w:pPr>
              <w:rPr>
                <w:sz w:val="22"/>
                <w:szCs w:val="22"/>
              </w:rPr>
            </w:pPr>
            <w:r w:rsidRPr="00945FD0">
              <w:rPr>
                <w:sz w:val="22"/>
                <w:szCs w:val="22"/>
              </w:rPr>
              <w:t>-1.23</w:t>
            </w:r>
          </w:p>
        </w:tc>
        <w:tc>
          <w:tcPr>
            <w:tcW w:w="980" w:type="dxa"/>
            <w:noWrap/>
            <w:hideMark/>
          </w:tcPr>
          <w:p w14:paraId="75897C78" w14:textId="77777777" w:rsidR="00294A6E" w:rsidRPr="00945FD0" w:rsidRDefault="00294A6E" w:rsidP="00294A6E">
            <w:pPr>
              <w:rPr>
                <w:sz w:val="22"/>
                <w:szCs w:val="22"/>
              </w:rPr>
            </w:pPr>
            <w:r w:rsidRPr="00945FD0">
              <w:rPr>
                <w:sz w:val="22"/>
                <w:szCs w:val="22"/>
              </w:rPr>
              <w:t>-0.72</w:t>
            </w:r>
          </w:p>
        </w:tc>
        <w:tc>
          <w:tcPr>
            <w:tcW w:w="980" w:type="dxa"/>
            <w:noWrap/>
            <w:hideMark/>
          </w:tcPr>
          <w:p w14:paraId="3678F66A" w14:textId="77777777" w:rsidR="00294A6E" w:rsidRPr="00945FD0" w:rsidRDefault="00294A6E" w:rsidP="00294A6E">
            <w:pPr>
              <w:rPr>
                <w:sz w:val="22"/>
                <w:szCs w:val="22"/>
              </w:rPr>
            </w:pPr>
            <w:r w:rsidRPr="00945FD0">
              <w:rPr>
                <w:sz w:val="22"/>
                <w:szCs w:val="22"/>
              </w:rPr>
              <w:t>0.00</w:t>
            </w:r>
          </w:p>
        </w:tc>
      </w:tr>
      <w:tr w:rsidR="00294A6E" w:rsidRPr="00294A6E" w14:paraId="1F2EB7BA" w14:textId="77777777" w:rsidTr="00294A6E">
        <w:trPr>
          <w:trHeight w:val="290"/>
        </w:trPr>
        <w:tc>
          <w:tcPr>
            <w:tcW w:w="960" w:type="dxa"/>
            <w:noWrap/>
            <w:hideMark/>
          </w:tcPr>
          <w:p w14:paraId="53043148" w14:textId="77777777" w:rsidR="00294A6E" w:rsidRPr="00945FD0" w:rsidRDefault="00294A6E" w:rsidP="00294A6E">
            <w:pPr>
              <w:rPr>
                <w:sz w:val="22"/>
                <w:szCs w:val="22"/>
              </w:rPr>
            </w:pPr>
            <w:r w:rsidRPr="00945FD0">
              <w:rPr>
                <w:sz w:val="22"/>
                <w:szCs w:val="22"/>
              </w:rPr>
              <w:t>9</w:t>
            </w:r>
          </w:p>
        </w:tc>
        <w:tc>
          <w:tcPr>
            <w:tcW w:w="980" w:type="dxa"/>
            <w:noWrap/>
            <w:hideMark/>
          </w:tcPr>
          <w:p w14:paraId="62E37D6E" w14:textId="77777777" w:rsidR="00294A6E" w:rsidRPr="00945FD0" w:rsidRDefault="00294A6E" w:rsidP="00294A6E">
            <w:pPr>
              <w:rPr>
                <w:sz w:val="22"/>
                <w:szCs w:val="22"/>
              </w:rPr>
            </w:pPr>
            <w:r w:rsidRPr="00945FD0">
              <w:rPr>
                <w:sz w:val="22"/>
                <w:szCs w:val="22"/>
              </w:rPr>
              <w:t>5.42</w:t>
            </w:r>
          </w:p>
        </w:tc>
        <w:tc>
          <w:tcPr>
            <w:tcW w:w="1040" w:type="dxa"/>
            <w:noWrap/>
            <w:hideMark/>
          </w:tcPr>
          <w:p w14:paraId="4C4FE2D7" w14:textId="77777777" w:rsidR="00294A6E" w:rsidRPr="00945FD0" w:rsidRDefault="00294A6E" w:rsidP="00294A6E">
            <w:pPr>
              <w:rPr>
                <w:sz w:val="22"/>
                <w:szCs w:val="22"/>
              </w:rPr>
            </w:pPr>
            <w:r w:rsidRPr="00945FD0">
              <w:rPr>
                <w:sz w:val="22"/>
                <w:szCs w:val="22"/>
              </w:rPr>
              <w:t>20.05</w:t>
            </w:r>
          </w:p>
        </w:tc>
        <w:tc>
          <w:tcPr>
            <w:tcW w:w="980" w:type="dxa"/>
            <w:noWrap/>
            <w:hideMark/>
          </w:tcPr>
          <w:p w14:paraId="2FBE31F1" w14:textId="77777777" w:rsidR="00294A6E" w:rsidRPr="00945FD0" w:rsidRDefault="00294A6E" w:rsidP="00294A6E">
            <w:pPr>
              <w:rPr>
                <w:sz w:val="22"/>
                <w:szCs w:val="22"/>
              </w:rPr>
            </w:pPr>
            <w:r w:rsidRPr="00945FD0">
              <w:rPr>
                <w:sz w:val="22"/>
                <w:szCs w:val="22"/>
              </w:rPr>
              <w:t>-2.29</w:t>
            </w:r>
          </w:p>
        </w:tc>
        <w:tc>
          <w:tcPr>
            <w:tcW w:w="980" w:type="dxa"/>
            <w:noWrap/>
            <w:hideMark/>
          </w:tcPr>
          <w:p w14:paraId="2E8EAA3E" w14:textId="77777777" w:rsidR="00294A6E" w:rsidRPr="00945FD0" w:rsidRDefault="00294A6E" w:rsidP="00294A6E">
            <w:pPr>
              <w:rPr>
                <w:sz w:val="22"/>
                <w:szCs w:val="22"/>
              </w:rPr>
            </w:pPr>
            <w:r w:rsidRPr="00945FD0">
              <w:rPr>
                <w:sz w:val="22"/>
                <w:szCs w:val="22"/>
              </w:rPr>
              <w:t>-0.76</w:t>
            </w:r>
          </w:p>
        </w:tc>
        <w:tc>
          <w:tcPr>
            <w:tcW w:w="980" w:type="dxa"/>
            <w:noWrap/>
            <w:hideMark/>
          </w:tcPr>
          <w:p w14:paraId="3225CF23" w14:textId="77777777" w:rsidR="00294A6E" w:rsidRPr="00945FD0" w:rsidRDefault="00294A6E" w:rsidP="00294A6E">
            <w:pPr>
              <w:rPr>
                <w:sz w:val="22"/>
                <w:szCs w:val="22"/>
              </w:rPr>
            </w:pPr>
            <w:r w:rsidRPr="00945FD0">
              <w:rPr>
                <w:sz w:val="22"/>
                <w:szCs w:val="22"/>
              </w:rPr>
              <w:t>7.96</w:t>
            </w:r>
          </w:p>
        </w:tc>
        <w:tc>
          <w:tcPr>
            <w:tcW w:w="980" w:type="dxa"/>
            <w:noWrap/>
            <w:hideMark/>
          </w:tcPr>
          <w:p w14:paraId="6F88378C" w14:textId="77777777" w:rsidR="00294A6E" w:rsidRPr="00945FD0" w:rsidRDefault="00294A6E" w:rsidP="00294A6E">
            <w:pPr>
              <w:rPr>
                <w:sz w:val="22"/>
                <w:szCs w:val="22"/>
              </w:rPr>
            </w:pPr>
            <w:r w:rsidRPr="00945FD0">
              <w:rPr>
                <w:sz w:val="22"/>
                <w:szCs w:val="22"/>
              </w:rPr>
              <w:t>1.43</w:t>
            </w:r>
          </w:p>
        </w:tc>
        <w:tc>
          <w:tcPr>
            <w:tcW w:w="980" w:type="dxa"/>
            <w:noWrap/>
            <w:hideMark/>
          </w:tcPr>
          <w:p w14:paraId="57C7DAC9" w14:textId="77777777" w:rsidR="00294A6E" w:rsidRPr="00945FD0" w:rsidRDefault="00294A6E" w:rsidP="00294A6E">
            <w:pPr>
              <w:rPr>
                <w:sz w:val="22"/>
                <w:szCs w:val="22"/>
              </w:rPr>
            </w:pPr>
            <w:r w:rsidRPr="00945FD0">
              <w:rPr>
                <w:sz w:val="22"/>
                <w:szCs w:val="22"/>
              </w:rPr>
              <w:t>1.50</w:t>
            </w:r>
          </w:p>
        </w:tc>
        <w:tc>
          <w:tcPr>
            <w:tcW w:w="980" w:type="dxa"/>
            <w:noWrap/>
            <w:hideMark/>
          </w:tcPr>
          <w:p w14:paraId="292144A3" w14:textId="77777777" w:rsidR="00294A6E" w:rsidRPr="00945FD0" w:rsidRDefault="00294A6E" w:rsidP="00294A6E">
            <w:pPr>
              <w:rPr>
                <w:sz w:val="22"/>
                <w:szCs w:val="22"/>
              </w:rPr>
            </w:pPr>
            <w:r w:rsidRPr="00945FD0">
              <w:rPr>
                <w:sz w:val="22"/>
                <w:szCs w:val="22"/>
              </w:rPr>
              <w:t>1.94</w:t>
            </w:r>
          </w:p>
        </w:tc>
        <w:tc>
          <w:tcPr>
            <w:tcW w:w="980" w:type="dxa"/>
            <w:noWrap/>
            <w:hideMark/>
          </w:tcPr>
          <w:p w14:paraId="7C52DF1A" w14:textId="77777777" w:rsidR="00294A6E" w:rsidRPr="00945FD0" w:rsidRDefault="00294A6E" w:rsidP="00294A6E">
            <w:pPr>
              <w:rPr>
                <w:sz w:val="22"/>
                <w:szCs w:val="22"/>
              </w:rPr>
            </w:pPr>
            <w:r w:rsidRPr="00945FD0">
              <w:rPr>
                <w:sz w:val="22"/>
                <w:szCs w:val="22"/>
              </w:rPr>
              <w:t>-0.31</w:t>
            </w:r>
          </w:p>
        </w:tc>
        <w:tc>
          <w:tcPr>
            <w:tcW w:w="980" w:type="dxa"/>
            <w:noWrap/>
            <w:hideMark/>
          </w:tcPr>
          <w:p w14:paraId="1245EA00" w14:textId="77777777" w:rsidR="00294A6E" w:rsidRPr="00945FD0" w:rsidRDefault="00294A6E" w:rsidP="00294A6E">
            <w:pPr>
              <w:rPr>
                <w:sz w:val="22"/>
                <w:szCs w:val="22"/>
              </w:rPr>
            </w:pPr>
            <w:r w:rsidRPr="00945FD0">
              <w:rPr>
                <w:sz w:val="22"/>
                <w:szCs w:val="22"/>
              </w:rPr>
              <w:t>0.00</w:t>
            </w:r>
          </w:p>
        </w:tc>
      </w:tr>
    </w:tbl>
    <w:p w14:paraId="4F742A85" w14:textId="099E9CDB" w:rsidR="00ED707C" w:rsidRDefault="001F78ED" w:rsidP="00ED707C">
      <w:r>
        <w:t xml:space="preserve">Table 1: </w:t>
      </w:r>
      <w:r w:rsidR="00903071">
        <w:t>Individual weight scores for each PC for g</w:t>
      </w:r>
      <w:r w:rsidR="00ED707C">
        <w:t>ai</w:t>
      </w:r>
      <w:r w:rsidR="0029273D">
        <w:t>t</w:t>
      </w:r>
    </w:p>
    <w:p w14:paraId="656C2CA4" w14:textId="77777777" w:rsidR="00695EF5" w:rsidRDefault="00695EF5" w:rsidP="00ED707C">
      <w:pPr>
        <w:rPr>
          <w:sz w:val="22"/>
          <w:szCs w:val="22"/>
        </w:rPr>
      </w:pPr>
    </w:p>
    <w:tbl>
      <w:tblPr>
        <w:tblW w:w="9142" w:type="dxa"/>
        <w:tblLook w:val="04A0" w:firstRow="1" w:lastRow="0" w:firstColumn="1" w:lastColumn="0" w:noHBand="0" w:noVBand="1"/>
      </w:tblPr>
      <w:tblGrid>
        <w:gridCol w:w="811"/>
        <w:gridCol w:w="918"/>
        <w:gridCol w:w="918"/>
        <w:gridCol w:w="811"/>
        <w:gridCol w:w="811"/>
        <w:gridCol w:w="812"/>
        <w:gridCol w:w="812"/>
        <w:gridCol w:w="812"/>
        <w:gridCol w:w="812"/>
        <w:gridCol w:w="812"/>
        <w:gridCol w:w="813"/>
      </w:tblGrid>
      <w:tr w:rsidR="00695EF5" w:rsidRPr="00695EF5" w14:paraId="4A4E658D" w14:textId="77777777" w:rsidTr="00695EF5">
        <w:trPr>
          <w:trHeight w:val="431"/>
        </w:trPr>
        <w:tc>
          <w:tcPr>
            <w:tcW w:w="811" w:type="dxa"/>
            <w:tcBorders>
              <w:top w:val="nil"/>
              <w:left w:val="nil"/>
              <w:bottom w:val="nil"/>
              <w:right w:val="nil"/>
            </w:tcBorders>
            <w:noWrap/>
            <w:vAlign w:val="bottom"/>
            <w:hideMark/>
          </w:tcPr>
          <w:p w14:paraId="14F287BE" w14:textId="77777777" w:rsidR="00695EF5" w:rsidRPr="00B25D7A" w:rsidRDefault="00695EF5" w:rsidP="00695EF5">
            <w:pPr>
              <w:spacing w:after="0" w:line="240" w:lineRule="auto"/>
              <w:rPr>
                <w:rFonts w:ascii="Times New Roman" w:eastAsia="Times New Roman" w:hAnsi="Times New Roman" w:cs="Times New Roman"/>
                <w:kern w:val="0"/>
                <w:sz w:val="20"/>
                <w:szCs w:val="20"/>
                <w14:ligatures w14:val="none"/>
              </w:rPr>
            </w:pPr>
          </w:p>
        </w:tc>
        <w:tc>
          <w:tcPr>
            <w:tcW w:w="918" w:type="dxa"/>
            <w:tcBorders>
              <w:top w:val="single" w:sz="4" w:space="0" w:color="000000"/>
              <w:left w:val="single" w:sz="4" w:space="0" w:color="000000"/>
              <w:bottom w:val="single" w:sz="4" w:space="0" w:color="000000"/>
              <w:right w:val="single" w:sz="4" w:space="0" w:color="000000"/>
            </w:tcBorders>
            <w:vAlign w:val="center"/>
            <w:hideMark/>
          </w:tcPr>
          <w:p w14:paraId="374E3B79"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PC1</w:t>
            </w:r>
          </w:p>
        </w:tc>
        <w:tc>
          <w:tcPr>
            <w:tcW w:w="918" w:type="dxa"/>
            <w:tcBorders>
              <w:top w:val="single" w:sz="4" w:space="0" w:color="000000"/>
              <w:left w:val="nil"/>
              <w:bottom w:val="single" w:sz="4" w:space="0" w:color="000000"/>
              <w:right w:val="single" w:sz="4" w:space="0" w:color="000000"/>
            </w:tcBorders>
            <w:vAlign w:val="center"/>
            <w:hideMark/>
          </w:tcPr>
          <w:p w14:paraId="4F4C5451"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PC2</w:t>
            </w:r>
          </w:p>
        </w:tc>
        <w:tc>
          <w:tcPr>
            <w:tcW w:w="811" w:type="dxa"/>
            <w:tcBorders>
              <w:top w:val="single" w:sz="4" w:space="0" w:color="000000"/>
              <w:left w:val="nil"/>
              <w:bottom w:val="single" w:sz="4" w:space="0" w:color="000000"/>
              <w:right w:val="single" w:sz="4" w:space="0" w:color="000000"/>
            </w:tcBorders>
            <w:vAlign w:val="center"/>
            <w:hideMark/>
          </w:tcPr>
          <w:p w14:paraId="3E4B8C94"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PC3</w:t>
            </w:r>
          </w:p>
        </w:tc>
        <w:tc>
          <w:tcPr>
            <w:tcW w:w="811" w:type="dxa"/>
            <w:tcBorders>
              <w:top w:val="single" w:sz="4" w:space="0" w:color="000000"/>
              <w:left w:val="nil"/>
              <w:bottom w:val="single" w:sz="4" w:space="0" w:color="000000"/>
              <w:right w:val="single" w:sz="4" w:space="0" w:color="000000"/>
            </w:tcBorders>
            <w:vAlign w:val="center"/>
            <w:hideMark/>
          </w:tcPr>
          <w:p w14:paraId="735CEBD8"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PC4</w:t>
            </w:r>
          </w:p>
        </w:tc>
        <w:tc>
          <w:tcPr>
            <w:tcW w:w="812" w:type="dxa"/>
            <w:tcBorders>
              <w:top w:val="single" w:sz="4" w:space="0" w:color="000000"/>
              <w:left w:val="nil"/>
              <w:bottom w:val="single" w:sz="4" w:space="0" w:color="000000"/>
              <w:right w:val="single" w:sz="4" w:space="0" w:color="000000"/>
            </w:tcBorders>
            <w:vAlign w:val="center"/>
            <w:hideMark/>
          </w:tcPr>
          <w:p w14:paraId="4ED0B4C1"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PC5</w:t>
            </w:r>
          </w:p>
        </w:tc>
        <w:tc>
          <w:tcPr>
            <w:tcW w:w="812" w:type="dxa"/>
            <w:tcBorders>
              <w:top w:val="single" w:sz="4" w:space="0" w:color="000000"/>
              <w:left w:val="nil"/>
              <w:bottom w:val="single" w:sz="4" w:space="0" w:color="000000"/>
              <w:right w:val="single" w:sz="4" w:space="0" w:color="000000"/>
            </w:tcBorders>
            <w:vAlign w:val="center"/>
            <w:hideMark/>
          </w:tcPr>
          <w:p w14:paraId="37B3308C"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PC6</w:t>
            </w:r>
          </w:p>
        </w:tc>
        <w:tc>
          <w:tcPr>
            <w:tcW w:w="812" w:type="dxa"/>
            <w:tcBorders>
              <w:top w:val="single" w:sz="4" w:space="0" w:color="000000"/>
              <w:left w:val="nil"/>
              <w:bottom w:val="single" w:sz="4" w:space="0" w:color="000000"/>
              <w:right w:val="single" w:sz="4" w:space="0" w:color="000000"/>
            </w:tcBorders>
            <w:vAlign w:val="center"/>
            <w:hideMark/>
          </w:tcPr>
          <w:p w14:paraId="705A3BEE"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PC7</w:t>
            </w:r>
          </w:p>
        </w:tc>
        <w:tc>
          <w:tcPr>
            <w:tcW w:w="812" w:type="dxa"/>
            <w:tcBorders>
              <w:top w:val="single" w:sz="4" w:space="0" w:color="000000"/>
              <w:left w:val="nil"/>
              <w:bottom w:val="single" w:sz="4" w:space="0" w:color="000000"/>
              <w:right w:val="single" w:sz="4" w:space="0" w:color="000000"/>
            </w:tcBorders>
            <w:vAlign w:val="center"/>
            <w:hideMark/>
          </w:tcPr>
          <w:p w14:paraId="50BA07D4"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PC8</w:t>
            </w:r>
          </w:p>
        </w:tc>
        <w:tc>
          <w:tcPr>
            <w:tcW w:w="812" w:type="dxa"/>
            <w:tcBorders>
              <w:top w:val="single" w:sz="4" w:space="0" w:color="000000"/>
              <w:left w:val="nil"/>
              <w:bottom w:val="single" w:sz="4" w:space="0" w:color="000000"/>
              <w:right w:val="single" w:sz="4" w:space="0" w:color="000000"/>
            </w:tcBorders>
            <w:vAlign w:val="center"/>
            <w:hideMark/>
          </w:tcPr>
          <w:p w14:paraId="0BCB3F4A"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PC9</w:t>
            </w:r>
          </w:p>
        </w:tc>
        <w:tc>
          <w:tcPr>
            <w:tcW w:w="813" w:type="dxa"/>
            <w:tcBorders>
              <w:top w:val="single" w:sz="4" w:space="0" w:color="000000"/>
              <w:left w:val="nil"/>
              <w:bottom w:val="single" w:sz="4" w:space="0" w:color="000000"/>
              <w:right w:val="single" w:sz="4" w:space="0" w:color="000000"/>
            </w:tcBorders>
            <w:vAlign w:val="center"/>
            <w:hideMark/>
          </w:tcPr>
          <w:p w14:paraId="0F47A33F" w14:textId="77777777" w:rsidR="00695EF5" w:rsidRPr="00B25D7A" w:rsidRDefault="00695EF5" w:rsidP="00695EF5">
            <w:pPr>
              <w:spacing w:after="0" w:line="240" w:lineRule="auto"/>
              <w:jc w:val="right"/>
              <w:rPr>
                <w:rFonts w:ascii="Segoe UI" w:eastAsia="Times New Roman" w:hAnsi="Segoe UI" w:cs="Segoe UI"/>
                <w:b/>
                <w:bCs/>
                <w:kern w:val="0"/>
                <w:sz w:val="20"/>
                <w:szCs w:val="20"/>
                <w14:ligatures w14:val="none"/>
              </w:rPr>
            </w:pPr>
            <w:r w:rsidRPr="00B25D7A">
              <w:rPr>
                <w:rFonts w:ascii="Segoe UI" w:eastAsia="Times New Roman" w:hAnsi="Segoe UI" w:cs="Segoe UI"/>
                <w:b/>
                <w:bCs/>
                <w:kern w:val="0"/>
                <w:sz w:val="20"/>
                <w:szCs w:val="20"/>
                <w14:ligatures w14:val="none"/>
              </w:rPr>
              <w:t>PC10</w:t>
            </w:r>
          </w:p>
        </w:tc>
      </w:tr>
      <w:tr w:rsidR="00695EF5" w:rsidRPr="00695EF5" w14:paraId="2BB805A8" w14:textId="77777777" w:rsidTr="00695EF5">
        <w:trPr>
          <w:trHeight w:val="431"/>
        </w:trPr>
        <w:tc>
          <w:tcPr>
            <w:tcW w:w="811" w:type="dxa"/>
            <w:tcBorders>
              <w:top w:val="single" w:sz="4" w:space="0" w:color="000000"/>
              <w:left w:val="single" w:sz="4" w:space="0" w:color="000000"/>
              <w:bottom w:val="single" w:sz="4" w:space="0" w:color="000000"/>
              <w:right w:val="single" w:sz="4" w:space="0" w:color="000000"/>
            </w:tcBorders>
            <w:vAlign w:val="center"/>
            <w:hideMark/>
          </w:tcPr>
          <w:p w14:paraId="3C9ABED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w:t>
            </w:r>
          </w:p>
        </w:tc>
        <w:tc>
          <w:tcPr>
            <w:tcW w:w="918" w:type="dxa"/>
            <w:tcBorders>
              <w:top w:val="nil"/>
              <w:left w:val="nil"/>
              <w:bottom w:val="single" w:sz="4" w:space="0" w:color="000000"/>
              <w:right w:val="single" w:sz="4" w:space="0" w:color="000000"/>
            </w:tcBorders>
            <w:vAlign w:val="center"/>
            <w:hideMark/>
          </w:tcPr>
          <w:p w14:paraId="1799330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-77.72</w:t>
            </w:r>
          </w:p>
        </w:tc>
        <w:tc>
          <w:tcPr>
            <w:tcW w:w="918" w:type="dxa"/>
            <w:tcBorders>
              <w:top w:val="nil"/>
              <w:left w:val="nil"/>
              <w:bottom w:val="single" w:sz="4" w:space="0" w:color="000000"/>
              <w:right w:val="single" w:sz="4" w:space="0" w:color="000000"/>
            </w:tcBorders>
            <w:vAlign w:val="center"/>
            <w:hideMark/>
          </w:tcPr>
          <w:p w14:paraId="6B4747F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52.99</w:t>
            </w:r>
          </w:p>
        </w:tc>
        <w:tc>
          <w:tcPr>
            <w:tcW w:w="811" w:type="dxa"/>
            <w:tcBorders>
              <w:top w:val="nil"/>
              <w:left w:val="nil"/>
              <w:bottom w:val="single" w:sz="4" w:space="0" w:color="000000"/>
              <w:right w:val="single" w:sz="4" w:space="0" w:color="000000"/>
            </w:tcBorders>
            <w:vAlign w:val="center"/>
            <w:hideMark/>
          </w:tcPr>
          <w:p w14:paraId="28A1BAC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-64.51</w:t>
            </w:r>
          </w:p>
        </w:tc>
        <w:tc>
          <w:tcPr>
            <w:tcW w:w="811" w:type="dxa"/>
            <w:tcBorders>
              <w:top w:val="nil"/>
              <w:left w:val="nil"/>
              <w:bottom w:val="single" w:sz="4" w:space="0" w:color="000000"/>
              <w:right w:val="single" w:sz="4" w:space="0" w:color="000000"/>
            </w:tcBorders>
            <w:vAlign w:val="center"/>
            <w:hideMark/>
          </w:tcPr>
          <w:p w14:paraId="5F88617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47.59</w:t>
            </w:r>
          </w:p>
        </w:tc>
        <w:tc>
          <w:tcPr>
            <w:tcW w:w="812" w:type="dxa"/>
            <w:tcBorders>
              <w:top w:val="nil"/>
              <w:left w:val="nil"/>
              <w:bottom w:val="single" w:sz="4" w:space="0" w:color="000000"/>
              <w:right w:val="single" w:sz="4" w:space="0" w:color="000000"/>
            </w:tcBorders>
            <w:vAlign w:val="center"/>
            <w:hideMark/>
          </w:tcPr>
          <w:p w14:paraId="0E0F7935"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12.44</w:t>
            </w:r>
          </w:p>
        </w:tc>
        <w:tc>
          <w:tcPr>
            <w:tcW w:w="812" w:type="dxa"/>
            <w:tcBorders>
              <w:top w:val="nil"/>
              <w:left w:val="nil"/>
              <w:bottom w:val="single" w:sz="4" w:space="0" w:color="000000"/>
              <w:right w:val="single" w:sz="4" w:space="0" w:color="000000"/>
            </w:tcBorders>
            <w:vAlign w:val="center"/>
            <w:hideMark/>
          </w:tcPr>
          <w:p w14:paraId="02A9A67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-30.39</w:t>
            </w:r>
          </w:p>
        </w:tc>
        <w:tc>
          <w:tcPr>
            <w:tcW w:w="812" w:type="dxa"/>
            <w:tcBorders>
              <w:top w:val="nil"/>
              <w:left w:val="nil"/>
              <w:bottom w:val="single" w:sz="4" w:space="0" w:color="000000"/>
              <w:right w:val="single" w:sz="4" w:space="0" w:color="000000"/>
            </w:tcBorders>
            <w:vAlign w:val="center"/>
            <w:hideMark/>
          </w:tcPr>
          <w:p w14:paraId="4164169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-22.04</w:t>
            </w:r>
          </w:p>
        </w:tc>
        <w:tc>
          <w:tcPr>
            <w:tcW w:w="812" w:type="dxa"/>
            <w:tcBorders>
              <w:top w:val="nil"/>
              <w:left w:val="nil"/>
              <w:bottom w:val="single" w:sz="4" w:space="0" w:color="000000"/>
              <w:right w:val="single" w:sz="4" w:space="0" w:color="000000"/>
            </w:tcBorders>
            <w:vAlign w:val="center"/>
            <w:hideMark/>
          </w:tcPr>
          <w:p w14:paraId="37C4A11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21.49</w:t>
            </w:r>
          </w:p>
        </w:tc>
        <w:tc>
          <w:tcPr>
            <w:tcW w:w="812" w:type="dxa"/>
            <w:tcBorders>
              <w:top w:val="nil"/>
              <w:left w:val="nil"/>
              <w:bottom w:val="single" w:sz="4" w:space="0" w:color="000000"/>
              <w:right w:val="single" w:sz="4" w:space="0" w:color="000000"/>
            </w:tcBorders>
            <w:vAlign w:val="center"/>
            <w:hideMark/>
          </w:tcPr>
          <w:p w14:paraId="0D65ADBB"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13.30</w:t>
            </w:r>
          </w:p>
        </w:tc>
        <w:tc>
          <w:tcPr>
            <w:tcW w:w="813" w:type="dxa"/>
            <w:tcBorders>
              <w:top w:val="nil"/>
              <w:left w:val="nil"/>
              <w:bottom w:val="single" w:sz="4" w:space="0" w:color="000000"/>
              <w:right w:val="single" w:sz="4" w:space="0" w:color="000000"/>
            </w:tcBorders>
            <w:vAlign w:val="center"/>
            <w:hideMark/>
          </w:tcPr>
          <w:p w14:paraId="10C68A65"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0F8B796A"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4DBDC40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lastRenderedPageBreak/>
              <w:t>1</w:t>
            </w:r>
          </w:p>
        </w:tc>
        <w:tc>
          <w:tcPr>
            <w:tcW w:w="918" w:type="dxa"/>
            <w:tcBorders>
              <w:top w:val="nil"/>
              <w:left w:val="nil"/>
              <w:bottom w:val="single" w:sz="4" w:space="0" w:color="000000"/>
              <w:right w:val="single" w:sz="4" w:space="0" w:color="000000"/>
            </w:tcBorders>
            <w:vAlign w:val="center"/>
            <w:hideMark/>
          </w:tcPr>
          <w:p w14:paraId="041599F5"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-86.55</w:t>
            </w:r>
          </w:p>
        </w:tc>
        <w:tc>
          <w:tcPr>
            <w:tcW w:w="918" w:type="dxa"/>
            <w:tcBorders>
              <w:top w:val="nil"/>
              <w:left w:val="nil"/>
              <w:bottom w:val="single" w:sz="4" w:space="0" w:color="000000"/>
              <w:right w:val="single" w:sz="4" w:space="0" w:color="000000"/>
            </w:tcBorders>
            <w:vAlign w:val="center"/>
            <w:hideMark/>
          </w:tcPr>
          <w:p w14:paraId="4BC010F0"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-77.51</w:t>
            </w:r>
          </w:p>
        </w:tc>
        <w:tc>
          <w:tcPr>
            <w:tcW w:w="811" w:type="dxa"/>
            <w:tcBorders>
              <w:top w:val="nil"/>
              <w:left w:val="nil"/>
              <w:bottom w:val="single" w:sz="4" w:space="0" w:color="000000"/>
              <w:right w:val="single" w:sz="4" w:space="0" w:color="000000"/>
            </w:tcBorders>
            <w:vAlign w:val="center"/>
            <w:hideMark/>
          </w:tcPr>
          <w:p w14:paraId="2256A53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-69.32</w:t>
            </w:r>
          </w:p>
        </w:tc>
        <w:tc>
          <w:tcPr>
            <w:tcW w:w="811" w:type="dxa"/>
            <w:tcBorders>
              <w:top w:val="nil"/>
              <w:left w:val="nil"/>
              <w:bottom w:val="single" w:sz="4" w:space="0" w:color="000000"/>
              <w:right w:val="single" w:sz="4" w:space="0" w:color="000000"/>
            </w:tcBorders>
            <w:vAlign w:val="center"/>
            <w:hideMark/>
          </w:tcPr>
          <w:p w14:paraId="710D53F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33.51</w:t>
            </w:r>
          </w:p>
        </w:tc>
        <w:tc>
          <w:tcPr>
            <w:tcW w:w="812" w:type="dxa"/>
            <w:tcBorders>
              <w:top w:val="nil"/>
              <w:left w:val="nil"/>
              <w:bottom w:val="single" w:sz="4" w:space="0" w:color="000000"/>
              <w:right w:val="single" w:sz="4" w:space="0" w:color="000000"/>
            </w:tcBorders>
            <w:vAlign w:val="center"/>
            <w:hideMark/>
          </w:tcPr>
          <w:p w14:paraId="275B5040"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-11.57</w:t>
            </w:r>
          </w:p>
        </w:tc>
        <w:tc>
          <w:tcPr>
            <w:tcW w:w="812" w:type="dxa"/>
            <w:tcBorders>
              <w:top w:val="nil"/>
              <w:left w:val="nil"/>
              <w:bottom w:val="single" w:sz="4" w:space="0" w:color="000000"/>
              <w:right w:val="single" w:sz="4" w:space="0" w:color="000000"/>
            </w:tcBorders>
            <w:vAlign w:val="center"/>
            <w:hideMark/>
          </w:tcPr>
          <w:p w14:paraId="7522642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42.76</w:t>
            </w:r>
          </w:p>
        </w:tc>
        <w:tc>
          <w:tcPr>
            <w:tcW w:w="812" w:type="dxa"/>
            <w:tcBorders>
              <w:top w:val="nil"/>
              <w:left w:val="nil"/>
              <w:bottom w:val="single" w:sz="4" w:space="0" w:color="000000"/>
              <w:right w:val="single" w:sz="4" w:space="0" w:color="000000"/>
            </w:tcBorders>
            <w:vAlign w:val="center"/>
            <w:hideMark/>
          </w:tcPr>
          <w:p w14:paraId="436992F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2.42</w:t>
            </w:r>
          </w:p>
        </w:tc>
        <w:tc>
          <w:tcPr>
            <w:tcW w:w="812" w:type="dxa"/>
            <w:tcBorders>
              <w:top w:val="nil"/>
              <w:left w:val="nil"/>
              <w:bottom w:val="single" w:sz="4" w:space="0" w:color="000000"/>
              <w:right w:val="single" w:sz="4" w:space="0" w:color="000000"/>
            </w:tcBorders>
            <w:vAlign w:val="center"/>
            <w:hideMark/>
          </w:tcPr>
          <w:p w14:paraId="44373923"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-21.48</w:t>
            </w:r>
          </w:p>
        </w:tc>
        <w:tc>
          <w:tcPr>
            <w:tcW w:w="812" w:type="dxa"/>
            <w:tcBorders>
              <w:top w:val="nil"/>
              <w:left w:val="nil"/>
              <w:bottom w:val="single" w:sz="4" w:space="0" w:color="000000"/>
              <w:right w:val="single" w:sz="4" w:space="0" w:color="000000"/>
            </w:tcBorders>
            <w:vAlign w:val="center"/>
            <w:hideMark/>
          </w:tcPr>
          <w:p w14:paraId="1597CAC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-10.11</w:t>
            </w:r>
          </w:p>
        </w:tc>
        <w:tc>
          <w:tcPr>
            <w:tcW w:w="813" w:type="dxa"/>
            <w:tcBorders>
              <w:top w:val="nil"/>
              <w:left w:val="nil"/>
              <w:bottom w:val="single" w:sz="4" w:space="0" w:color="000000"/>
              <w:right w:val="single" w:sz="4" w:space="0" w:color="000000"/>
            </w:tcBorders>
            <w:vAlign w:val="center"/>
            <w:hideMark/>
          </w:tcPr>
          <w:p w14:paraId="7B4B370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47EFA037"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74BD97D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w:t>
            </w:r>
          </w:p>
        </w:tc>
        <w:tc>
          <w:tcPr>
            <w:tcW w:w="918" w:type="dxa"/>
            <w:tcBorders>
              <w:top w:val="nil"/>
              <w:left w:val="nil"/>
              <w:bottom w:val="single" w:sz="4" w:space="0" w:color="000000"/>
              <w:right w:val="single" w:sz="4" w:space="0" w:color="000000"/>
            </w:tcBorders>
            <w:vAlign w:val="center"/>
            <w:hideMark/>
          </w:tcPr>
          <w:p w14:paraId="287820F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-64.41</w:t>
            </w:r>
          </w:p>
        </w:tc>
        <w:tc>
          <w:tcPr>
            <w:tcW w:w="918" w:type="dxa"/>
            <w:tcBorders>
              <w:top w:val="nil"/>
              <w:left w:val="nil"/>
              <w:bottom w:val="single" w:sz="4" w:space="0" w:color="000000"/>
              <w:right w:val="single" w:sz="4" w:space="0" w:color="000000"/>
            </w:tcBorders>
            <w:vAlign w:val="center"/>
            <w:hideMark/>
          </w:tcPr>
          <w:p w14:paraId="2395DE1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4.45</w:t>
            </w:r>
          </w:p>
        </w:tc>
        <w:tc>
          <w:tcPr>
            <w:tcW w:w="811" w:type="dxa"/>
            <w:tcBorders>
              <w:top w:val="nil"/>
              <w:left w:val="nil"/>
              <w:bottom w:val="single" w:sz="4" w:space="0" w:color="000000"/>
              <w:right w:val="single" w:sz="4" w:space="0" w:color="000000"/>
            </w:tcBorders>
            <w:vAlign w:val="center"/>
            <w:hideMark/>
          </w:tcPr>
          <w:p w14:paraId="4775752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6.81</w:t>
            </w:r>
          </w:p>
        </w:tc>
        <w:tc>
          <w:tcPr>
            <w:tcW w:w="811" w:type="dxa"/>
            <w:tcBorders>
              <w:top w:val="nil"/>
              <w:left w:val="nil"/>
              <w:bottom w:val="single" w:sz="4" w:space="0" w:color="000000"/>
              <w:right w:val="single" w:sz="4" w:space="0" w:color="000000"/>
            </w:tcBorders>
            <w:vAlign w:val="center"/>
            <w:hideMark/>
          </w:tcPr>
          <w:p w14:paraId="001BB1A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-6.85</w:t>
            </w:r>
          </w:p>
        </w:tc>
        <w:tc>
          <w:tcPr>
            <w:tcW w:w="812" w:type="dxa"/>
            <w:tcBorders>
              <w:top w:val="nil"/>
              <w:left w:val="nil"/>
              <w:bottom w:val="single" w:sz="4" w:space="0" w:color="000000"/>
              <w:right w:val="single" w:sz="4" w:space="0" w:color="000000"/>
            </w:tcBorders>
            <w:vAlign w:val="center"/>
            <w:hideMark/>
          </w:tcPr>
          <w:p w14:paraId="417C449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0.82</w:t>
            </w:r>
          </w:p>
        </w:tc>
        <w:tc>
          <w:tcPr>
            <w:tcW w:w="812" w:type="dxa"/>
            <w:tcBorders>
              <w:top w:val="nil"/>
              <w:left w:val="nil"/>
              <w:bottom w:val="single" w:sz="4" w:space="0" w:color="000000"/>
              <w:right w:val="single" w:sz="4" w:space="0" w:color="000000"/>
            </w:tcBorders>
            <w:vAlign w:val="center"/>
            <w:hideMark/>
          </w:tcPr>
          <w:p w14:paraId="5761242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-54.97</w:t>
            </w:r>
          </w:p>
        </w:tc>
        <w:tc>
          <w:tcPr>
            <w:tcW w:w="812" w:type="dxa"/>
            <w:tcBorders>
              <w:top w:val="nil"/>
              <w:left w:val="nil"/>
              <w:bottom w:val="single" w:sz="4" w:space="0" w:color="000000"/>
              <w:right w:val="single" w:sz="4" w:space="0" w:color="000000"/>
            </w:tcBorders>
            <w:vAlign w:val="center"/>
            <w:hideMark/>
          </w:tcPr>
          <w:p w14:paraId="44B51B0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29.64</w:t>
            </w:r>
          </w:p>
        </w:tc>
        <w:tc>
          <w:tcPr>
            <w:tcW w:w="812" w:type="dxa"/>
            <w:tcBorders>
              <w:top w:val="nil"/>
              <w:left w:val="nil"/>
              <w:bottom w:val="single" w:sz="4" w:space="0" w:color="000000"/>
              <w:right w:val="single" w:sz="4" w:space="0" w:color="000000"/>
            </w:tcBorders>
            <w:vAlign w:val="center"/>
            <w:hideMark/>
          </w:tcPr>
          <w:p w14:paraId="72DB999C"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-26.89</w:t>
            </w:r>
          </w:p>
        </w:tc>
        <w:tc>
          <w:tcPr>
            <w:tcW w:w="812" w:type="dxa"/>
            <w:tcBorders>
              <w:top w:val="nil"/>
              <w:left w:val="nil"/>
              <w:bottom w:val="single" w:sz="4" w:space="0" w:color="000000"/>
              <w:right w:val="single" w:sz="4" w:space="0" w:color="000000"/>
            </w:tcBorders>
            <w:vAlign w:val="center"/>
            <w:hideMark/>
          </w:tcPr>
          <w:p w14:paraId="6DA0F85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-5.39</w:t>
            </w:r>
          </w:p>
        </w:tc>
        <w:tc>
          <w:tcPr>
            <w:tcW w:w="813" w:type="dxa"/>
            <w:tcBorders>
              <w:top w:val="nil"/>
              <w:left w:val="nil"/>
              <w:bottom w:val="single" w:sz="4" w:space="0" w:color="000000"/>
              <w:right w:val="single" w:sz="4" w:space="0" w:color="000000"/>
            </w:tcBorders>
            <w:vAlign w:val="center"/>
            <w:hideMark/>
          </w:tcPr>
          <w:p w14:paraId="53643FC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65FDD261"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4EE23F8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w:t>
            </w:r>
          </w:p>
        </w:tc>
        <w:tc>
          <w:tcPr>
            <w:tcW w:w="918" w:type="dxa"/>
            <w:tcBorders>
              <w:top w:val="nil"/>
              <w:left w:val="nil"/>
              <w:bottom w:val="single" w:sz="4" w:space="0" w:color="000000"/>
              <w:right w:val="single" w:sz="4" w:space="0" w:color="000000"/>
            </w:tcBorders>
            <w:vAlign w:val="center"/>
            <w:hideMark/>
          </w:tcPr>
          <w:p w14:paraId="58AC57A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172.03</w:t>
            </w:r>
          </w:p>
        </w:tc>
        <w:tc>
          <w:tcPr>
            <w:tcW w:w="918" w:type="dxa"/>
            <w:tcBorders>
              <w:top w:val="nil"/>
              <w:left w:val="nil"/>
              <w:bottom w:val="single" w:sz="4" w:space="0" w:color="000000"/>
              <w:right w:val="single" w:sz="4" w:space="0" w:color="000000"/>
            </w:tcBorders>
            <w:vAlign w:val="center"/>
            <w:hideMark/>
          </w:tcPr>
          <w:p w14:paraId="66AB057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-99.66</w:t>
            </w:r>
          </w:p>
        </w:tc>
        <w:tc>
          <w:tcPr>
            <w:tcW w:w="811" w:type="dxa"/>
            <w:tcBorders>
              <w:top w:val="nil"/>
              <w:left w:val="nil"/>
              <w:bottom w:val="single" w:sz="4" w:space="0" w:color="000000"/>
              <w:right w:val="single" w:sz="4" w:space="0" w:color="000000"/>
            </w:tcBorders>
            <w:vAlign w:val="center"/>
            <w:hideMark/>
          </w:tcPr>
          <w:p w14:paraId="49FEA79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30.21</w:t>
            </w:r>
          </w:p>
        </w:tc>
        <w:tc>
          <w:tcPr>
            <w:tcW w:w="811" w:type="dxa"/>
            <w:tcBorders>
              <w:top w:val="nil"/>
              <w:left w:val="nil"/>
              <w:bottom w:val="single" w:sz="4" w:space="0" w:color="000000"/>
              <w:right w:val="single" w:sz="4" w:space="0" w:color="000000"/>
            </w:tcBorders>
            <w:vAlign w:val="center"/>
            <w:hideMark/>
          </w:tcPr>
          <w:p w14:paraId="4970062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16.13</w:t>
            </w:r>
          </w:p>
        </w:tc>
        <w:tc>
          <w:tcPr>
            <w:tcW w:w="812" w:type="dxa"/>
            <w:tcBorders>
              <w:top w:val="nil"/>
              <w:left w:val="nil"/>
              <w:bottom w:val="single" w:sz="4" w:space="0" w:color="000000"/>
              <w:right w:val="single" w:sz="4" w:space="0" w:color="000000"/>
            </w:tcBorders>
            <w:vAlign w:val="center"/>
            <w:hideMark/>
          </w:tcPr>
          <w:p w14:paraId="69A8C5C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20.04</w:t>
            </w:r>
          </w:p>
        </w:tc>
        <w:tc>
          <w:tcPr>
            <w:tcW w:w="812" w:type="dxa"/>
            <w:tcBorders>
              <w:top w:val="nil"/>
              <w:left w:val="nil"/>
              <w:bottom w:val="single" w:sz="4" w:space="0" w:color="000000"/>
              <w:right w:val="single" w:sz="4" w:space="0" w:color="000000"/>
            </w:tcBorders>
            <w:vAlign w:val="center"/>
            <w:hideMark/>
          </w:tcPr>
          <w:p w14:paraId="0AB86BAB"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-13.98</w:t>
            </w:r>
          </w:p>
        </w:tc>
        <w:tc>
          <w:tcPr>
            <w:tcW w:w="812" w:type="dxa"/>
            <w:tcBorders>
              <w:top w:val="nil"/>
              <w:left w:val="nil"/>
              <w:bottom w:val="single" w:sz="4" w:space="0" w:color="000000"/>
              <w:right w:val="single" w:sz="4" w:space="0" w:color="000000"/>
            </w:tcBorders>
            <w:vAlign w:val="center"/>
            <w:hideMark/>
          </w:tcPr>
          <w:p w14:paraId="600722B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-37.76</w:t>
            </w:r>
          </w:p>
        </w:tc>
        <w:tc>
          <w:tcPr>
            <w:tcW w:w="812" w:type="dxa"/>
            <w:tcBorders>
              <w:top w:val="nil"/>
              <w:left w:val="nil"/>
              <w:bottom w:val="single" w:sz="4" w:space="0" w:color="000000"/>
              <w:right w:val="single" w:sz="4" w:space="0" w:color="000000"/>
            </w:tcBorders>
            <w:vAlign w:val="center"/>
            <w:hideMark/>
          </w:tcPr>
          <w:p w14:paraId="0CCB84A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-13.43</w:t>
            </w:r>
          </w:p>
        </w:tc>
        <w:tc>
          <w:tcPr>
            <w:tcW w:w="812" w:type="dxa"/>
            <w:tcBorders>
              <w:top w:val="nil"/>
              <w:left w:val="nil"/>
              <w:bottom w:val="single" w:sz="4" w:space="0" w:color="000000"/>
              <w:right w:val="single" w:sz="4" w:space="0" w:color="000000"/>
            </w:tcBorders>
            <w:vAlign w:val="center"/>
            <w:hideMark/>
          </w:tcPr>
          <w:p w14:paraId="76AD8B2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-5.76</w:t>
            </w:r>
          </w:p>
        </w:tc>
        <w:tc>
          <w:tcPr>
            <w:tcW w:w="813" w:type="dxa"/>
            <w:tcBorders>
              <w:top w:val="nil"/>
              <w:left w:val="nil"/>
              <w:bottom w:val="single" w:sz="4" w:space="0" w:color="000000"/>
              <w:right w:val="single" w:sz="4" w:space="0" w:color="000000"/>
            </w:tcBorders>
            <w:vAlign w:val="center"/>
            <w:hideMark/>
          </w:tcPr>
          <w:p w14:paraId="7AC1559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7176A9BA"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557CC08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w:t>
            </w:r>
          </w:p>
        </w:tc>
        <w:tc>
          <w:tcPr>
            <w:tcW w:w="918" w:type="dxa"/>
            <w:tcBorders>
              <w:top w:val="nil"/>
              <w:left w:val="nil"/>
              <w:bottom w:val="single" w:sz="4" w:space="0" w:color="000000"/>
              <w:right w:val="single" w:sz="4" w:space="0" w:color="000000"/>
            </w:tcBorders>
            <w:vAlign w:val="center"/>
            <w:hideMark/>
          </w:tcPr>
          <w:p w14:paraId="2DF40850"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-12.53</w:t>
            </w:r>
          </w:p>
        </w:tc>
        <w:tc>
          <w:tcPr>
            <w:tcW w:w="918" w:type="dxa"/>
            <w:tcBorders>
              <w:top w:val="nil"/>
              <w:left w:val="nil"/>
              <w:bottom w:val="single" w:sz="4" w:space="0" w:color="000000"/>
              <w:right w:val="single" w:sz="4" w:space="0" w:color="000000"/>
            </w:tcBorders>
            <w:vAlign w:val="center"/>
            <w:hideMark/>
          </w:tcPr>
          <w:p w14:paraId="05EFC12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40.54</w:t>
            </w:r>
          </w:p>
        </w:tc>
        <w:tc>
          <w:tcPr>
            <w:tcW w:w="811" w:type="dxa"/>
            <w:tcBorders>
              <w:top w:val="nil"/>
              <w:left w:val="nil"/>
              <w:bottom w:val="single" w:sz="4" w:space="0" w:color="000000"/>
              <w:right w:val="single" w:sz="4" w:space="0" w:color="000000"/>
            </w:tcBorders>
            <w:vAlign w:val="center"/>
            <w:hideMark/>
          </w:tcPr>
          <w:p w14:paraId="59D1B1B5"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97.44</w:t>
            </w:r>
          </w:p>
        </w:tc>
        <w:tc>
          <w:tcPr>
            <w:tcW w:w="811" w:type="dxa"/>
            <w:tcBorders>
              <w:top w:val="nil"/>
              <w:left w:val="nil"/>
              <w:bottom w:val="single" w:sz="4" w:space="0" w:color="000000"/>
              <w:right w:val="single" w:sz="4" w:space="0" w:color="000000"/>
            </w:tcBorders>
            <w:vAlign w:val="center"/>
            <w:hideMark/>
          </w:tcPr>
          <w:p w14:paraId="5C9B63F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66.05</w:t>
            </w:r>
          </w:p>
        </w:tc>
        <w:tc>
          <w:tcPr>
            <w:tcW w:w="812" w:type="dxa"/>
            <w:tcBorders>
              <w:top w:val="nil"/>
              <w:left w:val="nil"/>
              <w:bottom w:val="single" w:sz="4" w:space="0" w:color="000000"/>
              <w:right w:val="single" w:sz="4" w:space="0" w:color="000000"/>
            </w:tcBorders>
            <w:vAlign w:val="center"/>
            <w:hideMark/>
          </w:tcPr>
          <w:p w14:paraId="5056D43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2.67</w:t>
            </w:r>
          </w:p>
        </w:tc>
        <w:tc>
          <w:tcPr>
            <w:tcW w:w="812" w:type="dxa"/>
            <w:tcBorders>
              <w:top w:val="nil"/>
              <w:left w:val="nil"/>
              <w:bottom w:val="single" w:sz="4" w:space="0" w:color="000000"/>
              <w:right w:val="single" w:sz="4" w:space="0" w:color="000000"/>
            </w:tcBorders>
            <w:vAlign w:val="center"/>
            <w:hideMark/>
          </w:tcPr>
          <w:p w14:paraId="2E17575C"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20.11</w:t>
            </w:r>
          </w:p>
        </w:tc>
        <w:tc>
          <w:tcPr>
            <w:tcW w:w="812" w:type="dxa"/>
            <w:tcBorders>
              <w:top w:val="nil"/>
              <w:left w:val="nil"/>
              <w:bottom w:val="single" w:sz="4" w:space="0" w:color="000000"/>
              <w:right w:val="single" w:sz="4" w:space="0" w:color="000000"/>
            </w:tcBorders>
            <w:vAlign w:val="center"/>
            <w:hideMark/>
          </w:tcPr>
          <w:p w14:paraId="507F2C0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19.43</w:t>
            </w:r>
          </w:p>
        </w:tc>
        <w:tc>
          <w:tcPr>
            <w:tcW w:w="812" w:type="dxa"/>
            <w:tcBorders>
              <w:top w:val="nil"/>
              <w:left w:val="nil"/>
              <w:bottom w:val="single" w:sz="4" w:space="0" w:color="000000"/>
              <w:right w:val="single" w:sz="4" w:space="0" w:color="000000"/>
            </w:tcBorders>
            <w:vAlign w:val="center"/>
            <w:hideMark/>
          </w:tcPr>
          <w:p w14:paraId="39C9E170"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5.93</w:t>
            </w:r>
          </w:p>
        </w:tc>
        <w:tc>
          <w:tcPr>
            <w:tcW w:w="812" w:type="dxa"/>
            <w:tcBorders>
              <w:top w:val="nil"/>
              <w:left w:val="nil"/>
              <w:bottom w:val="single" w:sz="4" w:space="0" w:color="000000"/>
              <w:right w:val="single" w:sz="4" w:space="0" w:color="000000"/>
            </w:tcBorders>
            <w:vAlign w:val="center"/>
            <w:hideMark/>
          </w:tcPr>
          <w:p w14:paraId="10DA630D"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6.54</w:t>
            </w:r>
          </w:p>
        </w:tc>
        <w:tc>
          <w:tcPr>
            <w:tcW w:w="813" w:type="dxa"/>
            <w:tcBorders>
              <w:top w:val="nil"/>
              <w:left w:val="nil"/>
              <w:bottom w:val="single" w:sz="4" w:space="0" w:color="000000"/>
              <w:right w:val="single" w:sz="4" w:space="0" w:color="000000"/>
            </w:tcBorders>
            <w:vAlign w:val="center"/>
            <w:hideMark/>
          </w:tcPr>
          <w:p w14:paraId="2516A9A3"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4C6264FC"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705A4AC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w:t>
            </w:r>
          </w:p>
        </w:tc>
        <w:tc>
          <w:tcPr>
            <w:tcW w:w="918" w:type="dxa"/>
            <w:tcBorders>
              <w:top w:val="nil"/>
              <w:left w:val="nil"/>
              <w:bottom w:val="single" w:sz="4" w:space="0" w:color="000000"/>
              <w:right w:val="single" w:sz="4" w:space="0" w:color="000000"/>
            </w:tcBorders>
            <w:vAlign w:val="center"/>
            <w:hideMark/>
          </w:tcPr>
          <w:p w14:paraId="52F3275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-36.69</w:t>
            </w:r>
          </w:p>
        </w:tc>
        <w:tc>
          <w:tcPr>
            <w:tcW w:w="918" w:type="dxa"/>
            <w:tcBorders>
              <w:top w:val="nil"/>
              <w:left w:val="nil"/>
              <w:bottom w:val="single" w:sz="4" w:space="0" w:color="000000"/>
              <w:right w:val="single" w:sz="4" w:space="0" w:color="000000"/>
            </w:tcBorders>
            <w:vAlign w:val="center"/>
            <w:hideMark/>
          </w:tcPr>
          <w:p w14:paraId="5538B18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23.27</w:t>
            </w:r>
          </w:p>
        </w:tc>
        <w:tc>
          <w:tcPr>
            <w:tcW w:w="811" w:type="dxa"/>
            <w:tcBorders>
              <w:top w:val="nil"/>
              <w:left w:val="nil"/>
              <w:bottom w:val="single" w:sz="4" w:space="0" w:color="000000"/>
              <w:right w:val="single" w:sz="4" w:space="0" w:color="000000"/>
            </w:tcBorders>
            <w:vAlign w:val="center"/>
            <w:hideMark/>
          </w:tcPr>
          <w:p w14:paraId="7AFF9D7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-0.67</w:t>
            </w:r>
          </w:p>
        </w:tc>
        <w:tc>
          <w:tcPr>
            <w:tcW w:w="811" w:type="dxa"/>
            <w:tcBorders>
              <w:top w:val="nil"/>
              <w:left w:val="nil"/>
              <w:bottom w:val="single" w:sz="4" w:space="0" w:color="000000"/>
              <w:right w:val="single" w:sz="4" w:space="0" w:color="000000"/>
            </w:tcBorders>
            <w:vAlign w:val="center"/>
            <w:hideMark/>
          </w:tcPr>
          <w:p w14:paraId="3B4825F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-43.59</w:t>
            </w:r>
          </w:p>
        </w:tc>
        <w:tc>
          <w:tcPr>
            <w:tcW w:w="812" w:type="dxa"/>
            <w:tcBorders>
              <w:top w:val="nil"/>
              <w:left w:val="nil"/>
              <w:bottom w:val="single" w:sz="4" w:space="0" w:color="000000"/>
              <w:right w:val="single" w:sz="4" w:space="0" w:color="000000"/>
            </w:tcBorders>
            <w:vAlign w:val="center"/>
            <w:hideMark/>
          </w:tcPr>
          <w:p w14:paraId="59E5187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84.54</w:t>
            </w:r>
          </w:p>
        </w:tc>
        <w:tc>
          <w:tcPr>
            <w:tcW w:w="812" w:type="dxa"/>
            <w:tcBorders>
              <w:top w:val="nil"/>
              <w:left w:val="nil"/>
              <w:bottom w:val="single" w:sz="4" w:space="0" w:color="000000"/>
              <w:right w:val="single" w:sz="4" w:space="0" w:color="000000"/>
            </w:tcBorders>
            <w:vAlign w:val="center"/>
            <w:hideMark/>
          </w:tcPr>
          <w:p w14:paraId="44E8A61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17.03</w:t>
            </w:r>
          </w:p>
        </w:tc>
        <w:tc>
          <w:tcPr>
            <w:tcW w:w="812" w:type="dxa"/>
            <w:tcBorders>
              <w:top w:val="nil"/>
              <w:left w:val="nil"/>
              <w:bottom w:val="single" w:sz="4" w:space="0" w:color="000000"/>
              <w:right w:val="single" w:sz="4" w:space="0" w:color="000000"/>
            </w:tcBorders>
            <w:vAlign w:val="center"/>
            <w:hideMark/>
          </w:tcPr>
          <w:p w14:paraId="2C386273"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7.10</w:t>
            </w:r>
          </w:p>
        </w:tc>
        <w:tc>
          <w:tcPr>
            <w:tcW w:w="812" w:type="dxa"/>
            <w:tcBorders>
              <w:top w:val="nil"/>
              <w:left w:val="nil"/>
              <w:bottom w:val="single" w:sz="4" w:space="0" w:color="000000"/>
              <w:right w:val="single" w:sz="4" w:space="0" w:color="000000"/>
            </w:tcBorders>
            <w:vAlign w:val="center"/>
            <w:hideMark/>
          </w:tcPr>
          <w:p w14:paraId="0A25A20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9.41</w:t>
            </w:r>
          </w:p>
        </w:tc>
        <w:tc>
          <w:tcPr>
            <w:tcW w:w="812" w:type="dxa"/>
            <w:tcBorders>
              <w:top w:val="nil"/>
              <w:left w:val="nil"/>
              <w:bottom w:val="single" w:sz="4" w:space="0" w:color="000000"/>
              <w:right w:val="single" w:sz="4" w:space="0" w:color="000000"/>
            </w:tcBorders>
            <w:vAlign w:val="center"/>
            <w:hideMark/>
          </w:tcPr>
          <w:p w14:paraId="60C6C97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-8.98</w:t>
            </w:r>
          </w:p>
        </w:tc>
        <w:tc>
          <w:tcPr>
            <w:tcW w:w="813" w:type="dxa"/>
            <w:tcBorders>
              <w:top w:val="nil"/>
              <w:left w:val="nil"/>
              <w:bottom w:val="single" w:sz="4" w:space="0" w:color="000000"/>
              <w:right w:val="single" w:sz="4" w:space="0" w:color="000000"/>
            </w:tcBorders>
            <w:vAlign w:val="center"/>
            <w:hideMark/>
          </w:tcPr>
          <w:p w14:paraId="452C37B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16C1BE78"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75C8FAE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w:t>
            </w:r>
          </w:p>
        </w:tc>
        <w:tc>
          <w:tcPr>
            <w:tcW w:w="918" w:type="dxa"/>
            <w:tcBorders>
              <w:top w:val="nil"/>
              <w:left w:val="nil"/>
              <w:bottom w:val="single" w:sz="4" w:space="0" w:color="000000"/>
              <w:right w:val="single" w:sz="4" w:space="0" w:color="000000"/>
            </w:tcBorders>
            <w:vAlign w:val="center"/>
            <w:hideMark/>
          </w:tcPr>
          <w:p w14:paraId="3A4E443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221.72</w:t>
            </w:r>
          </w:p>
        </w:tc>
        <w:tc>
          <w:tcPr>
            <w:tcW w:w="918" w:type="dxa"/>
            <w:tcBorders>
              <w:top w:val="nil"/>
              <w:left w:val="nil"/>
              <w:bottom w:val="single" w:sz="4" w:space="0" w:color="000000"/>
              <w:right w:val="single" w:sz="4" w:space="0" w:color="000000"/>
            </w:tcBorders>
            <w:vAlign w:val="center"/>
            <w:hideMark/>
          </w:tcPr>
          <w:p w14:paraId="679BB2CB"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61.27</w:t>
            </w:r>
          </w:p>
        </w:tc>
        <w:tc>
          <w:tcPr>
            <w:tcW w:w="811" w:type="dxa"/>
            <w:tcBorders>
              <w:top w:val="nil"/>
              <w:left w:val="nil"/>
              <w:bottom w:val="single" w:sz="4" w:space="0" w:color="000000"/>
              <w:right w:val="single" w:sz="4" w:space="0" w:color="000000"/>
            </w:tcBorders>
            <w:vAlign w:val="center"/>
            <w:hideMark/>
          </w:tcPr>
          <w:p w14:paraId="5B26F42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-54.76</w:t>
            </w:r>
          </w:p>
        </w:tc>
        <w:tc>
          <w:tcPr>
            <w:tcW w:w="811" w:type="dxa"/>
            <w:tcBorders>
              <w:top w:val="nil"/>
              <w:left w:val="nil"/>
              <w:bottom w:val="single" w:sz="4" w:space="0" w:color="000000"/>
              <w:right w:val="single" w:sz="4" w:space="0" w:color="000000"/>
            </w:tcBorders>
            <w:vAlign w:val="center"/>
            <w:hideMark/>
          </w:tcPr>
          <w:p w14:paraId="0071774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-4.98</w:t>
            </w:r>
          </w:p>
        </w:tc>
        <w:tc>
          <w:tcPr>
            <w:tcW w:w="812" w:type="dxa"/>
            <w:tcBorders>
              <w:top w:val="nil"/>
              <w:left w:val="nil"/>
              <w:bottom w:val="single" w:sz="4" w:space="0" w:color="000000"/>
              <w:right w:val="single" w:sz="4" w:space="0" w:color="000000"/>
            </w:tcBorders>
            <w:vAlign w:val="center"/>
            <w:hideMark/>
          </w:tcPr>
          <w:p w14:paraId="1BF9A2FB"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-19.51</w:t>
            </w:r>
          </w:p>
        </w:tc>
        <w:tc>
          <w:tcPr>
            <w:tcW w:w="812" w:type="dxa"/>
            <w:tcBorders>
              <w:top w:val="nil"/>
              <w:left w:val="nil"/>
              <w:bottom w:val="single" w:sz="4" w:space="0" w:color="000000"/>
              <w:right w:val="single" w:sz="4" w:space="0" w:color="000000"/>
            </w:tcBorders>
            <w:vAlign w:val="center"/>
            <w:hideMark/>
          </w:tcPr>
          <w:p w14:paraId="52EE35E6"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5.23</w:t>
            </w:r>
          </w:p>
        </w:tc>
        <w:tc>
          <w:tcPr>
            <w:tcW w:w="812" w:type="dxa"/>
            <w:tcBorders>
              <w:top w:val="nil"/>
              <w:left w:val="nil"/>
              <w:bottom w:val="single" w:sz="4" w:space="0" w:color="000000"/>
              <w:right w:val="single" w:sz="4" w:space="0" w:color="000000"/>
            </w:tcBorders>
            <w:vAlign w:val="center"/>
            <w:hideMark/>
          </w:tcPr>
          <w:p w14:paraId="17969F2C"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29.30</w:t>
            </w:r>
          </w:p>
        </w:tc>
        <w:tc>
          <w:tcPr>
            <w:tcW w:w="812" w:type="dxa"/>
            <w:tcBorders>
              <w:top w:val="nil"/>
              <w:left w:val="nil"/>
              <w:bottom w:val="single" w:sz="4" w:space="0" w:color="000000"/>
              <w:right w:val="single" w:sz="4" w:space="0" w:color="000000"/>
            </w:tcBorders>
            <w:vAlign w:val="center"/>
            <w:hideMark/>
          </w:tcPr>
          <w:p w14:paraId="0865184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10.22</w:t>
            </w:r>
          </w:p>
        </w:tc>
        <w:tc>
          <w:tcPr>
            <w:tcW w:w="812" w:type="dxa"/>
            <w:tcBorders>
              <w:top w:val="nil"/>
              <w:left w:val="nil"/>
              <w:bottom w:val="single" w:sz="4" w:space="0" w:color="000000"/>
              <w:right w:val="single" w:sz="4" w:space="0" w:color="000000"/>
            </w:tcBorders>
            <w:vAlign w:val="center"/>
            <w:hideMark/>
          </w:tcPr>
          <w:p w14:paraId="29612599"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-0.70</w:t>
            </w:r>
          </w:p>
        </w:tc>
        <w:tc>
          <w:tcPr>
            <w:tcW w:w="813" w:type="dxa"/>
            <w:tcBorders>
              <w:top w:val="nil"/>
              <w:left w:val="nil"/>
              <w:bottom w:val="single" w:sz="4" w:space="0" w:color="000000"/>
              <w:right w:val="single" w:sz="4" w:space="0" w:color="000000"/>
            </w:tcBorders>
            <w:vAlign w:val="center"/>
            <w:hideMark/>
          </w:tcPr>
          <w:p w14:paraId="0EEC353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3CF49268"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21B4CC60"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7</w:t>
            </w:r>
          </w:p>
        </w:tc>
        <w:tc>
          <w:tcPr>
            <w:tcW w:w="918" w:type="dxa"/>
            <w:tcBorders>
              <w:top w:val="nil"/>
              <w:left w:val="nil"/>
              <w:bottom w:val="single" w:sz="4" w:space="0" w:color="000000"/>
              <w:right w:val="single" w:sz="4" w:space="0" w:color="000000"/>
            </w:tcBorders>
            <w:vAlign w:val="center"/>
            <w:hideMark/>
          </w:tcPr>
          <w:p w14:paraId="30113CF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-27.84</w:t>
            </w:r>
          </w:p>
        </w:tc>
        <w:tc>
          <w:tcPr>
            <w:tcW w:w="918" w:type="dxa"/>
            <w:tcBorders>
              <w:top w:val="nil"/>
              <w:left w:val="nil"/>
              <w:bottom w:val="single" w:sz="4" w:space="0" w:color="000000"/>
              <w:right w:val="single" w:sz="4" w:space="0" w:color="000000"/>
            </w:tcBorders>
            <w:vAlign w:val="center"/>
            <w:hideMark/>
          </w:tcPr>
          <w:p w14:paraId="205DA601"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-132.48</w:t>
            </w:r>
          </w:p>
        </w:tc>
        <w:tc>
          <w:tcPr>
            <w:tcW w:w="811" w:type="dxa"/>
            <w:tcBorders>
              <w:top w:val="nil"/>
              <w:left w:val="nil"/>
              <w:bottom w:val="single" w:sz="4" w:space="0" w:color="000000"/>
              <w:right w:val="single" w:sz="4" w:space="0" w:color="000000"/>
            </w:tcBorders>
            <w:vAlign w:val="center"/>
            <w:hideMark/>
          </w:tcPr>
          <w:p w14:paraId="43B64403"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10.10</w:t>
            </w:r>
          </w:p>
        </w:tc>
        <w:tc>
          <w:tcPr>
            <w:tcW w:w="811" w:type="dxa"/>
            <w:tcBorders>
              <w:top w:val="nil"/>
              <w:left w:val="nil"/>
              <w:bottom w:val="single" w:sz="4" w:space="0" w:color="000000"/>
              <w:right w:val="single" w:sz="4" w:space="0" w:color="000000"/>
            </w:tcBorders>
            <w:vAlign w:val="center"/>
            <w:hideMark/>
          </w:tcPr>
          <w:p w14:paraId="425C042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-45.40</w:t>
            </w:r>
          </w:p>
        </w:tc>
        <w:tc>
          <w:tcPr>
            <w:tcW w:w="812" w:type="dxa"/>
            <w:tcBorders>
              <w:top w:val="nil"/>
              <w:left w:val="nil"/>
              <w:bottom w:val="single" w:sz="4" w:space="0" w:color="000000"/>
              <w:right w:val="single" w:sz="4" w:space="0" w:color="000000"/>
            </w:tcBorders>
            <w:vAlign w:val="center"/>
            <w:hideMark/>
          </w:tcPr>
          <w:p w14:paraId="5F18169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-16.32</w:t>
            </w:r>
          </w:p>
        </w:tc>
        <w:tc>
          <w:tcPr>
            <w:tcW w:w="812" w:type="dxa"/>
            <w:tcBorders>
              <w:top w:val="nil"/>
              <w:left w:val="nil"/>
              <w:bottom w:val="single" w:sz="4" w:space="0" w:color="000000"/>
              <w:right w:val="single" w:sz="4" w:space="0" w:color="000000"/>
            </w:tcBorders>
            <w:vAlign w:val="center"/>
            <w:hideMark/>
          </w:tcPr>
          <w:p w14:paraId="3A26C70A"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6.11</w:t>
            </w:r>
          </w:p>
        </w:tc>
        <w:tc>
          <w:tcPr>
            <w:tcW w:w="812" w:type="dxa"/>
            <w:tcBorders>
              <w:top w:val="nil"/>
              <w:left w:val="nil"/>
              <w:bottom w:val="single" w:sz="4" w:space="0" w:color="000000"/>
              <w:right w:val="single" w:sz="4" w:space="0" w:color="000000"/>
            </w:tcBorders>
            <w:vAlign w:val="center"/>
            <w:hideMark/>
          </w:tcPr>
          <w:p w14:paraId="7CAEA8F7"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5.74</w:t>
            </w:r>
          </w:p>
        </w:tc>
        <w:tc>
          <w:tcPr>
            <w:tcW w:w="812" w:type="dxa"/>
            <w:tcBorders>
              <w:top w:val="nil"/>
              <w:left w:val="nil"/>
              <w:bottom w:val="single" w:sz="4" w:space="0" w:color="000000"/>
              <w:right w:val="single" w:sz="4" w:space="0" w:color="000000"/>
            </w:tcBorders>
            <w:vAlign w:val="center"/>
            <w:hideMark/>
          </w:tcPr>
          <w:p w14:paraId="5394FFD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5.15</w:t>
            </w:r>
          </w:p>
        </w:tc>
        <w:tc>
          <w:tcPr>
            <w:tcW w:w="812" w:type="dxa"/>
            <w:tcBorders>
              <w:top w:val="nil"/>
              <w:left w:val="nil"/>
              <w:bottom w:val="single" w:sz="4" w:space="0" w:color="000000"/>
              <w:right w:val="single" w:sz="4" w:space="0" w:color="000000"/>
            </w:tcBorders>
            <w:vAlign w:val="center"/>
            <w:hideMark/>
          </w:tcPr>
          <w:p w14:paraId="1628D67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33.23</w:t>
            </w:r>
          </w:p>
        </w:tc>
        <w:tc>
          <w:tcPr>
            <w:tcW w:w="813" w:type="dxa"/>
            <w:tcBorders>
              <w:top w:val="nil"/>
              <w:left w:val="nil"/>
              <w:bottom w:val="single" w:sz="4" w:space="0" w:color="000000"/>
              <w:right w:val="single" w:sz="4" w:space="0" w:color="000000"/>
            </w:tcBorders>
            <w:vAlign w:val="center"/>
            <w:hideMark/>
          </w:tcPr>
          <w:p w14:paraId="37B885DF"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r w:rsidR="00695EF5" w:rsidRPr="00695EF5" w14:paraId="36F01502" w14:textId="77777777" w:rsidTr="00695EF5">
        <w:trPr>
          <w:trHeight w:val="431"/>
        </w:trPr>
        <w:tc>
          <w:tcPr>
            <w:tcW w:w="811" w:type="dxa"/>
            <w:tcBorders>
              <w:top w:val="nil"/>
              <w:left w:val="single" w:sz="4" w:space="0" w:color="000000"/>
              <w:bottom w:val="single" w:sz="4" w:space="0" w:color="000000"/>
              <w:right w:val="single" w:sz="4" w:space="0" w:color="000000"/>
            </w:tcBorders>
            <w:vAlign w:val="center"/>
            <w:hideMark/>
          </w:tcPr>
          <w:p w14:paraId="0DA163D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8</w:t>
            </w:r>
          </w:p>
        </w:tc>
        <w:tc>
          <w:tcPr>
            <w:tcW w:w="918" w:type="dxa"/>
            <w:tcBorders>
              <w:top w:val="nil"/>
              <w:left w:val="nil"/>
              <w:bottom w:val="single" w:sz="4" w:space="0" w:color="000000"/>
              <w:right w:val="single" w:sz="4" w:space="0" w:color="000000"/>
            </w:tcBorders>
            <w:vAlign w:val="center"/>
            <w:hideMark/>
          </w:tcPr>
          <w:p w14:paraId="037F201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-63.98</w:t>
            </w:r>
          </w:p>
        </w:tc>
        <w:tc>
          <w:tcPr>
            <w:tcW w:w="918" w:type="dxa"/>
            <w:tcBorders>
              <w:top w:val="nil"/>
              <w:left w:val="nil"/>
              <w:bottom w:val="single" w:sz="4" w:space="0" w:color="000000"/>
              <w:right w:val="single" w:sz="4" w:space="0" w:color="000000"/>
            </w:tcBorders>
            <w:vAlign w:val="center"/>
            <w:hideMark/>
          </w:tcPr>
          <w:p w14:paraId="3EFE0F8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-49.67</w:t>
            </w:r>
          </w:p>
        </w:tc>
        <w:tc>
          <w:tcPr>
            <w:tcW w:w="811" w:type="dxa"/>
            <w:tcBorders>
              <w:top w:val="nil"/>
              <w:left w:val="nil"/>
              <w:bottom w:val="single" w:sz="4" w:space="0" w:color="000000"/>
              <w:right w:val="single" w:sz="4" w:space="0" w:color="000000"/>
            </w:tcBorders>
            <w:vAlign w:val="center"/>
            <w:hideMark/>
          </w:tcPr>
          <w:p w14:paraId="33A6A8B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27.02</w:t>
            </w:r>
          </w:p>
        </w:tc>
        <w:tc>
          <w:tcPr>
            <w:tcW w:w="811" w:type="dxa"/>
            <w:tcBorders>
              <w:top w:val="nil"/>
              <w:left w:val="nil"/>
              <w:bottom w:val="single" w:sz="4" w:space="0" w:color="000000"/>
              <w:right w:val="single" w:sz="4" w:space="0" w:color="000000"/>
            </w:tcBorders>
            <w:vAlign w:val="center"/>
            <w:hideMark/>
          </w:tcPr>
          <w:p w14:paraId="1BA2C222"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-23.77</w:t>
            </w:r>
          </w:p>
        </w:tc>
        <w:tc>
          <w:tcPr>
            <w:tcW w:w="812" w:type="dxa"/>
            <w:tcBorders>
              <w:top w:val="nil"/>
              <w:left w:val="nil"/>
              <w:bottom w:val="single" w:sz="4" w:space="0" w:color="000000"/>
              <w:right w:val="single" w:sz="4" w:space="0" w:color="000000"/>
            </w:tcBorders>
            <w:vAlign w:val="center"/>
            <w:hideMark/>
          </w:tcPr>
          <w:p w14:paraId="4DFE436E"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-45.58</w:t>
            </w:r>
          </w:p>
        </w:tc>
        <w:tc>
          <w:tcPr>
            <w:tcW w:w="812" w:type="dxa"/>
            <w:tcBorders>
              <w:top w:val="nil"/>
              <w:left w:val="nil"/>
              <w:bottom w:val="single" w:sz="4" w:space="0" w:color="000000"/>
              <w:right w:val="single" w:sz="4" w:space="0" w:color="000000"/>
            </w:tcBorders>
            <w:vAlign w:val="center"/>
            <w:hideMark/>
          </w:tcPr>
          <w:p w14:paraId="2E6DABD4"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-7.15</w:t>
            </w:r>
          </w:p>
        </w:tc>
        <w:tc>
          <w:tcPr>
            <w:tcW w:w="812" w:type="dxa"/>
            <w:tcBorders>
              <w:top w:val="nil"/>
              <w:left w:val="nil"/>
              <w:bottom w:val="single" w:sz="4" w:space="0" w:color="000000"/>
              <w:right w:val="single" w:sz="4" w:space="0" w:color="000000"/>
            </w:tcBorders>
            <w:vAlign w:val="center"/>
            <w:hideMark/>
          </w:tcPr>
          <w:p w14:paraId="4065A7D3"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-6.42</w:t>
            </w:r>
          </w:p>
        </w:tc>
        <w:tc>
          <w:tcPr>
            <w:tcW w:w="812" w:type="dxa"/>
            <w:tcBorders>
              <w:top w:val="nil"/>
              <w:left w:val="nil"/>
              <w:bottom w:val="single" w:sz="4" w:space="0" w:color="000000"/>
              <w:right w:val="single" w:sz="4" w:space="0" w:color="000000"/>
            </w:tcBorders>
            <w:vAlign w:val="center"/>
            <w:hideMark/>
          </w:tcPr>
          <w:p w14:paraId="16E43241"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27.04</w:t>
            </w:r>
          </w:p>
        </w:tc>
        <w:tc>
          <w:tcPr>
            <w:tcW w:w="812" w:type="dxa"/>
            <w:tcBorders>
              <w:top w:val="nil"/>
              <w:left w:val="nil"/>
              <w:bottom w:val="single" w:sz="4" w:space="0" w:color="000000"/>
              <w:right w:val="single" w:sz="4" w:space="0" w:color="000000"/>
            </w:tcBorders>
            <w:vAlign w:val="center"/>
            <w:hideMark/>
          </w:tcPr>
          <w:p w14:paraId="4B68B0F8"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-27.64</w:t>
            </w:r>
          </w:p>
        </w:tc>
        <w:tc>
          <w:tcPr>
            <w:tcW w:w="813" w:type="dxa"/>
            <w:tcBorders>
              <w:top w:val="nil"/>
              <w:left w:val="nil"/>
              <w:bottom w:val="single" w:sz="4" w:space="0" w:color="000000"/>
              <w:right w:val="single" w:sz="4" w:space="0" w:color="000000"/>
            </w:tcBorders>
            <w:vAlign w:val="center"/>
            <w:hideMark/>
          </w:tcPr>
          <w:p w14:paraId="0A59ED45" w14:textId="77777777" w:rsidR="00695EF5" w:rsidRPr="00B25D7A" w:rsidRDefault="00695EF5" w:rsidP="00695EF5">
            <w:pPr>
              <w:spacing w:after="0" w:line="240" w:lineRule="auto"/>
              <w:jc w:val="right"/>
              <w:rPr>
                <w:rFonts w:ascii="Segoe UI" w:eastAsia="Times New Roman" w:hAnsi="Segoe UI" w:cs="Segoe UI"/>
                <w:kern w:val="0"/>
                <w:sz w:val="20"/>
                <w:szCs w:val="20"/>
                <w14:ligatures w14:val="none"/>
              </w:rPr>
            </w:pPr>
            <w:r w:rsidRPr="00B25D7A">
              <w:rPr>
                <w:rFonts w:ascii="Segoe UI" w:eastAsia="Times New Roman" w:hAnsi="Segoe UI" w:cs="Segoe UI"/>
                <w:kern w:val="0"/>
                <w:sz w:val="20"/>
                <w:szCs w:val="20"/>
                <w14:ligatures w14:val="none"/>
              </w:rPr>
              <w:t>0.00</w:t>
            </w:r>
          </w:p>
        </w:tc>
      </w:tr>
    </w:tbl>
    <w:p w14:paraId="75B817E1" w14:textId="01F98991" w:rsidR="001679FD" w:rsidRDefault="001679FD" w:rsidP="00ED707C">
      <w:pPr>
        <w:rPr>
          <w:sz w:val="22"/>
          <w:szCs w:val="22"/>
        </w:rPr>
      </w:pPr>
      <w:r>
        <w:rPr>
          <w:sz w:val="22"/>
          <w:szCs w:val="22"/>
        </w:rPr>
        <w:t>Table 2: Individual weight score for each PC for SSM</w:t>
      </w:r>
    </w:p>
    <w:p w14:paraId="618DF65C" w14:textId="7FF46FC4" w:rsidR="00F73E5D" w:rsidRDefault="00F73E5D" w:rsidP="00F73E5D">
      <w:pPr>
        <w:ind w:firstLine="720"/>
        <w:rPr>
          <w:sz w:val="22"/>
          <w:szCs w:val="22"/>
        </w:rPr>
      </w:pPr>
      <w:r>
        <w:rPr>
          <w:sz w:val="22"/>
          <w:szCs w:val="22"/>
        </w:rPr>
        <w:t xml:space="preserve">Constructs of the PCs were reviewed to provide </w:t>
      </w:r>
      <w:r w:rsidR="00B838C4">
        <w:rPr>
          <w:sz w:val="22"/>
          <w:szCs w:val="22"/>
        </w:rPr>
        <w:t>clinically</w:t>
      </w:r>
      <w:r>
        <w:rPr>
          <w:sz w:val="22"/>
          <w:szCs w:val="22"/>
        </w:rPr>
        <w:t xml:space="preserve"> relevant interpretations of the data taking into which features within the gait cycle and of the bone shape</w:t>
      </w:r>
      <w:r w:rsidR="002C39E2">
        <w:rPr>
          <w:sz w:val="22"/>
          <w:szCs w:val="22"/>
        </w:rPr>
        <w:t xml:space="preserve"> were included. Specifically for gait, </w:t>
      </w:r>
      <w:r w:rsidR="00287E6D">
        <w:rPr>
          <w:sz w:val="22"/>
          <w:szCs w:val="22"/>
        </w:rPr>
        <w:t xml:space="preserve">features with the most loading in PC1 were during swing phase </w:t>
      </w:r>
      <w:r w:rsidR="002064AA">
        <w:rPr>
          <w:sz w:val="22"/>
          <w:szCs w:val="22"/>
        </w:rPr>
        <w:t xml:space="preserve">in the coronal ankle (Figure 2) and PC2 during the transition between the first and second rocker of the sagittal ankle (Figure 3A) </w:t>
      </w:r>
      <w:r w:rsidR="00B838C4">
        <w:rPr>
          <w:sz w:val="22"/>
          <w:szCs w:val="22"/>
        </w:rPr>
        <w:t xml:space="preserve">and preswing/terminal stance of the sagittal midfoot (Figure 3B). </w:t>
      </w:r>
      <w:r w:rsidR="002C39E2">
        <w:rPr>
          <w:sz w:val="22"/>
          <w:szCs w:val="22"/>
        </w:rPr>
        <w:t xml:space="preserve"> </w:t>
      </w:r>
    </w:p>
    <w:p w14:paraId="26911E9C" w14:textId="55658F59" w:rsidR="008871BC" w:rsidRDefault="00EC13AE" w:rsidP="00ED707C">
      <w:pPr>
        <w:rPr>
          <w:sz w:val="22"/>
          <w:szCs w:val="22"/>
        </w:rPr>
      </w:pPr>
      <w:r w:rsidRPr="008871BC">
        <w:rPr>
          <w:noProof/>
          <w:sz w:val="22"/>
          <w:szCs w:val="22"/>
        </w:rPr>
        <w:drawing>
          <wp:anchor distT="0" distB="0" distL="114300" distR="114300" simplePos="0" relativeHeight="251660288" behindDoc="0" locked="0" layoutInCell="1" allowOverlap="1" wp14:anchorId="118DE898" wp14:editId="4CC93291">
            <wp:simplePos x="0" y="0"/>
            <wp:positionH relativeFrom="margin">
              <wp:align>center</wp:align>
            </wp:positionH>
            <wp:positionV relativeFrom="paragraph">
              <wp:posOffset>8031</wp:posOffset>
            </wp:positionV>
            <wp:extent cx="3082290" cy="2063750"/>
            <wp:effectExtent l="0" t="0" r="3810" b="0"/>
            <wp:wrapSquare wrapText="bothSides"/>
            <wp:docPr id="18" name="Picture 17">
              <a:extLst xmlns:a="http://schemas.openxmlformats.org/drawingml/2006/main">
                <a:ext uri="{FF2B5EF4-FFF2-40B4-BE49-F238E27FC236}">
                  <a16:creationId xmlns:a16="http://schemas.microsoft.com/office/drawing/2014/main" id="{420F00C1-D460-D635-FA31-AFA0970E2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20F00C1-D460-D635-FA31-AFA0970E21D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82290" cy="2063750"/>
                    </a:xfrm>
                    <a:prstGeom prst="rect">
                      <a:avLst/>
                    </a:prstGeom>
                  </pic:spPr>
                </pic:pic>
              </a:graphicData>
            </a:graphic>
            <wp14:sizeRelH relativeFrom="margin">
              <wp14:pctWidth>0</wp14:pctWidth>
            </wp14:sizeRelH>
            <wp14:sizeRelV relativeFrom="margin">
              <wp14:pctHeight>0</wp14:pctHeight>
            </wp14:sizeRelV>
          </wp:anchor>
        </w:drawing>
      </w:r>
    </w:p>
    <w:p w14:paraId="7018107F" w14:textId="77777777" w:rsidR="00EC13AE" w:rsidRDefault="00EC13AE" w:rsidP="00ED707C">
      <w:pPr>
        <w:rPr>
          <w:sz w:val="22"/>
          <w:szCs w:val="22"/>
        </w:rPr>
      </w:pPr>
    </w:p>
    <w:p w14:paraId="68FE28D6" w14:textId="77777777" w:rsidR="00EC13AE" w:rsidRDefault="00EC13AE" w:rsidP="00ED707C">
      <w:pPr>
        <w:rPr>
          <w:sz w:val="22"/>
          <w:szCs w:val="22"/>
        </w:rPr>
      </w:pPr>
    </w:p>
    <w:p w14:paraId="148ADD57" w14:textId="77777777" w:rsidR="00EC13AE" w:rsidRDefault="00EC13AE" w:rsidP="00ED707C">
      <w:pPr>
        <w:rPr>
          <w:sz w:val="22"/>
          <w:szCs w:val="22"/>
        </w:rPr>
      </w:pPr>
    </w:p>
    <w:p w14:paraId="51E9BFCC" w14:textId="77777777" w:rsidR="00EC13AE" w:rsidRDefault="00EC13AE" w:rsidP="00ED707C">
      <w:pPr>
        <w:rPr>
          <w:sz w:val="22"/>
          <w:szCs w:val="22"/>
        </w:rPr>
      </w:pPr>
    </w:p>
    <w:p w14:paraId="4E719CD0" w14:textId="77777777" w:rsidR="00EC13AE" w:rsidRDefault="00EC13AE" w:rsidP="00ED707C">
      <w:pPr>
        <w:rPr>
          <w:sz w:val="22"/>
          <w:szCs w:val="22"/>
        </w:rPr>
      </w:pPr>
    </w:p>
    <w:p w14:paraId="5E48CD50" w14:textId="58B13F96" w:rsidR="00EC13AE" w:rsidRDefault="00755341" w:rsidP="00ED707C">
      <w:pPr>
        <w:rPr>
          <w:sz w:val="22"/>
          <w:szCs w:val="22"/>
        </w:rPr>
      </w:pPr>
      <w:r w:rsidRPr="008871BC">
        <w:rPr>
          <w:noProof/>
          <w:sz w:val="22"/>
          <w:szCs w:val="22"/>
        </w:rPr>
        <w:drawing>
          <wp:anchor distT="0" distB="0" distL="114300" distR="114300" simplePos="0" relativeHeight="251661312" behindDoc="0" locked="0" layoutInCell="1" allowOverlap="1" wp14:anchorId="47755A43" wp14:editId="763EEB62">
            <wp:simplePos x="0" y="0"/>
            <wp:positionH relativeFrom="margin">
              <wp:posOffset>2987675</wp:posOffset>
            </wp:positionH>
            <wp:positionV relativeFrom="paragraph">
              <wp:posOffset>337149</wp:posOffset>
            </wp:positionV>
            <wp:extent cx="2951480" cy="1981835"/>
            <wp:effectExtent l="0" t="0" r="1270" b="0"/>
            <wp:wrapSquare wrapText="bothSides"/>
            <wp:docPr id="20" name="Picture 19">
              <a:extLst xmlns:a="http://schemas.openxmlformats.org/drawingml/2006/main">
                <a:ext uri="{FF2B5EF4-FFF2-40B4-BE49-F238E27FC236}">
                  <a16:creationId xmlns:a16="http://schemas.microsoft.com/office/drawing/2014/main" id="{713DDB17-951D-A6A5-AB00-72277A9B0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713DDB17-951D-A6A5-AB00-72277A9B030D}"/>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1480" cy="1981835"/>
                    </a:xfrm>
                    <a:prstGeom prst="rect">
                      <a:avLst/>
                    </a:prstGeom>
                  </pic:spPr>
                </pic:pic>
              </a:graphicData>
            </a:graphic>
            <wp14:sizeRelH relativeFrom="margin">
              <wp14:pctWidth>0</wp14:pctWidth>
            </wp14:sizeRelH>
            <wp14:sizeRelV relativeFrom="margin">
              <wp14:pctHeight>0</wp14:pctHeight>
            </wp14:sizeRelV>
          </wp:anchor>
        </w:drawing>
      </w:r>
      <w:r w:rsidRPr="008871BC">
        <w:rPr>
          <w:noProof/>
          <w:sz w:val="22"/>
          <w:szCs w:val="22"/>
        </w:rPr>
        <w:drawing>
          <wp:anchor distT="0" distB="0" distL="114300" distR="114300" simplePos="0" relativeHeight="251659264" behindDoc="0" locked="0" layoutInCell="1" allowOverlap="1" wp14:anchorId="6ADB9862" wp14:editId="39665AD4">
            <wp:simplePos x="0" y="0"/>
            <wp:positionH relativeFrom="margin">
              <wp:align>left</wp:align>
            </wp:positionH>
            <wp:positionV relativeFrom="paragraph">
              <wp:posOffset>337820</wp:posOffset>
            </wp:positionV>
            <wp:extent cx="3039110" cy="1972945"/>
            <wp:effectExtent l="0" t="0" r="8890" b="8255"/>
            <wp:wrapSquare wrapText="bothSides"/>
            <wp:docPr id="22" name="Picture 21">
              <a:extLst xmlns:a="http://schemas.openxmlformats.org/drawingml/2006/main">
                <a:ext uri="{FF2B5EF4-FFF2-40B4-BE49-F238E27FC236}">
                  <a16:creationId xmlns:a16="http://schemas.microsoft.com/office/drawing/2014/main" id="{226B7DB3-3457-0D67-2982-145AD5468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26B7DB3-3457-0D67-2982-145AD54682AE}"/>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9110" cy="1972945"/>
                    </a:xfrm>
                    <a:prstGeom prst="rect">
                      <a:avLst/>
                    </a:prstGeom>
                  </pic:spPr>
                </pic:pic>
              </a:graphicData>
            </a:graphic>
            <wp14:sizeRelH relativeFrom="margin">
              <wp14:pctWidth>0</wp14:pctWidth>
            </wp14:sizeRelH>
            <wp14:sizeRelV relativeFrom="margin">
              <wp14:pctHeight>0</wp14:pctHeight>
            </wp14:sizeRelV>
          </wp:anchor>
        </w:drawing>
      </w:r>
    </w:p>
    <w:p w14:paraId="0C289166" w14:textId="35D3417B" w:rsidR="00EC13AE" w:rsidRDefault="00EC13AE" w:rsidP="00ED707C">
      <w:pPr>
        <w:rPr>
          <w:sz w:val="22"/>
          <w:szCs w:val="22"/>
        </w:rPr>
      </w:pPr>
    </w:p>
    <w:p w14:paraId="3C950FB9" w14:textId="41D24EEB" w:rsidR="00B838C4" w:rsidRDefault="00B838C4" w:rsidP="00ED707C">
      <w:pPr>
        <w:rPr>
          <w:sz w:val="22"/>
          <w:szCs w:val="22"/>
        </w:rPr>
      </w:pPr>
      <w:r>
        <w:rPr>
          <w:sz w:val="22"/>
          <w:szCs w:val="22"/>
        </w:rPr>
        <w:t xml:space="preserve">Figure 3. </w:t>
      </w:r>
      <w:r w:rsidR="00EC13AE">
        <w:rPr>
          <w:sz w:val="22"/>
          <w:szCs w:val="22"/>
        </w:rPr>
        <w:t xml:space="preserve">Top gait features in PC1 (A) and PC2 (B, C) highlighted in yellow throughout the gait cycle. </w:t>
      </w:r>
    </w:p>
    <w:p w14:paraId="609D3C51" w14:textId="169297FC" w:rsidR="008871BC" w:rsidRDefault="00654F43" w:rsidP="00ED707C">
      <w:pPr>
        <w:rPr>
          <w:sz w:val="22"/>
          <w:szCs w:val="22"/>
        </w:rPr>
      </w:pPr>
      <w:r>
        <w:rPr>
          <w:sz w:val="22"/>
          <w:szCs w:val="22"/>
        </w:rPr>
        <w:lastRenderedPageBreak/>
        <w:tab/>
        <w:t>For the shape models, PC1 features with the most loadin</w:t>
      </w:r>
      <w:r w:rsidR="007013D4">
        <w:rPr>
          <w:sz w:val="22"/>
          <w:szCs w:val="22"/>
        </w:rPr>
        <w:t xml:space="preserve">g were </w:t>
      </w:r>
      <w:r>
        <w:rPr>
          <w:sz w:val="22"/>
          <w:szCs w:val="22"/>
        </w:rPr>
        <w:t xml:space="preserve">located on the calcaneal </w:t>
      </w:r>
      <w:r w:rsidR="007013D4">
        <w:rPr>
          <w:sz w:val="22"/>
          <w:szCs w:val="22"/>
        </w:rPr>
        <w:t>tuberosity and the talar articular surface, where the calcaneus meets the talus on the subtalar joint. PC2 showed greater feature loading on the upper portion of the posterior</w:t>
      </w:r>
      <w:r w:rsidR="00CD70BB">
        <w:rPr>
          <w:sz w:val="22"/>
          <w:szCs w:val="22"/>
        </w:rPr>
        <w:t xml:space="preserve"> calcaneus</w:t>
      </w:r>
      <w:r w:rsidR="009C109E">
        <w:rPr>
          <w:sz w:val="22"/>
          <w:szCs w:val="22"/>
        </w:rPr>
        <w:t xml:space="preserve"> (Figure 4). </w:t>
      </w:r>
    </w:p>
    <w:p w14:paraId="3DE416BE" w14:textId="66221623" w:rsidR="008871BC" w:rsidRDefault="008871BC" w:rsidP="00ED707C">
      <w:pPr>
        <w:rPr>
          <w:sz w:val="22"/>
          <w:szCs w:val="22"/>
        </w:rPr>
      </w:pPr>
      <w:r w:rsidRPr="008871BC">
        <w:rPr>
          <w:noProof/>
          <w:sz w:val="22"/>
          <w:szCs w:val="22"/>
        </w:rPr>
        <w:drawing>
          <wp:inline distT="0" distB="0" distL="0" distR="0" wp14:anchorId="529A88C6" wp14:editId="68CD1FDA">
            <wp:extent cx="3186746" cy="2341033"/>
            <wp:effectExtent l="0" t="0" r="0" b="2540"/>
            <wp:docPr id="2" name="Picture 1">
              <a:extLst xmlns:a="http://schemas.openxmlformats.org/drawingml/2006/main">
                <a:ext uri="{FF2B5EF4-FFF2-40B4-BE49-F238E27FC236}">
                  <a16:creationId xmlns:a16="http://schemas.microsoft.com/office/drawing/2014/main" id="{30AFAA9D-0184-20AD-2B1B-54A87770B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0AFAA9D-0184-20AD-2B1B-54A87770B554}"/>
                        </a:ext>
                      </a:extLst>
                    </pic:cNvPr>
                    <pic:cNvPicPr>
                      <a:picLocks noChangeAspect="1"/>
                    </pic:cNvPicPr>
                  </pic:nvPicPr>
                  <pic:blipFill>
                    <a:blip r:embed="rId16">
                      <a:extLst>
                        <a:ext uri="{28A0092B-C50C-407E-A947-70E740481C1C}">
                          <a14:useLocalDpi xmlns:a14="http://schemas.microsoft.com/office/drawing/2010/main" val="0"/>
                        </a:ext>
                      </a:extLst>
                    </a:blip>
                    <a:srcRect l="7959" t="14813" r="100" b="8000"/>
                    <a:stretch>
                      <a:fillRect/>
                    </a:stretch>
                  </pic:blipFill>
                  <pic:spPr>
                    <a:xfrm>
                      <a:off x="0" y="0"/>
                      <a:ext cx="3191954" cy="2344859"/>
                    </a:xfrm>
                    <a:prstGeom prst="rect">
                      <a:avLst/>
                    </a:prstGeom>
                  </pic:spPr>
                </pic:pic>
              </a:graphicData>
            </a:graphic>
          </wp:inline>
        </w:drawing>
      </w:r>
    </w:p>
    <w:p w14:paraId="26E7648D" w14:textId="352B475F" w:rsidR="00475D4C" w:rsidRDefault="00475D4C" w:rsidP="00ED707C">
      <w:pPr>
        <w:rPr>
          <w:sz w:val="22"/>
          <w:szCs w:val="22"/>
        </w:rPr>
      </w:pPr>
      <w:r>
        <w:rPr>
          <w:sz w:val="22"/>
          <w:szCs w:val="22"/>
        </w:rPr>
        <w:t xml:space="preserve">Figure 4. </w:t>
      </w:r>
      <w:r w:rsidR="00DE1533">
        <w:rPr>
          <w:sz w:val="22"/>
          <w:szCs w:val="22"/>
        </w:rPr>
        <w:t xml:space="preserve">Difference between shape model PC1 </w:t>
      </w:r>
      <w:r w:rsidR="00E003B8">
        <w:rPr>
          <w:sz w:val="22"/>
          <w:szCs w:val="22"/>
        </w:rPr>
        <w:t xml:space="preserve">(red) and PC2 (blue). </w:t>
      </w:r>
    </w:p>
    <w:p w14:paraId="270A0F2F" w14:textId="0229BD52" w:rsidR="00622759" w:rsidRDefault="00622759" w:rsidP="00622759">
      <w:pPr>
        <w:pStyle w:val="Heading2"/>
      </w:pPr>
      <w:r>
        <w:t xml:space="preserve">Canonical Correlation Analysis (CCA) </w:t>
      </w:r>
    </w:p>
    <w:p w14:paraId="19661D09" w14:textId="25856F15" w:rsidR="00A16623" w:rsidRPr="001279D3" w:rsidRDefault="001279D3" w:rsidP="001279D3">
      <w:r>
        <w:tab/>
      </w:r>
      <w:r w:rsidR="00F62AE6">
        <w:t xml:space="preserve">Using PC1 and PC2 from gait and SSM, canonical </w:t>
      </w:r>
      <w:r w:rsidR="00A9655E">
        <w:t xml:space="preserve">variates (CV) were found to represent the strongest shared biomechanical pattern for this population. </w:t>
      </w:r>
      <w:r w:rsidR="00A16623">
        <w:t>M</w:t>
      </w:r>
      <w:r w:rsidR="00A9655E">
        <w:t>oderate correlatio</w:t>
      </w:r>
      <w:r w:rsidR="00A16623">
        <w:t>ns were</w:t>
      </w:r>
      <w:r w:rsidR="00A9655E">
        <w:t xml:space="preserve"> found for canonical variate 1 (r = 0.567) </w:t>
      </w:r>
      <w:r w:rsidR="00A16623">
        <w:t>and canonical variate 2 (r = 0.438)</w:t>
      </w:r>
      <w:r w:rsidR="00985182">
        <w:t xml:space="preserve"> (Figure 5)</w:t>
      </w:r>
      <w:r w:rsidR="00A16623">
        <w:t xml:space="preserve">. CCA stability was assessed using leave-one-out correlations </w:t>
      </w:r>
      <w:r w:rsidR="0085701E">
        <w:t xml:space="preserve">indicating a mean </w:t>
      </w:r>
      <w:r w:rsidR="00687FCD">
        <w:t xml:space="preserve">Pearson </w:t>
      </w:r>
      <w:r w:rsidR="0085701E">
        <w:t>correlation of 0.</w:t>
      </w:r>
      <w:r w:rsidR="00A40057">
        <w:t xml:space="preserve">6175 </w:t>
      </w:r>
      <w:r w:rsidR="009C0DEE">
        <w:t xml:space="preserve">± </w:t>
      </w:r>
      <w:r w:rsidR="00A40057">
        <w:t>0.12 with a range between 0.5 to 0.96</w:t>
      </w:r>
      <w:r w:rsidR="006B7A7A">
        <w:t xml:space="preserve"> </w:t>
      </w:r>
      <w:r w:rsidR="00CF17E9">
        <w:t xml:space="preserve">for </w:t>
      </w:r>
      <w:r w:rsidR="006B7A7A">
        <w:t xml:space="preserve">subject-specific correlations. </w:t>
      </w:r>
      <w:r w:rsidR="00C03B1F">
        <w:t xml:space="preserve">CCA </w:t>
      </w:r>
      <w:r w:rsidR="001420DD">
        <w:t>weights for gait and shape indicate</w:t>
      </w:r>
      <w:r w:rsidR="00A179A9">
        <w:t xml:space="preserve">d </w:t>
      </w:r>
      <w:r w:rsidR="001420DD">
        <w:t xml:space="preserve">that for CV1, PC2 of both gait </w:t>
      </w:r>
      <w:r w:rsidR="00AD3F58">
        <w:t>(0.96) and shape (0.99) dominate</w:t>
      </w:r>
      <w:r w:rsidR="00A34946">
        <w:t xml:space="preserve"> the CV</w:t>
      </w:r>
      <w:r w:rsidR="00AD3F58">
        <w:t>. For CV1, PC1 of gait (0.96) and shape (-0.99)</w:t>
      </w:r>
      <w:r w:rsidR="00A34946">
        <w:t xml:space="preserve"> are the primary scores included in the CV</w:t>
      </w:r>
      <w:r w:rsidR="00965011">
        <w:t xml:space="preserve">. </w:t>
      </w:r>
    </w:p>
    <w:p w14:paraId="62E7FEB5" w14:textId="3C223206" w:rsidR="00ED707C" w:rsidRDefault="00622759" w:rsidP="00505BC0">
      <w:pPr>
        <w:pStyle w:val="Heading2"/>
      </w:pPr>
      <w:r w:rsidRPr="00622759">
        <w:rPr>
          <w:noProof/>
        </w:rPr>
        <w:lastRenderedPageBreak/>
        <w:drawing>
          <wp:inline distT="0" distB="0" distL="0" distR="0" wp14:anchorId="06E5F603" wp14:editId="4FD0B130">
            <wp:extent cx="5943600" cy="2343785"/>
            <wp:effectExtent l="0" t="0" r="0" b="0"/>
            <wp:docPr id="9" name="Picture 8">
              <a:extLst xmlns:a="http://schemas.openxmlformats.org/drawingml/2006/main">
                <a:ext uri="{FF2B5EF4-FFF2-40B4-BE49-F238E27FC236}">
                  <a16:creationId xmlns:a16="http://schemas.microsoft.com/office/drawing/2014/main" id="{9E3E3CF1-873E-3DB0-602B-46D21B8E0C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E3E3CF1-873E-3DB0-602B-46D21B8E0C29}"/>
                        </a:ext>
                      </a:extLst>
                    </pic:cNvPr>
                    <pic:cNvPicPr>
                      <a:picLocks noChangeAspect="1"/>
                    </pic:cNvPicPr>
                  </pic:nvPicPr>
                  <pic:blipFill>
                    <a:blip r:embed="rId17"/>
                    <a:stretch>
                      <a:fillRect/>
                    </a:stretch>
                  </pic:blipFill>
                  <pic:spPr>
                    <a:xfrm>
                      <a:off x="0" y="0"/>
                      <a:ext cx="5943600" cy="2343785"/>
                    </a:xfrm>
                    <a:prstGeom prst="rect">
                      <a:avLst/>
                    </a:prstGeom>
                  </pic:spPr>
                </pic:pic>
              </a:graphicData>
            </a:graphic>
          </wp:inline>
        </w:drawing>
      </w:r>
    </w:p>
    <w:p w14:paraId="137B0941" w14:textId="5A2F3B23" w:rsidR="00985182" w:rsidRPr="00985182" w:rsidRDefault="00985182" w:rsidP="00985182">
      <w:r>
        <w:t xml:space="preserve">Figure 5. CCA for canonical variate 1 and 2 between gait and SSM. </w:t>
      </w:r>
    </w:p>
    <w:tbl>
      <w:tblPr>
        <w:tblW w:w="5724" w:type="dxa"/>
        <w:tblLook w:val="04A0" w:firstRow="1" w:lastRow="0" w:firstColumn="1" w:lastColumn="0" w:noHBand="0" w:noVBand="1"/>
      </w:tblPr>
      <w:tblGrid>
        <w:gridCol w:w="960"/>
        <w:gridCol w:w="1179"/>
        <w:gridCol w:w="1179"/>
        <w:gridCol w:w="1203"/>
        <w:gridCol w:w="1203"/>
      </w:tblGrid>
      <w:tr w:rsidR="00102AA3" w:rsidRPr="00102AA3" w14:paraId="2BE23F67" w14:textId="77777777" w:rsidTr="00B01DB0">
        <w:trPr>
          <w:trHeight w:val="290"/>
        </w:trPr>
        <w:tc>
          <w:tcPr>
            <w:tcW w:w="960" w:type="dxa"/>
            <w:tcBorders>
              <w:top w:val="nil"/>
              <w:left w:val="nil"/>
              <w:bottom w:val="nil"/>
              <w:right w:val="nil"/>
            </w:tcBorders>
            <w:noWrap/>
            <w:vAlign w:val="bottom"/>
            <w:hideMark/>
          </w:tcPr>
          <w:p w14:paraId="14ADB4DF" w14:textId="77777777" w:rsidR="00102AA3" w:rsidRPr="00102AA3" w:rsidRDefault="00102AA3" w:rsidP="00102AA3">
            <w:pPr>
              <w:spacing w:after="0" w:line="240" w:lineRule="auto"/>
              <w:rPr>
                <w:rFonts w:ascii="Times New Roman" w:eastAsia="Times New Roman" w:hAnsi="Times New Roman" w:cs="Times New Roman"/>
                <w:kern w:val="0"/>
                <w14:ligatures w14:val="none"/>
              </w:rPr>
            </w:pPr>
          </w:p>
        </w:tc>
        <w:tc>
          <w:tcPr>
            <w:tcW w:w="1179" w:type="dxa"/>
            <w:tcBorders>
              <w:top w:val="nil"/>
              <w:left w:val="nil"/>
              <w:bottom w:val="nil"/>
              <w:right w:val="nil"/>
            </w:tcBorders>
            <w:noWrap/>
            <w:vAlign w:val="bottom"/>
            <w:hideMark/>
          </w:tcPr>
          <w:p w14:paraId="67009990" w14:textId="77777777" w:rsidR="00102AA3" w:rsidRPr="00102AA3" w:rsidRDefault="00102AA3" w:rsidP="00102AA3">
            <w:pPr>
              <w:spacing w:after="0" w:line="240" w:lineRule="auto"/>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Gait_CCA1</w:t>
            </w:r>
          </w:p>
        </w:tc>
        <w:tc>
          <w:tcPr>
            <w:tcW w:w="1179" w:type="dxa"/>
            <w:tcBorders>
              <w:top w:val="nil"/>
              <w:left w:val="nil"/>
              <w:bottom w:val="nil"/>
              <w:right w:val="nil"/>
            </w:tcBorders>
            <w:noWrap/>
            <w:vAlign w:val="bottom"/>
            <w:hideMark/>
          </w:tcPr>
          <w:p w14:paraId="1D101F41" w14:textId="77777777" w:rsidR="00102AA3" w:rsidRPr="00102AA3" w:rsidRDefault="00102AA3" w:rsidP="00102AA3">
            <w:pPr>
              <w:spacing w:after="0" w:line="240" w:lineRule="auto"/>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Gait_CCA2</w:t>
            </w:r>
          </w:p>
        </w:tc>
        <w:tc>
          <w:tcPr>
            <w:tcW w:w="1203" w:type="dxa"/>
            <w:tcBorders>
              <w:top w:val="nil"/>
              <w:left w:val="nil"/>
              <w:bottom w:val="nil"/>
              <w:right w:val="nil"/>
            </w:tcBorders>
            <w:noWrap/>
            <w:vAlign w:val="bottom"/>
            <w:hideMark/>
          </w:tcPr>
          <w:p w14:paraId="0E8BB059" w14:textId="77777777" w:rsidR="00102AA3" w:rsidRPr="00102AA3" w:rsidRDefault="00102AA3" w:rsidP="00102AA3">
            <w:pPr>
              <w:spacing w:after="0" w:line="240" w:lineRule="auto"/>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SSM_CCA1</w:t>
            </w:r>
          </w:p>
        </w:tc>
        <w:tc>
          <w:tcPr>
            <w:tcW w:w="1203" w:type="dxa"/>
            <w:tcBorders>
              <w:top w:val="nil"/>
              <w:left w:val="nil"/>
              <w:bottom w:val="nil"/>
              <w:right w:val="nil"/>
            </w:tcBorders>
            <w:noWrap/>
            <w:vAlign w:val="bottom"/>
            <w:hideMark/>
          </w:tcPr>
          <w:p w14:paraId="1FF8EE7F" w14:textId="77777777" w:rsidR="00102AA3" w:rsidRPr="00102AA3" w:rsidRDefault="00102AA3" w:rsidP="00102AA3">
            <w:pPr>
              <w:spacing w:after="0" w:line="240" w:lineRule="auto"/>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SSM_CCA2</w:t>
            </w:r>
          </w:p>
        </w:tc>
      </w:tr>
      <w:tr w:rsidR="00102AA3" w:rsidRPr="00102AA3" w14:paraId="16B48D27" w14:textId="77777777" w:rsidTr="00B01DB0">
        <w:trPr>
          <w:trHeight w:val="290"/>
        </w:trPr>
        <w:tc>
          <w:tcPr>
            <w:tcW w:w="960" w:type="dxa"/>
            <w:tcBorders>
              <w:top w:val="nil"/>
              <w:left w:val="nil"/>
              <w:bottom w:val="nil"/>
              <w:right w:val="nil"/>
            </w:tcBorders>
            <w:noWrap/>
            <w:vAlign w:val="bottom"/>
            <w:hideMark/>
          </w:tcPr>
          <w:p w14:paraId="21A70DEA"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w:t>
            </w:r>
          </w:p>
        </w:tc>
        <w:tc>
          <w:tcPr>
            <w:tcW w:w="1179" w:type="dxa"/>
            <w:tcBorders>
              <w:top w:val="nil"/>
              <w:left w:val="nil"/>
              <w:bottom w:val="nil"/>
              <w:right w:val="nil"/>
            </w:tcBorders>
            <w:noWrap/>
            <w:vAlign w:val="bottom"/>
            <w:hideMark/>
          </w:tcPr>
          <w:p w14:paraId="20CD8607"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0.040458</w:t>
            </w:r>
          </w:p>
        </w:tc>
        <w:tc>
          <w:tcPr>
            <w:tcW w:w="1179" w:type="dxa"/>
            <w:tcBorders>
              <w:top w:val="nil"/>
              <w:left w:val="nil"/>
              <w:bottom w:val="nil"/>
              <w:right w:val="nil"/>
            </w:tcBorders>
            <w:noWrap/>
            <w:vAlign w:val="bottom"/>
            <w:hideMark/>
          </w:tcPr>
          <w:p w14:paraId="079B80FB"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1.697718</w:t>
            </w:r>
          </w:p>
        </w:tc>
        <w:tc>
          <w:tcPr>
            <w:tcW w:w="1203" w:type="dxa"/>
            <w:tcBorders>
              <w:top w:val="nil"/>
              <w:left w:val="nil"/>
              <w:bottom w:val="nil"/>
              <w:right w:val="nil"/>
            </w:tcBorders>
            <w:noWrap/>
            <w:vAlign w:val="bottom"/>
            <w:hideMark/>
          </w:tcPr>
          <w:p w14:paraId="73AFC6C4"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0.489664</w:t>
            </w:r>
          </w:p>
        </w:tc>
        <w:tc>
          <w:tcPr>
            <w:tcW w:w="1203" w:type="dxa"/>
            <w:tcBorders>
              <w:top w:val="nil"/>
              <w:left w:val="nil"/>
              <w:bottom w:val="nil"/>
              <w:right w:val="nil"/>
            </w:tcBorders>
            <w:noWrap/>
            <w:vAlign w:val="bottom"/>
            <w:hideMark/>
          </w:tcPr>
          <w:p w14:paraId="3969462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0.786631</w:t>
            </w:r>
          </w:p>
        </w:tc>
      </w:tr>
      <w:tr w:rsidR="00102AA3" w:rsidRPr="00102AA3" w14:paraId="7321E411" w14:textId="77777777" w:rsidTr="00B01DB0">
        <w:trPr>
          <w:trHeight w:val="290"/>
        </w:trPr>
        <w:tc>
          <w:tcPr>
            <w:tcW w:w="960" w:type="dxa"/>
            <w:tcBorders>
              <w:top w:val="nil"/>
              <w:left w:val="nil"/>
              <w:bottom w:val="nil"/>
              <w:right w:val="nil"/>
            </w:tcBorders>
            <w:noWrap/>
            <w:vAlign w:val="bottom"/>
            <w:hideMark/>
          </w:tcPr>
          <w:p w14:paraId="2797BBE1"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w:t>
            </w:r>
          </w:p>
        </w:tc>
        <w:tc>
          <w:tcPr>
            <w:tcW w:w="1179" w:type="dxa"/>
            <w:tcBorders>
              <w:top w:val="nil"/>
              <w:left w:val="nil"/>
              <w:bottom w:val="nil"/>
              <w:right w:val="nil"/>
            </w:tcBorders>
            <w:noWrap/>
            <w:vAlign w:val="bottom"/>
            <w:hideMark/>
          </w:tcPr>
          <w:p w14:paraId="030F6EC0"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-0.38458</w:t>
            </w:r>
          </w:p>
        </w:tc>
        <w:tc>
          <w:tcPr>
            <w:tcW w:w="1179" w:type="dxa"/>
            <w:tcBorders>
              <w:top w:val="nil"/>
              <w:left w:val="nil"/>
              <w:bottom w:val="nil"/>
              <w:right w:val="nil"/>
            </w:tcBorders>
            <w:noWrap/>
            <w:vAlign w:val="bottom"/>
            <w:hideMark/>
          </w:tcPr>
          <w:p w14:paraId="02185E39"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0.202352</w:t>
            </w:r>
          </w:p>
        </w:tc>
        <w:tc>
          <w:tcPr>
            <w:tcW w:w="1203" w:type="dxa"/>
            <w:tcBorders>
              <w:top w:val="nil"/>
              <w:left w:val="nil"/>
              <w:bottom w:val="nil"/>
              <w:right w:val="nil"/>
            </w:tcBorders>
            <w:noWrap/>
            <w:vAlign w:val="bottom"/>
            <w:hideMark/>
          </w:tcPr>
          <w:p w14:paraId="7BE35319"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-0.93073</w:t>
            </w:r>
          </w:p>
        </w:tc>
        <w:tc>
          <w:tcPr>
            <w:tcW w:w="1203" w:type="dxa"/>
            <w:tcBorders>
              <w:top w:val="nil"/>
              <w:left w:val="nil"/>
              <w:bottom w:val="nil"/>
              <w:right w:val="nil"/>
            </w:tcBorders>
            <w:noWrap/>
            <w:vAlign w:val="bottom"/>
            <w:hideMark/>
          </w:tcPr>
          <w:p w14:paraId="5AF7E53B"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0.705265</w:t>
            </w:r>
          </w:p>
        </w:tc>
      </w:tr>
      <w:tr w:rsidR="00102AA3" w:rsidRPr="00102AA3" w14:paraId="62D903BA" w14:textId="77777777" w:rsidTr="00B01DB0">
        <w:trPr>
          <w:trHeight w:val="290"/>
        </w:trPr>
        <w:tc>
          <w:tcPr>
            <w:tcW w:w="960" w:type="dxa"/>
            <w:tcBorders>
              <w:top w:val="nil"/>
              <w:left w:val="nil"/>
              <w:bottom w:val="nil"/>
              <w:right w:val="nil"/>
            </w:tcBorders>
            <w:noWrap/>
            <w:vAlign w:val="bottom"/>
            <w:hideMark/>
          </w:tcPr>
          <w:p w14:paraId="763765FF"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2</w:t>
            </w:r>
          </w:p>
        </w:tc>
        <w:tc>
          <w:tcPr>
            <w:tcW w:w="1179" w:type="dxa"/>
            <w:tcBorders>
              <w:top w:val="nil"/>
              <w:left w:val="nil"/>
              <w:bottom w:val="nil"/>
              <w:right w:val="nil"/>
            </w:tcBorders>
            <w:noWrap/>
            <w:vAlign w:val="bottom"/>
            <w:hideMark/>
          </w:tcPr>
          <w:p w14:paraId="4650D15C"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-1.9479</w:t>
            </w:r>
          </w:p>
        </w:tc>
        <w:tc>
          <w:tcPr>
            <w:tcW w:w="1179" w:type="dxa"/>
            <w:tcBorders>
              <w:top w:val="nil"/>
              <w:left w:val="nil"/>
              <w:bottom w:val="nil"/>
              <w:right w:val="nil"/>
            </w:tcBorders>
            <w:noWrap/>
            <w:vAlign w:val="bottom"/>
            <w:hideMark/>
          </w:tcPr>
          <w:p w14:paraId="257C9BA7"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-0.952351</w:t>
            </w:r>
          </w:p>
        </w:tc>
        <w:tc>
          <w:tcPr>
            <w:tcW w:w="1203" w:type="dxa"/>
            <w:tcBorders>
              <w:top w:val="nil"/>
              <w:left w:val="nil"/>
              <w:bottom w:val="nil"/>
              <w:right w:val="nil"/>
            </w:tcBorders>
            <w:noWrap/>
            <w:vAlign w:val="bottom"/>
            <w:hideMark/>
          </w:tcPr>
          <w:p w14:paraId="386C185B"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-0.02096</w:t>
            </w:r>
          </w:p>
        </w:tc>
        <w:tc>
          <w:tcPr>
            <w:tcW w:w="1203" w:type="dxa"/>
            <w:tcBorders>
              <w:top w:val="nil"/>
              <w:left w:val="nil"/>
              <w:bottom w:val="nil"/>
              <w:right w:val="nil"/>
            </w:tcBorders>
            <w:noWrap/>
            <w:vAlign w:val="bottom"/>
            <w:hideMark/>
          </w:tcPr>
          <w:p w14:paraId="25EF27DD"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0.602555</w:t>
            </w:r>
          </w:p>
        </w:tc>
      </w:tr>
      <w:tr w:rsidR="00102AA3" w:rsidRPr="00102AA3" w14:paraId="0C3AF5A8" w14:textId="77777777" w:rsidTr="00B01DB0">
        <w:trPr>
          <w:trHeight w:val="290"/>
        </w:trPr>
        <w:tc>
          <w:tcPr>
            <w:tcW w:w="960" w:type="dxa"/>
            <w:tcBorders>
              <w:top w:val="nil"/>
              <w:left w:val="nil"/>
              <w:bottom w:val="nil"/>
              <w:right w:val="nil"/>
            </w:tcBorders>
            <w:noWrap/>
            <w:vAlign w:val="bottom"/>
            <w:hideMark/>
          </w:tcPr>
          <w:p w14:paraId="3A70EA7C"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3</w:t>
            </w:r>
          </w:p>
        </w:tc>
        <w:tc>
          <w:tcPr>
            <w:tcW w:w="1179" w:type="dxa"/>
            <w:tcBorders>
              <w:top w:val="nil"/>
              <w:left w:val="nil"/>
              <w:bottom w:val="nil"/>
              <w:right w:val="nil"/>
            </w:tcBorders>
            <w:noWrap/>
            <w:vAlign w:val="bottom"/>
            <w:hideMark/>
          </w:tcPr>
          <w:p w14:paraId="18E070D0"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-0.39017</w:t>
            </w:r>
          </w:p>
        </w:tc>
        <w:tc>
          <w:tcPr>
            <w:tcW w:w="1179" w:type="dxa"/>
            <w:tcBorders>
              <w:top w:val="nil"/>
              <w:left w:val="nil"/>
              <w:bottom w:val="nil"/>
              <w:right w:val="nil"/>
            </w:tcBorders>
            <w:noWrap/>
            <w:vAlign w:val="bottom"/>
            <w:hideMark/>
          </w:tcPr>
          <w:p w14:paraId="7554A64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-0.984385</w:t>
            </w:r>
          </w:p>
        </w:tc>
        <w:tc>
          <w:tcPr>
            <w:tcW w:w="1203" w:type="dxa"/>
            <w:tcBorders>
              <w:top w:val="nil"/>
              <w:left w:val="nil"/>
              <w:bottom w:val="nil"/>
              <w:right w:val="nil"/>
            </w:tcBorders>
            <w:noWrap/>
            <w:vAlign w:val="bottom"/>
            <w:hideMark/>
          </w:tcPr>
          <w:p w14:paraId="4B7B5C37"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-0.89311</w:t>
            </w:r>
          </w:p>
        </w:tc>
        <w:tc>
          <w:tcPr>
            <w:tcW w:w="1203" w:type="dxa"/>
            <w:tcBorders>
              <w:top w:val="nil"/>
              <w:left w:val="nil"/>
              <w:bottom w:val="nil"/>
              <w:right w:val="nil"/>
            </w:tcBorders>
            <w:noWrap/>
            <w:vAlign w:val="bottom"/>
            <w:hideMark/>
          </w:tcPr>
          <w:p w14:paraId="568D77D4"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-1.71904</w:t>
            </w:r>
          </w:p>
        </w:tc>
      </w:tr>
      <w:tr w:rsidR="00102AA3" w:rsidRPr="00102AA3" w14:paraId="406DB7F0" w14:textId="77777777" w:rsidTr="00B01DB0">
        <w:trPr>
          <w:trHeight w:val="290"/>
        </w:trPr>
        <w:tc>
          <w:tcPr>
            <w:tcW w:w="960" w:type="dxa"/>
            <w:tcBorders>
              <w:top w:val="nil"/>
              <w:left w:val="nil"/>
              <w:bottom w:val="nil"/>
              <w:right w:val="nil"/>
            </w:tcBorders>
            <w:noWrap/>
            <w:vAlign w:val="bottom"/>
            <w:hideMark/>
          </w:tcPr>
          <w:p w14:paraId="4CEEE840"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4</w:t>
            </w:r>
          </w:p>
        </w:tc>
        <w:tc>
          <w:tcPr>
            <w:tcW w:w="1179" w:type="dxa"/>
            <w:tcBorders>
              <w:top w:val="nil"/>
              <w:left w:val="nil"/>
              <w:bottom w:val="nil"/>
              <w:right w:val="nil"/>
            </w:tcBorders>
            <w:noWrap/>
            <w:vAlign w:val="bottom"/>
            <w:hideMark/>
          </w:tcPr>
          <w:p w14:paraId="0450BE4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1.567717</w:t>
            </w:r>
          </w:p>
        </w:tc>
        <w:tc>
          <w:tcPr>
            <w:tcW w:w="1179" w:type="dxa"/>
            <w:tcBorders>
              <w:top w:val="nil"/>
              <w:left w:val="nil"/>
              <w:bottom w:val="nil"/>
              <w:right w:val="nil"/>
            </w:tcBorders>
            <w:noWrap/>
            <w:vAlign w:val="bottom"/>
            <w:hideMark/>
          </w:tcPr>
          <w:p w14:paraId="289FD01B"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-1.292282</w:t>
            </w:r>
          </w:p>
        </w:tc>
        <w:tc>
          <w:tcPr>
            <w:tcW w:w="1203" w:type="dxa"/>
            <w:tcBorders>
              <w:top w:val="nil"/>
              <w:left w:val="nil"/>
              <w:bottom w:val="nil"/>
              <w:right w:val="nil"/>
            </w:tcBorders>
            <w:noWrap/>
            <w:vAlign w:val="bottom"/>
            <w:hideMark/>
          </w:tcPr>
          <w:p w14:paraId="15FF6564"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0.424877</w:t>
            </w:r>
          </w:p>
        </w:tc>
        <w:tc>
          <w:tcPr>
            <w:tcW w:w="1203" w:type="dxa"/>
            <w:tcBorders>
              <w:top w:val="nil"/>
              <w:left w:val="nil"/>
              <w:bottom w:val="nil"/>
              <w:right w:val="nil"/>
            </w:tcBorders>
            <w:noWrap/>
            <w:vAlign w:val="bottom"/>
            <w:hideMark/>
          </w:tcPr>
          <w:p w14:paraId="01E16F0B"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0.166822</w:t>
            </w:r>
          </w:p>
        </w:tc>
      </w:tr>
      <w:tr w:rsidR="00102AA3" w:rsidRPr="00102AA3" w14:paraId="1BD14DFA" w14:textId="77777777" w:rsidTr="00B01DB0">
        <w:trPr>
          <w:trHeight w:val="290"/>
        </w:trPr>
        <w:tc>
          <w:tcPr>
            <w:tcW w:w="960" w:type="dxa"/>
            <w:tcBorders>
              <w:top w:val="nil"/>
              <w:left w:val="nil"/>
              <w:bottom w:val="nil"/>
              <w:right w:val="nil"/>
            </w:tcBorders>
            <w:noWrap/>
            <w:vAlign w:val="bottom"/>
            <w:hideMark/>
          </w:tcPr>
          <w:p w14:paraId="4C363BD8"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5</w:t>
            </w:r>
          </w:p>
        </w:tc>
        <w:tc>
          <w:tcPr>
            <w:tcW w:w="1179" w:type="dxa"/>
            <w:tcBorders>
              <w:top w:val="nil"/>
              <w:left w:val="nil"/>
              <w:bottom w:val="nil"/>
              <w:right w:val="nil"/>
            </w:tcBorders>
            <w:noWrap/>
            <w:vAlign w:val="bottom"/>
            <w:hideMark/>
          </w:tcPr>
          <w:p w14:paraId="57A2AD27"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0.585423</w:t>
            </w:r>
          </w:p>
        </w:tc>
        <w:tc>
          <w:tcPr>
            <w:tcW w:w="1179" w:type="dxa"/>
            <w:tcBorders>
              <w:top w:val="nil"/>
              <w:left w:val="nil"/>
              <w:bottom w:val="nil"/>
              <w:right w:val="nil"/>
            </w:tcBorders>
            <w:noWrap/>
            <w:vAlign w:val="bottom"/>
            <w:hideMark/>
          </w:tcPr>
          <w:p w14:paraId="16D98949"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-0.604401</w:t>
            </w:r>
          </w:p>
        </w:tc>
        <w:tc>
          <w:tcPr>
            <w:tcW w:w="1203" w:type="dxa"/>
            <w:tcBorders>
              <w:top w:val="nil"/>
              <w:left w:val="nil"/>
              <w:bottom w:val="nil"/>
              <w:right w:val="nil"/>
            </w:tcBorders>
            <w:noWrap/>
            <w:vAlign w:val="bottom"/>
            <w:hideMark/>
          </w:tcPr>
          <w:p w14:paraId="32748060"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0.212274</w:t>
            </w:r>
          </w:p>
        </w:tc>
        <w:tc>
          <w:tcPr>
            <w:tcW w:w="1203" w:type="dxa"/>
            <w:tcBorders>
              <w:top w:val="nil"/>
              <w:left w:val="nil"/>
              <w:bottom w:val="nil"/>
              <w:right w:val="nil"/>
            </w:tcBorders>
            <w:noWrap/>
            <w:vAlign w:val="bottom"/>
            <w:hideMark/>
          </w:tcPr>
          <w:p w14:paraId="3A6DA7F6"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0.369191</w:t>
            </w:r>
          </w:p>
        </w:tc>
      </w:tr>
      <w:tr w:rsidR="00102AA3" w:rsidRPr="00102AA3" w14:paraId="74B705B7" w14:textId="77777777" w:rsidTr="00B01DB0">
        <w:trPr>
          <w:trHeight w:val="290"/>
        </w:trPr>
        <w:tc>
          <w:tcPr>
            <w:tcW w:w="960" w:type="dxa"/>
            <w:tcBorders>
              <w:top w:val="nil"/>
              <w:left w:val="nil"/>
              <w:bottom w:val="nil"/>
              <w:right w:val="nil"/>
            </w:tcBorders>
            <w:noWrap/>
            <w:vAlign w:val="bottom"/>
            <w:hideMark/>
          </w:tcPr>
          <w:p w14:paraId="47A93FD8"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6</w:t>
            </w:r>
          </w:p>
        </w:tc>
        <w:tc>
          <w:tcPr>
            <w:tcW w:w="1179" w:type="dxa"/>
            <w:tcBorders>
              <w:top w:val="nil"/>
              <w:left w:val="nil"/>
              <w:bottom w:val="nil"/>
              <w:right w:val="nil"/>
            </w:tcBorders>
            <w:noWrap/>
            <w:vAlign w:val="bottom"/>
            <w:hideMark/>
          </w:tcPr>
          <w:p w14:paraId="43031B02"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0.091195</w:t>
            </w:r>
          </w:p>
        </w:tc>
        <w:tc>
          <w:tcPr>
            <w:tcW w:w="1179" w:type="dxa"/>
            <w:tcBorders>
              <w:top w:val="nil"/>
              <w:left w:val="nil"/>
              <w:bottom w:val="nil"/>
              <w:right w:val="nil"/>
            </w:tcBorders>
            <w:noWrap/>
            <w:vAlign w:val="bottom"/>
            <w:hideMark/>
          </w:tcPr>
          <w:p w14:paraId="692FF7E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-0.466905</w:t>
            </w:r>
          </w:p>
        </w:tc>
        <w:tc>
          <w:tcPr>
            <w:tcW w:w="1203" w:type="dxa"/>
            <w:tcBorders>
              <w:top w:val="nil"/>
              <w:left w:val="nil"/>
              <w:bottom w:val="nil"/>
              <w:right w:val="nil"/>
            </w:tcBorders>
            <w:noWrap/>
            <w:vAlign w:val="bottom"/>
            <w:hideMark/>
          </w:tcPr>
          <w:p w14:paraId="7045A956"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0.900011</w:t>
            </w:r>
          </w:p>
        </w:tc>
        <w:tc>
          <w:tcPr>
            <w:tcW w:w="1203" w:type="dxa"/>
            <w:tcBorders>
              <w:top w:val="nil"/>
              <w:left w:val="nil"/>
              <w:bottom w:val="nil"/>
              <w:right w:val="nil"/>
            </w:tcBorders>
            <w:noWrap/>
            <w:vAlign w:val="bottom"/>
            <w:hideMark/>
          </w:tcPr>
          <w:p w14:paraId="3B7E3B55"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-1.97845</w:t>
            </w:r>
          </w:p>
        </w:tc>
      </w:tr>
      <w:tr w:rsidR="00102AA3" w:rsidRPr="00102AA3" w14:paraId="48C1799B" w14:textId="77777777" w:rsidTr="00B01DB0">
        <w:trPr>
          <w:trHeight w:val="290"/>
        </w:trPr>
        <w:tc>
          <w:tcPr>
            <w:tcW w:w="960" w:type="dxa"/>
            <w:tcBorders>
              <w:top w:val="nil"/>
              <w:left w:val="nil"/>
              <w:bottom w:val="nil"/>
              <w:right w:val="nil"/>
            </w:tcBorders>
            <w:noWrap/>
            <w:vAlign w:val="bottom"/>
            <w:hideMark/>
          </w:tcPr>
          <w:p w14:paraId="2C633584"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7</w:t>
            </w:r>
          </w:p>
        </w:tc>
        <w:tc>
          <w:tcPr>
            <w:tcW w:w="1179" w:type="dxa"/>
            <w:tcBorders>
              <w:top w:val="nil"/>
              <w:left w:val="nil"/>
              <w:bottom w:val="nil"/>
              <w:right w:val="nil"/>
            </w:tcBorders>
            <w:noWrap/>
            <w:vAlign w:val="bottom"/>
            <w:hideMark/>
          </w:tcPr>
          <w:p w14:paraId="7508E27D"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-0.73301</w:t>
            </w:r>
          </w:p>
        </w:tc>
        <w:tc>
          <w:tcPr>
            <w:tcW w:w="1179" w:type="dxa"/>
            <w:tcBorders>
              <w:top w:val="nil"/>
              <w:left w:val="nil"/>
              <w:bottom w:val="nil"/>
              <w:right w:val="nil"/>
            </w:tcBorders>
            <w:noWrap/>
            <w:vAlign w:val="bottom"/>
            <w:hideMark/>
          </w:tcPr>
          <w:p w14:paraId="70E5D7EF"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0.803286</w:t>
            </w:r>
          </w:p>
        </w:tc>
        <w:tc>
          <w:tcPr>
            <w:tcW w:w="1203" w:type="dxa"/>
            <w:tcBorders>
              <w:top w:val="nil"/>
              <w:left w:val="nil"/>
              <w:bottom w:val="nil"/>
              <w:right w:val="nil"/>
            </w:tcBorders>
            <w:noWrap/>
            <w:vAlign w:val="bottom"/>
            <w:hideMark/>
          </w:tcPr>
          <w:p w14:paraId="3C99D5D9"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-1.46216</w:t>
            </w:r>
          </w:p>
        </w:tc>
        <w:tc>
          <w:tcPr>
            <w:tcW w:w="1203" w:type="dxa"/>
            <w:tcBorders>
              <w:top w:val="nil"/>
              <w:left w:val="nil"/>
              <w:bottom w:val="nil"/>
              <w:right w:val="nil"/>
            </w:tcBorders>
            <w:noWrap/>
            <w:vAlign w:val="bottom"/>
            <w:hideMark/>
          </w:tcPr>
          <w:p w14:paraId="74ADC091"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0.092451</w:t>
            </w:r>
          </w:p>
        </w:tc>
      </w:tr>
      <w:tr w:rsidR="00102AA3" w:rsidRPr="00102AA3" w14:paraId="01DF9B69" w14:textId="77777777" w:rsidTr="00B01DB0">
        <w:trPr>
          <w:trHeight w:val="290"/>
        </w:trPr>
        <w:tc>
          <w:tcPr>
            <w:tcW w:w="960" w:type="dxa"/>
            <w:tcBorders>
              <w:top w:val="nil"/>
              <w:left w:val="nil"/>
              <w:bottom w:val="nil"/>
              <w:right w:val="nil"/>
            </w:tcBorders>
            <w:noWrap/>
            <w:vAlign w:val="bottom"/>
            <w:hideMark/>
          </w:tcPr>
          <w:p w14:paraId="4162FDC2"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8</w:t>
            </w:r>
          </w:p>
        </w:tc>
        <w:tc>
          <w:tcPr>
            <w:tcW w:w="1179" w:type="dxa"/>
            <w:tcBorders>
              <w:top w:val="nil"/>
              <w:left w:val="nil"/>
              <w:bottom w:val="nil"/>
              <w:right w:val="nil"/>
            </w:tcBorders>
            <w:noWrap/>
            <w:vAlign w:val="bottom"/>
            <w:hideMark/>
          </w:tcPr>
          <w:p w14:paraId="0DADDC2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-0.07503</w:t>
            </w:r>
          </w:p>
        </w:tc>
        <w:tc>
          <w:tcPr>
            <w:tcW w:w="1179" w:type="dxa"/>
            <w:tcBorders>
              <w:top w:val="nil"/>
              <w:left w:val="nil"/>
              <w:bottom w:val="nil"/>
              <w:right w:val="nil"/>
            </w:tcBorders>
            <w:noWrap/>
            <w:vAlign w:val="bottom"/>
            <w:hideMark/>
          </w:tcPr>
          <w:p w14:paraId="61E2EA54"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0.914901</w:t>
            </w:r>
          </w:p>
        </w:tc>
        <w:tc>
          <w:tcPr>
            <w:tcW w:w="1203" w:type="dxa"/>
            <w:tcBorders>
              <w:top w:val="nil"/>
              <w:left w:val="nil"/>
              <w:bottom w:val="nil"/>
              <w:right w:val="nil"/>
            </w:tcBorders>
            <w:noWrap/>
            <w:vAlign w:val="bottom"/>
            <w:hideMark/>
          </w:tcPr>
          <w:p w14:paraId="59447A85"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-0.60553</w:t>
            </w:r>
          </w:p>
        </w:tc>
        <w:tc>
          <w:tcPr>
            <w:tcW w:w="1203" w:type="dxa"/>
            <w:tcBorders>
              <w:top w:val="nil"/>
              <w:left w:val="nil"/>
              <w:bottom w:val="nil"/>
              <w:right w:val="nil"/>
            </w:tcBorders>
            <w:noWrap/>
            <w:vAlign w:val="bottom"/>
            <w:hideMark/>
          </w:tcPr>
          <w:p w14:paraId="331D30A3"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0.530904</w:t>
            </w:r>
          </w:p>
        </w:tc>
      </w:tr>
      <w:tr w:rsidR="00102AA3" w:rsidRPr="00102AA3" w14:paraId="709A8DCF" w14:textId="77777777" w:rsidTr="00B01DB0">
        <w:trPr>
          <w:trHeight w:val="290"/>
        </w:trPr>
        <w:tc>
          <w:tcPr>
            <w:tcW w:w="960" w:type="dxa"/>
            <w:tcBorders>
              <w:top w:val="nil"/>
              <w:left w:val="nil"/>
              <w:bottom w:val="nil"/>
              <w:right w:val="nil"/>
            </w:tcBorders>
            <w:noWrap/>
            <w:vAlign w:val="bottom"/>
            <w:hideMark/>
          </w:tcPr>
          <w:p w14:paraId="7A59B57A"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9</w:t>
            </w:r>
          </w:p>
        </w:tc>
        <w:tc>
          <w:tcPr>
            <w:tcW w:w="1179" w:type="dxa"/>
            <w:tcBorders>
              <w:top w:val="nil"/>
              <w:left w:val="nil"/>
              <w:bottom w:val="nil"/>
              <w:right w:val="nil"/>
            </w:tcBorders>
            <w:noWrap/>
            <w:vAlign w:val="bottom"/>
            <w:hideMark/>
          </w:tcPr>
          <w:p w14:paraId="5E93FB36"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1.245887</w:t>
            </w:r>
          </w:p>
        </w:tc>
        <w:tc>
          <w:tcPr>
            <w:tcW w:w="1179" w:type="dxa"/>
            <w:tcBorders>
              <w:top w:val="nil"/>
              <w:left w:val="nil"/>
              <w:bottom w:val="nil"/>
              <w:right w:val="nil"/>
            </w:tcBorders>
            <w:noWrap/>
            <w:vAlign w:val="bottom"/>
            <w:hideMark/>
          </w:tcPr>
          <w:p w14:paraId="6E193B21"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0.682067</w:t>
            </w:r>
          </w:p>
        </w:tc>
        <w:tc>
          <w:tcPr>
            <w:tcW w:w="1203" w:type="dxa"/>
            <w:tcBorders>
              <w:top w:val="nil"/>
              <w:left w:val="nil"/>
              <w:bottom w:val="nil"/>
              <w:right w:val="nil"/>
            </w:tcBorders>
            <w:noWrap/>
            <w:vAlign w:val="bottom"/>
            <w:hideMark/>
          </w:tcPr>
          <w:p w14:paraId="58FE4C22"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1.88566</w:t>
            </w:r>
          </w:p>
        </w:tc>
        <w:tc>
          <w:tcPr>
            <w:tcW w:w="1203" w:type="dxa"/>
            <w:tcBorders>
              <w:top w:val="nil"/>
              <w:left w:val="nil"/>
              <w:bottom w:val="nil"/>
              <w:right w:val="nil"/>
            </w:tcBorders>
            <w:noWrap/>
            <w:vAlign w:val="bottom"/>
            <w:hideMark/>
          </w:tcPr>
          <w:p w14:paraId="2EBBAAF7" w14:textId="77777777" w:rsidR="00102AA3" w:rsidRPr="00102AA3" w:rsidRDefault="00102AA3" w:rsidP="00102AA3">
            <w:pPr>
              <w:spacing w:after="0" w:line="240" w:lineRule="auto"/>
              <w:jc w:val="right"/>
              <w:rPr>
                <w:rFonts w:ascii="Aptos Narrow" w:eastAsia="Times New Roman" w:hAnsi="Aptos Narrow" w:cs="Times New Roman"/>
                <w:color w:val="000000"/>
                <w:kern w:val="0"/>
                <w:sz w:val="22"/>
                <w:szCs w:val="22"/>
                <w14:ligatures w14:val="none"/>
              </w:rPr>
            </w:pPr>
            <w:r w:rsidRPr="00102AA3">
              <w:rPr>
                <w:rFonts w:ascii="Aptos Narrow" w:eastAsia="Times New Roman" w:hAnsi="Aptos Narrow" w:cs="Times New Roman"/>
                <w:color w:val="000000"/>
                <w:kern w:val="0"/>
                <w:sz w:val="22"/>
                <w:szCs w:val="22"/>
                <w14:ligatures w14:val="none"/>
              </w:rPr>
              <w:t>0.44367</w:t>
            </w:r>
          </w:p>
        </w:tc>
      </w:tr>
      <w:tr w:rsidR="00B01DB0" w:rsidRPr="00102AA3" w14:paraId="13257D8C" w14:textId="77777777" w:rsidTr="00B01DB0">
        <w:trPr>
          <w:trHeight w:val="290"/>
        </w:trPr>
        <w:tc>
          <w:tcPr>
            <w:tcW w:w="960" w:type="dxa"/>
            <w:tcBorders>
              <w:top w:val="nil"/>
              <w:left w:val="nil"/>
              <w:bottom w:val="nil"/>
              <w:right w:val="nil"/>
            </w:tcBorders>
            <w:noWrap/>
            <w:vAlign w:val="bottom"/>
          </w:tcPr>
          <w:p w14:paraId="38144EC9" w14:textId="0C73426B" w:rsidR="00B01DB0" w:rsidRPr="00102AA3" w:rsidRDefault="00B01DB0" w:rsidP="00B01DB0">
            <w:pPr>
              <w:spacing w:after="0" w:line="240" w:lineRule="auto"/>
              <w:rPr>
                <w:rFonts w:ascii="Aptos Narrow" w:eastAsia="Times New Roman" w:hAnsi="Aptos Narrow" w:cs="Times New Roman"/>
                <w:color w:val="000000"/>
                <w:kern w:val="0"/>
                <w:sz w:val="22"/>
                <w:szCs w:val="22"/>
                <w14:ligatures w14:val="none"/>
              </w:rPr>
            </w:pPr>
          </w:p>
        </w:tc>
        <w:tc>
          <w:tcPr>
            <w:tcW w:w="1179" w:type="dxa"/>
            <w:tcBorders>
              <w:top w:val="nil"/>
              <w:left w:val="nil"/>
              <w:bottom w:val="nil"/>
              <w:right w:val="nil"/>
            </w:tcBorders>
            <w:noWrap/>
            <w:vAlign w:val="bottom"/>
          </w:tcPr>
          <w:p w14:paraId="7E1F4C15" w14:textId="77777777" w:rsidR="00B01DB0" w:rsidRPr="00102AA3" w:rsidRDefault="00B01DB0" w:rsidP="00102AA3">
            <w:pPr>
              <w:spacing w:after="0" w:line="240" w:lineRule="auto"/>
              <w:jc w:val="right"/>
              <w:rPr>
                <w:rFonts w:ascii="Aptos Narrow" w:eastAsia="Times New Roman" w:hAnsi="Aptos Narrow" w:cs="Times New Roman"/>
                <w:color w:val="000000"/>
                <w:kern w:val="0"/>
                <w:sz w:val="22"/>
                <w:szCs w:val="22"/>
                <w14:ligatures w14:val="none"/>
              </w:rPr>
            </w:pPr>
          </w:p>
        </w:tc>
        <w:tc>
          <w:tcPr>
            <w:tcW w:w="1179" w:type="dxa"/>
            <w:tcBorders>
              <w:top w:val="nil"/>
              <w:left w:val="nil"/>
              <w:bottom w:val="nil"/>
              <w:right w:val="nil"/>
            </w:tcBorders>
            <w:noWrap/>
            <w:vAlign w:val="bottom"/>
          </w:tcPr>
          <w:p w14:paraId="11B6C462" w14:textId="77777777" w:rsidR="00B01DB0" w:rsidRPr="00102AA3" w:rsidRDefault="00B01DB0" w:rsidP="00102AA3">
            <w:pPr>
              <w:spacing w:after="0" w:line="240" w:lineRule="auto"/>
              <w:jc w:val="right"/>
              <w:rPr>
                <w:rFonts w:ascii="Aptos Narrow" w:eastAsia="Times New Roman" w:hAnsi="Aptos Narrow" w:cs="Times New Roman"/>
                <w:color w:val="000000"/>
                <w:kern w:val="0"/>
                <w:sz w:val="22"/>
                <w:szCs w:val="22"/>
                <w14:ligatures w14:val="none"/>
              </w:rPr>
            </w:pPr>
          </w:p>
        </w:tc>
        <w:tc>
          <w:tcPr>
            <w:tcW w:w="1203" w:type="dxa"/>
            <w:tcBorders>
              <w:top w:val="nil"/>
              <w:left w:val="nil"/>
              <w:bottom w:val="nil"/>
              <w:right w:val="nil"/>
            </w:tcBorders>
            <w:noWrap/>
            <w:vAlign w:val="bottom"/>
          </w:tcPr>
          <w:p w14:paraId="2B9895BB" w14:textId="77777777" w:rsidR="00B01DB0" w:rsidRPr="00102AA3" w:rsidRDefault="00B01DB0" w:rsidP="00102AA3">
            <w:pPr>
              <w:spacing w:after="0" w:line="240" w:lineRule="auto"/>
              <w:jc w:val="right"/>
              <w:rPr>
                <w:rFonts w:ascii="Aptos Narrow" w:eastAsia="Times New Roman" w:hAnsi="Aptos Narrow" w:cs="Times New Roman"/>
                <w:color w:val="000000"/>
                <w:kern w:val="0"/>
                <w:sz w:val="22"/>
                <w:szCs w:val="22"/>
                <w14:ligatures w14:val="none"/>
              </w:rPr>
            </w:pPr>
          </w:p>
        </w:tc>
        <w:tc>
          <w:tcPr>
            <w:tcW w:w="1203" w:type="dxa"/>
            <w:tcBorders>
              <w:top w:val="nil"/>
              <w:left w:val="nil"/>
              <w:bottom w:val="nil"/>
              <w:right w:val="nil"/>
            </w:tcBorders>
            <w:noWrap/>
            <w:vAlign w:val="bottom"/>
          </w:tcPr>
          <w:p w14:paraId="17B4EE45" w14:textId="77777777" w:rsidR="00B01DB0" w:rsidRPr="00102AA3" w:rsidRDefault="00B01DB0" w:rsidP="00102AA3">
            <w:pPr>
              <w:spacing w:after="0" w:line="240" w:lineRule="auto"/>
              <w:jc w:val="right"/>
              <w:rPr>
                <w:rFonts w:ascii="Aptos Narrow" w:eastAsia="Times New Roman" w:hAnsi="Aptos Narrow" w:cs="Times New Roman"/>
                <w:color w:val="000000"/>
                <w:kern w:val="0"/>
                <w:sz w:val="22"/>
                <w:szCs w:val="22"/>
                <w14:ligatures w14:val="none"/>
              </w:rPr>
            </w:pPr>
          </w:p>
        </w:tc>
      </w:tr>
    </w:tbl>
    <w:p w14:paraId="2E564841" w14:textId="03A3F399" w:rsidR="00102AA3" w:rsidRPr="00102AA3" w:rsidRDefault="00B01DB0" w:rsidP="00102AA3">
      <w:r>
        <w:t xml:space="preserve">Table 3: Canonical </w:t>
      </w:r>
      <w:r w:rsidR="00985182">
        <w:t>scores for gait and SSM</w:t>
      </w:r>
    </w:p>
    <w:p w14:paraId="3FDE249F" w14:textId="06ED9133" w:rsidR="00505BC0" w:rsidRDefault="00505BC0" w:rsidP="00505BC0">
      <w:pPr>
        <w:pStyle w:val="Heading2"/>
      </w:pPr>
      <w:r>
        <w:t>Cluster Analysis</w:t>
      </w:r>
    </w:p>
    <w:p w14:paraId="577DEF7E" w14:textId="68AAEBD1" w:rsidR="00985182" w:rsidRPr="00985182" w:rsidRDefault="0034497C" w:rsidP="00985182">
      <w:r>
        <w:tab/>
      </w:r>
      <w:r w:rsidR="00AF0478">
        <w:t>Hierarchical cluster analysis</w:t>
      </w:r>
      <w:r w:rsidR="00146D7C">
        <w:t xml:space="preserve"> with Ward meth</w:t>
      </w:r>
      <w:r w:rsidR="001526BC">
        <w:t>od</w:t>
      </w:r>
      <w:r w:rsidR="00AF0478">
        <w:t xml:space="preserve"> identified 4 primary </w:t>
      </w:r>
      <w:r w:rsidR="001526BC">
        <w:t>subgroups on the combined CCA scores of gait and S</w:t>
      </w:r>
      <w:r w:rsidR="00833C9A">
        <w:t xml:space="preserve">SM for K-means and GMM cluster analysis (Figure 6). </w:t>
      </w:r>
    </w:p>
    <w:p w14:paraId="0B8A7C96" w14:textId="72FC9557" w:rsidR="00505BC0" w:rsidRDefault="00423371" w:rsidP="00505BC0">
      <w:r w:rsidRPr="00423371">
        <w:rPr>
          <w:noProof/>
        </w:rPr>
        <w:lastRenderedPageBreak/>
        <w:drawing>
          <wp:inline distT="0" distB="0" distL="0" distR="0" wp14:anchorId="5EFA31D9" wp14:editId="43841963">
            <wp:extent cx="3893134" cy="2178657"/>
            <wp:effectExtent l="0" t="0" r="0" b="0"/>
            <wp:docPr id="136144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1556" name=""/>
                    <pic:cNvPicPr/>
                  </pic:nvPicPr>
                  <pic:blipFill>
                    <a:blip r:embed="rId18"/>
                    <a:stretch>
                      <a:fillRect/>
                    </a:stretch>
                  </pic:blipFill>
                  <pic:spPr>
                    <a:xfrm>
                      <a:off x="0" y="0"/>
                      <a:ext cx="3905042" cy="2185321"/>
                    </a:xfrm>
                    <a:prstGeom prst="rect">
                      <a:avLst/>
                    </a:prstGeom>
                  </pic:spPr>
                </pic:pic>
              </a:graphicData>
            </a:graphic>
          </wp:inline>
        </w:drawing>
      </w:r>
    </w:p>
    <w:p w14:paraId="3DFE13B5" w14:textId="5851AEE8" w:rsidR="00833C9A" w:rsidRDefault="00833C9A" w:rsidP="00505BC0">
      <w:r>
        <w:t xml:space="preserve">Figure 6. Hierarchical clustering </w:t>
      </w:r>
      <w:r w:rsidR="003C7DB8">
        <w:t>dendrogram</w:t>
      </w:r>
      <w:r>
        <w:t xml:space="preserve"> combined CCA scores of gait and SSM. </w:t>
      </w:r>
    </w:p>
    <w:p w14:paraId="06ED5DF8" w14:textId="016217D8" w:rsidR="00B6134E" w:rsidRPr="00505BC0" w:rsidRDefault="00B6134E" w:rsidP="00505BC0">
      <w:r>
        <w:tab/>
        <w:t xml:space="preserve">K-means and GMM performance were evaluated with silhouette score, Davies-Bouldin index, and BIC and AIC for GMM </w:t>
      </w:r>
      <w:r w:rsidR="00842648">
        <w:fldChar w:fldCharType="begin"/>
      </w:r>
      <w:r w:rsidR="00842648">
        <w:instrText xml:space="preserve"> ADDIN ZOTERO_ITEM CSL_CITATION {"citationID":"efWVgg2X","properties":{"unsorted":false,"formattedCitation":"({\\i{}2.3. Clustering}, n.d.)","plainCitation":"(2.3. Clustering, n.d.)","noteIndex":0},"citationItems":[{"id":1400,"uris":["http://zotero.org/users/9936247/items/7983HGBR"],"itemData":{"id":1400,"type":"webpage","abstract":"Clustering of unlabeled data can be performed with the module sklearn.cluster. Each clustering algorithm comes in two variants: a class, that implements the fit method to learn the clusters on trai...","container-title":"scikit-learn","language":"en","title":"2.3. Clustering","URL":"https://scikit-learn/stable/modules/clustering.html","accessed":{"date-parts":[["2026",4,30]]}}}],"schema":"https://github.com/citation-style-language/schema/raw/master/csl-citation.json"} </w:instrText>
      </w:r>
      <w:r w:rsidR="00842648">
        <w:fldChar w:fldCharType="separate"/>
      </w:r>
      <w:r w:rsidR="00842648" w:rsidRPr="00842648">
        <w:rPr>
          <w:rFonts w:ascii="Aptos" w:hAnsi="Aptos" w:cs="Times New Roman"/>
          <w:kern w:val="0"/>
        </w:rPr>
        <w:t>(</w:t>
      </w:r>
      <w:r w:rsidR="00842648" w:rsidRPr="00842648">
        <w:rPr>
          <w:rFonts w:ascii="Aptos" w:hAnsi="Aptos" w:cs="Times New Roman"/>
          <w:i/>
          <w:iCs/>
          <w:kern w:val="0"/>
        </w:rPr>
        <w:t>2.3. Clustering</w:t>
      </w:r>
      <w:r w:rsidR="00842648" w:rsidRPr="00842648">
        <w:rPr>
          <w:rFonts w:ascii="Aptos" w:hAnsi="Aptos" w:cs="Times New Roman"/>
          <w:kern w:val="0"/>
        </w:rPr>
        <w:t>, n.d.)</w:t>
      </w:r>
      <w:r w:rsidR="00842648">
        <w:fldChar w:fldCharType="end"/>
      </w:r>
      <w:r w:rsidR="007333D4">
        <w:t xml:space="preserve">. </w:t>
      </w:r>
      <w:r w:rsidR="00A34946">
        <w:t>From this, f</w:t>
      </w:r>
      <w:r w:rsidR="003C3D98">
        <w:t>our clusters were chosen for best stability of the study dataset</w:t>
      </w:r>
      <w:r w:rsidR="00A34946">
        <w:t xml:space="preserve"> as clustering stability became unstable after 5 clusters and the dataset is small, containing only 10 subjects </w:t>
      </w:r>
      <w:r w:rsidR="003C3D98">
        <w:t>(Figure 7)</w:t>
      </w:r>
      <w:r w:rsidR="00A34946">
        <w:t xml:space="preserve">. </w:t>
      </w:r>
    </w:p>
    <w:p w14:paraId="13EF67A1" w14:textId="69B6CE22" w:rsidR="00837CB7" w:rsidRPr="00CD102A" w:rsidRDefault="00E412ED" w:rsidP="00837CB7">
      <w:pPr>
        <w:rPr>
          <w:b/>
          <w:bCs/>
        </w:rPr>
      </w:pPr>
      <w:r w:rsidRPr="00E412ED">
        <w:rPr>
          <w:noProof/>
        </w:rPr>
        <w:drawing>
          <wp:inline distT="0" distB="0" distL="0" distR="0" wp14:anchorId="033ADE04" wp14:editId="07B0471B">
            <wp:extent cx="2230967" cy="1498037"/>
            <wp:effectExtent l="0" t="0" r="0" b="6985"/>
            <wp:docPr id="21365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62446" name=""/>
                    <pic:cNvPicPr/>
                  </pic:nvPicPr>
                  <pic:blipFill>
                    <a:blip r:embed="rId19"/>
                    <a:stretch>
                      <a:fillRect/>
                    </a:stretch>
                  </pic:blipFill>
                  <pic:spPr>
                    <a:xfrm>
                      <a:off x="0" y="0"/>
                      <a:ext cx="2236837" cy="1501978"/>
                    </a:xfrm>
                    <a:prstGeom prst="rect">
                      <a:avLst/>
                    </a:prstGeom>
                  </pic:spPr>
                </pic:pic>
              </a:graphicData>
            </a:graphic>
          </wp:inline>
        </w:drawing>
      </w:r>
      <w:r w:rsidR="00CD102A" w:rsidRPr="00CD102A">
        <w:rPr>
          <w:b/>
          <w:bCs/>
          <w:noProof/>
        </w:rPr>
        <w:drawing>
          <wp:inline distT="0" distB="0" distL="0" distR="0" wp14:anchorId="250EDE99" wp14:editId="38D9F762">
            <wp:extent cx="2307167" cy="1551422"/>
            <wp:effectExtent l="0" t="0" r="0" b="0"/>
            <wp:docPr id="17100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1253" name=""/>
                    <pic:cNvPicPr/>
                  </pic:nvPicPr>
                  <pic:blipFill>
                    <a:blip r:embed="rId20"/>
                    <a:stretch>
                      <a:fillRect/>
                    </a:stretch>
                  </pic:blipFill>
                  <pic:spPr>
                    <a:xfrm>
                      <a:off x="0" y="0"/>
                      <a:ext cx="2315149" cy="1556789"/>
                    </a:xfrm>
                    <a:prstGeom prst="rect">
                      <a:avLst/>
                    </a:prstGeom>
                  </pic:spPr>
                </pic:pic>
              </a:graphicData>
            </a:graphic>
          </wp:inline>
        </w:drawing>
      </w:r>
    </w:p>
    <w:p w14:paraId="29E9D727" w14:textId="7792DC3A" w:rsidR="00E412ED" w:rsidRDefault="00E412ED" w:rsidP="00837CB7">
      <w:r w:rsidRPr="00E412ED">
        <w:rPr>
          <w:noProof/>
        </w:rPr>
        <w:drawing>
          <wp:inline distT="0" distB="0" distL="0" distR="0" wp14:anchorId="198346C2" wp14:editId="28BCBC72">
            <wp:extent cx="2002367" cy="1361866"/>
            <wp:effectExtent l="0" t="0" r="0" b="0"/>
            <wp:docPr id="3135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2836" name=""/>
                    <pic:cNvPicPr/>
                  </pic:nvPicPr>
                  <pic:blipFill>
                    <a:blip r:embed="rId21"/>
                    <a:stretch>
                      <a:fillRect/>
                    </a:stretch>
                  </pic:blipFill>
                  <pic:spPr>
                    <a:xfrm>
                      <a:off x="0" y="0"/>
                      <a:ext cx="2012252" cy="1368589"/>
                    </a:xfrm>
                    <a:prstGeom prst="rect">
                      <a:avLst/>
                    </a:prstGeom>
                  </pic:spPr>
                </pic:pic>
              </a:graphicData>
            </a:graphic>
          </wp:inline>
        </w:drawing>
      </w:r>
      <w:r w:rsidR="002442F5" w:rsidRPr="005300DD">
        <w:rPr>
          <w:noProof/>
        </w:rPr>
        <w:drawing>
          <wp:inline distT="0" distB="0" distL="0" distR="0" wp14:anchorId="58178C1D" wp14:editId="2E1F68B8">
            <wp:extent cx="1670976" cy="1350433"/>
            <wp:effectExtent l="0" t="0" r="5715" b="2540"/>
            <wp:docPr id="12300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84827" name=""/>
                    <pic:cNvPicPr/>
                  </pic:nvPicPr>
                  <pic:blipFill>
                    <a:blip r:embed="rId22"/>
                    <a:stretch>
                      <a:fillRect/>
                    </a:stretch>
                  </pic:blipFill>
                  <pic:spPr>
                    <a:xfrm>
                      <a:off x="0" y="0"/>
                      <a:ext cx="1677019" cy="1355317"/>
                    </a:xfrm>
                    <a:prstGeom prst="rect">
                      <a:avLst/>
                    </a:prstGeom>
                  </pic:spPr>
                </pic:pic>
              </a:graphicData>
            </a:graphic>
          </wp:inline>
        </w:drawing>
      </w:r>
    </w:p>
    <w:p w14:paraId="77E188A6" w14:textId="02127AA2" w:rsidR="003C3D98" w:rsidRDefault="003C3D98" w:rsidP="00837CB7">
      <w:r>
        <w:t xml:space="preserve">Figure </w:t>
      </w:r>
      <w:r w:rsidR="006C3FF1">
        <w:t xml:space="preserve">7. Clustering evaluation metrics to determine cluster amount: silhouette score, </w:t>
      </w:r>
      <w:r w:rsidR="004E2938">
        <w:t>Davies-Bouldin</w:t>
      </w:r>
      <w:r w:rsidR="006C3FF1">
        <w:t xml:space="preserve"> index</w:t>
      </w:r>
      <w:r w:rsidR="00CD102A">
        <w:t xml:space="preserve"> and stability. </w:t>
      </w:r>
    </w:p>
    <w:p w14:paraId="2CA01D74" w14:textId="780E7B97" w:rsidR="00664297" w:rsidRDefault="00664297" w:rsidP="00837CB7">
      <w:r>
        <w:tab/>
        <w:t>K-means and GMM clusters were examined for subgroup membership with Adjusted Rand Index (ARI) and found a 1 to 1 relationship, indicating similar performance  between both clustering methods</w:t>
      </w:r>
      <w:r w:rsidR="00A34946">
        <w:t xml:space="preserve"> in assigning participant subgroups</w:t>
      </w:r>
      <w:r>
        <w:t xml:space="preserve"> (Figure 8). </w:t>
      </w:r>
    </w:p>
    <w:p w14:paraId="2ADC88F9" w14:textId="460B2DCC" w:rsidR="00837CB7" w:rsidRDefault="00664297" w:rsidP="00837CB7">
      <w:r w:rsidRPr="005300DD">
        <w:rPr>
          <w:noProof/>
        </w:rPr>
        <w:lastRenderedPageBreak/>
        <w:drawing>
          <wp:anchor distT="0" distB="0" distL="114300" distR="114300" simplePos="0" relativeHeight="251658240" behindDoc="0" locked="0" layoutInCell="1" allowOverlap="1" wp14:anchorId="546B869C" wp14:editId="35E8BC2F">
            <wp:simplePos x="0" y="0"/>
            <wp:positionH relativeFrom="margin">
              <wp:align>left</wp:align>
            </wp:positionH>
            <wp:positionV relativeFrom="paragraph">
              <wp:posOffset>314325</wp:posOffset>
            </wp:positionV>
            <wp:extent cx="2345055" cy="2014855"/>
            <wp:effectExtent l="0" t="0" r="0" b="4445"/>
            <wp:wrapSquare wrapText="bothSides"/>
            <wp:docPr id="20638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4582" name=""/>
                    <pic:cNvPicPr/>
                  </pic:nvPicPr>
                  <pic:blipFill>
                    <a:blip r:embed="rId23">
                      <a:extLst>
                        <a:ext uri="{28A0092B-C50C-407E-A947-70E740481C1C}">
                          <a14:useLocalDpi xmlns:a14="http://schemas.microsoft.com/office/drawing/2010/main" val="0"/>
                        </a:ext>
                      </a:extLst>
                    </a:blip>
                    <a:stretch>
                      <a:fillRect/>
                    </a:stretch>
                  </pic:blipFill>
                  <pic:spPr>
                    <a:xfrm>
                      <a:off x="0" y="0"/>
                      <a:ext cx="2345055" cy="2014855"/>
                    </a:xfrm>
                    <a:prstGeom prst="rect">
                      <a:avLst/>
                    </a:prstGeom>
                  </pic:spPr>
                </pic:pic>
              </a:graphicData>
            </a:graphic>
            <wp14:sizeRelH relativeFrom="margin">
              <wp14:pctWidth>0</wp14:pctWidth>
            </wp14:sizeRelH>
            <wp14:sizeRelV relativeFrom="margin">
              <wp14:pctHeight>0</wp14:pctHeight>
            </wp14:sizeRelV>
          </wp:anchor>
        </w:drawing>
      </w:r>
      <w:r w:rsidR="005300DD" w:rsidRPr="005300DD">
        <w:rPr>
          <w:noProof/>
        </w:rPr>
        <w:drawing>
          <wp:inline distT="0" distB="0" distL="0" distR="0" wp14:anchorId="7CC19B85" wp14:editId="6B0AF2FD">
            <wp:extent cx="3124863" cy="2549802"/>
            <wp:effectExtent l="0" t="0" r="0" b="3175"/>
            <wp:docPr id="89811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19896" name=""/>
                    <pic:cNvPicPr/>
                  </pic:nvPicPr>
                  <pic:blipFill>
                    <a:blip r:embed="rId24"/>
                    <a:stretch>
                      <a:fillRect/>
                    </a:stretch>
                  </pic:blipFill>
                  <pic:spPr>
                    <a:xfrm>
                      <a:off x="0" y="0"/>
                      <a:ext cx="3128214" cy="2552536"/>
                    </a:xfrm>
                    <a:prstGeom prst="rect">
                      <a:avLst/>
                    </a:prstGeom>
                  </pic:spPr>
                </pic:pic>
              </a:graphicData>
            </a:graphic>
          </wp:inline>
        </w:drawing>
      </w:r>
    </w:p>
    <w:p w14:paraId="5A0BAE19" w14:textId="072B14C8" w:rsidR="00837CB7" w:rsidRDefault="002442F5" w:rsidP="00837CB7">
      <w:r w:rsidRPr="002442F5">
        <w:rPr>
          <w:noProof/>
        </w:rPr>
        <w:drawing>
          <wp:inline distT="0" distB="0" distL="0" distR="0" wp14:anchorId="1AC8ECB0" wp14:editId="33738871">
            <wp:extent cx="2361537" cy="2115242"/>
            <wp:effectExtent l="0" t="0" r="1270" b="0"/>
            <wp:docPr id="18596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2830" name=""/>
                    <pic:cNvPicPr/>
                  </pic:nvPicPr>
                  <pic:blipFill>
                    <a:blip r:embed="rId25"/>
                    <a:stretch>
                      <a:fillRect/>
                    </a:stretch>
                  </pic:blipFill>
                  <pic:spPr>
                    <a:xfrm>
                      <a:off x="0" y="0"/>
                      <a:ext cx="2366298" cy="2119507"/>
                    </a:xfrm>
                    <a:prstGeom prst="rect">
                      <a:avLst/>
                    </a:prstGeom>
                  </pic:spPr>
                </pic:pic>
              </a:graphicData>
            </a:graphic>
          </wp:inline>
        </w:drawing>
      </w:r>
    </w:p>
    <w:p w14:paraId="783B83D0" w14:textId="03A87727" w:rsidR="00664297" w:rsidRDefault="00664297" w:rsidP="00837CB7">
      <w:r>
        <w:t xml:space="preserve">Figure 8. Cluster analysis between k-means and GMM. Evaluate agreement across methods with (ARI). </w:t>
      </w:r>
    </w:p>
    <w:p w14:paraId="3818B6B8" w14:textId="63B98A6E" w:rsidR="00380EE6" w:rsidRDefault="00380EE6" w:rsidP="00380EE6">
      <w:pPr>
        <w:pStyle w:val="ListParagraph"/>
        <w:numPr>
          <w:ilvl w:val="0"/>
          <w:numId w:val="5"/>
        </w:numPr>
      </w:pPr>
      <w:r>
        <w:t xml:space="preserve">Subgroup #1 (n = </w:t>
      </w:r>
      <w:r w:rsidR="005849CA">
        <w:t>2</w:t>
      </w:r>
      <w:r w:rsidR="00E01D06">
        <w:t>)</w:t>
      </w:r>
    </w:p>
    <w:p w14:paraId="08292518" w14:textId="6873F8C3" w:rsidR="00E01D06" w:rsidRDefault="00E01D06" w:rsidP="00380EE6">
      <w:pPr>
        <w:pStyle w:val="ListParagraph"/>
        <w:numPr>
          <w:ilvl w:val="0"/>
          <w:numId w:val="5"/>
        </w:numPr>
      </w:pPr>
      <w:r>
        <w:t xml:space="preserve">Subgroup #2 (n = </w:t>
      </w:r>
      <w:r w:rsidR="005849CA">
        <w:t xml:space="preserve">4) </w:t>
      </w:r>
    </w:p>
    <w:p w14:paraId="0F0BED9C" w14:textId="792C874D" w:rsidR="005849CA" w:rsidRDefault="005849CA" w:rsidP="00380EE6">
      <w:pPr>
        <w:pStyle w:val="ListParagraph"/>
        <w:numPr>
          <w:ilvl w:val="0"/>
          <w:numId w:val="5"/>
        </w:numPr>
      </w:pPr>
      <w:r>
        <w:t>Subgroup #3 (n = 1)</w:t>
      </w:r>
    </w:p>
    <w:p w14:paraId="504F33BC" w14:textId="3CDC3794" w:rsidR="005849CA" w:rsidRDefault="005849CA" w:rsidP="00380EE6">
      <w:pPr>
        <w:pStyle w:val="ListParagraph"/>
        <w:numPr>
          <w:ilvl w:val="0"/>
          <w:numId w:val="5"/>
        </w:numPr>
      </w:pPr>
      <w:r>
        <w:t xml:space="preserve">Subgroup #4 (n= </w:t>
      </w:r>
      <w:r w:rsidR="00BD5119">
        <w:t>4)</w:t>
      </w:r>
    </w:p>
    <w:p w14:paraId="19889118" w14:textId="76B9C89D" w:rsidR="006D3D46" w:rsidRDefault="00D51B67" w:rsidP="00D51B67">
      <w:pPr>
        <w:ind w:left="360"/>
      </w:pPr>
      <w:r>
        <w:t>Amplitude shifts were present across all six kinematic gait variables</w:t>
      </w:r>
      <w:r w:rsidR="00480A1A">
        <w:t xml:space="preserve">, notably in midfoot rotation, indicating translation changes between clusters. Waveform slope variations in the sagittal ankle and ankle rotation across clusters indicate joint angle </w:t>
      </w:r>
      <w:r w:rsidR="00931956">
        <w:t xml:space="preserve">deformations due to joint interactions throughout the gait cycle (Figure 9). </w:t>
      </w:r>
    </w:p>
    <w:p w14:paraId="0AB10DB0" w14:textId="0757DA5D" w:rsidR="00837CB7" w:rsidRDefault="00EC1191" w:rsidP="00837CB7">
      <w:r w:rsidRPr="00EC1191">
        <w:rPr>
          <w:noProof/>
        </w:rPr>
        <w:lastRenderedPageBreak/>
        <w:drawing>
          <wp:inline distT="0" distB="0" distL="0" distR="0" wp14:anchorId="5060DA95" wp14:editId="143802B4">
            <wp:extent cx="5841055" cy="4245997"/>
            <wp:effectExtent l="0" t="0" r="7620" b="2540"/>
            <wp:docPr id="5" name="Picture 4">
              <a:extLst xmlns:a="http://schemas.openxmlformats.org/drawingml/2006/main">
                <a:ext uri="{FF2B5EF4-FFF2-40B4-BE49-F238E27FC236}">
                  <a16:creationId xmlns:a16="http://schemas.microsoft.com/office/drawing/2014/main" id="{CB4F9F51-5E03-E21A-382A-908640EAC8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B4F9F51-5E03-E21A-382A-908640EAC838}"/>
                        </a:ext>
                      </a:extLst>
                    </pic:cNvPr>
                    <pic:cNvPicPr>
                      <a:picLocks noChangeAspect="1"/>
                    </pic:cNvPicPr>
                  </pic:nvPicPr>
                  <pic:blipFill>
                    <a:blip r:embed="rId26"/>
                    <a:stretch>
                      <a:fillRect/>
                    </a:stretch>
                  </pic:blipFill>
                  <pic:spPr>
                    <a:xfrm>
                      <a:off x="0" y="0"/>
                      <a:ext cx="5854834" cy="4256013"/>
                    </a:xfrm>
                    <a:prstGeom prst="rect">
                      <a:avLst/>
                    </a:prstGeom>
                  </pic:spPr>
                </pic:pic>
              </a:graphicData>
            </a:graphic>
          </wp:inline>
        </w:drawing>
      </w:r>
    </w:p>
    <w:p w14:paraId="73AE9D06" w14:textId="4F004409" w:rsidR="006D3D46" w:rsidRDefault="006D3D46" w:rsidP="00837CB7">
      <w:r>
        <w:t xml:space="preserve">Figure 9. Mean gait curves for </w:t>
      </w:r>
      <w:r w:rsidR="00D51B67">
        <w:t xml:space="preserve">participants in subgroups. </w:t>
      </w:r>
    </w:p>
    <w:p w14:paraId="4E8C1D86" w14:textId="08611CA0" w:rsidR="004928B5" w:rsidRDefault="004928B5" w:rsidP="002E6F2A">
      <w:pPr>
        <w:ind w:firstLine="720"/>
      </w:pPr>
      <w:r>
        <w:t xml:space="preserve">SSM mean </w:t>
      </w:r>
      <w:r w:rsidR="00EC443C">
        <w:t xml:space="preserve">with ± 2 </w:t>
      </w:r>
      <w:r>
        <w:t xml:space="preserve">standard deviation 3D plots showed subgroup 1 </w:t>
      </w:r>
      <w:r w:rsidR="001E0CAD">
        <w:t xml:space="preserve">with primary shifts in the subtalar joint (red) with potential increase in the posterior tuberosity. </w:t>
      </w:r>
      <w:r w:rsidR="00EC443C">
        <w:t xml:space="preserve">Subgroup 2 indicated translational changes in the subtalar joint. Subgroup 3 consisted of only one participant and thus </w:t>
      </w:r>
      <w:r w:rsidR="002E6F2A">
        <w:t>did not have standard deviations within the group. Subgroup 4 visualized shifts in the medial process of the calcaneus, the primary location of initial load bearing during the first rocker of gait (Figure 10)</w:t>
      </w:r>
    </w:p>
    <w:p w14:paraId="7372782B" w14:textId="4818DAE5" w:rsidR="00EC1191" w:rsidRDefault="00EC1191" w:rsidP="00837CB7"/>
    <w:p w14:paraId="5A46CD03" w14:textId="770A907F" w:rsidR="008967A0" w:rsidRDefault="008967A0" w:rsidP="00837CB7"/>
    <w:p w14:paraId="5424ADB0" w14:textId="16197629" w:rsidR="008967A0" w:rsidRDefault="0036567D" w:rsidP="00837CB7">
      <w:r w:rsidRPr="0036567D">
        <w:lastRenderedPageBreak/>
        <w:drawing>
          <wp:inline distT="0" distB="0" distL="0" distR="0" wp14:anchorId="69D6B52B" wp14:editId="0287AA37">
            <wp:extent cx="5943600" cy="3110230"/>
            <wp:effectExtent l="0" t="0" r="0" b="0"/>
            <wp:docPr id="67827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0469" name=""/>
                    <pic:cNvPicPr/>
                  </pic:nvPicPr>
                  <pic:blipFill>
                    <a:blip r:embed="rId27"/>
                    <a:stretch>
                      <a:fillRect/>
                    </a:stretch>
                  </pic:blipFill>
                  <pic:spPr>
                    <a:xfrm>
                      <a:off x="0" y="0"/>
                      <a:ext cx="5943600" cy="3110230"/>
                    </a:xfrm>
                    <a:prstGeom prst="rect">
                      <a:avLst/>
                    </a:prstGeom>
                  </pic:spPr>
                </pic:pic>
              </a:graphicData>
            </a:graphic>
          </wp:inline>
        </w:drawing>
      </w:r>
    </w:p>
    <w:p w14:paraId="29BABFB0" w14:textId="7C9256F5" w:rsidR="00837CB7" w:rsidRDefault="00837CB7" w:rsidP="00837CB7"/>
    <w:p w14:paraId="5848F692" w14:textId="649C37A7" w:rsidR="00CF0858" w:rsidRPr="008B781B" w:rsidRDefault="00CF0858" w:rsidP="00837CB7">
      <w:r w:rsidRPr="0036567D">
        <w:rPr>
          <w:b/>
          <w:bCs/>
        </w:rPr>
        <w:t>Figure 10.</w:t>
      </w:r>
      <w:r>
        <w:t xml:space="preserve"> SSM</w:t>
      </w:r>
      <w:r w:rsidR="006C39E8">
        <w:t xml:space="preserve"> mean and standard deviations for each subgroup. </w:t>
      </w:r>
    </w:p>
    <w:p w14:paraId="2606CC1A" w14:textId="4DED3FC5" w:rsidR="00FC4243" w:rsidRDefault="00FC4243" w:rsidP="00FC4243">
      <w:pPr>
        <w:rPr>
          <w:b/>
          <w:bCs/>
        </w:rPr>
      </w:pPr>
      <w:r w:rsidRPr="00FC4243">
        <w:rPr>
          <w:b/>
          <w:bCs/>
        </w:rPr>
        <w:t>Discussion</w:t>
      </w:r>
      <w:r w:rsidR="00FC0F39">
        <w:rPr>
          <w:b/>
          <w:bCs/>
        </w:rPr>
        <w:t xml:space="preserve"> </w:t>
      </w:r>
    </w:p>
    <w:p w14:paraId="077DE755" w14:textId="095A1C26" w:rsidR="00F2518A" w:rsidRDefault="00F12CB2" w:rsidP="00F12CB2">
      <w:pPr>
        <w:ind w:firstLine="360"/>
      </w:pPr>
      <w:r>
        <w:t>The current s</w:t>
      </w:r>
      <w:r w:rsidR="006F5321">
        <w:t xml:space="preserve">tudy identified </w:t>
      </w:r>
      <w:r>
        <w:t xml:space="preserve">four </w:t>
      </w:r>
      <w:r w:rsidR="006F5321">
        <w:t xml:space="preserve">distinct kinematic </w:t>
      </w:r>
      <w:r>
        <w:t xml:space="preserve">and </w:t>
      </w:r>
      <w:r w:rsidR="006F5321">
        <w:t xml:space="preserve">shape subgroups among a sample of TD children using 3D multisegment foot and ankle </w:t>
      </w:r>
      <w:r w:rsidR="00735146">
        <w:t>kinematics and bone morphology as inputs for PCA, CCA, K-means</w:t>
      </w:r>
      <w:r w:rsidR="00A34946">
        <w:t>, and GMM</w:t>
      </w:r>
      <w:r w:rsidR="00735146">
        <w:t xml:space="preserve"> cluster analysis. </w:t>
      </w:r>
      <w:r w:rsidR="00547872">
        <w:t xml:space="preserve">PCA reduced the initial gait and SSM dataset to clinically relevant scores and CCA was used to determine canonical variates with maximum correlation between PC scores. </w:t>
      </w:r>
      <w:r w:rsidR="001A284A">
        <w:t xml:space="preserve">Cluster analysis </w:t>
      </w:r>
      <w:r w:rsidR="002424DD">
        <w:t xml:space="preserve">on CVs was compared </w:t>
      </w:r>
      <w:r w:rsidR="001A284A">
        <w:t>between k-means and GMM</w:t>
      </w:r>
      <w:r w:rsidR="002424DD">
        <w:t xml:space="preserve">, where both methods </w:t>
      </w:r>
      <w:r w:rsidR="001A284A">
        <w:t xml:space="preserve">performed </w:t>
      </w:r>
      <w:r w:rsidR="002424DD">
        <w:t xml:space="preserve">similarly, </w:t>
      </w:r>
      <w:r w:rsidR="001A284A">
        <w:t xml:space="preserve">identifying subgroups with varied gait </w:t>
      </w:r>
      <w:r w:rsidR="00441E7D">
        <w:t xml:space="preserve">profiles, alignment, and morphology. </w:t>
      </w:r>
    </w:p>
    <w:p w14:paraId="40853E00" w14:textId="50935612" w:rsidR="00D23EDC" w:rsidRPr="00F12CB2" w:rsidRDefault="00D23EDC" w:rsidP="00F12CB2">
      <w:pPr>
        <w:ind w:firstLine="360"/>
        <w:rPr>
          <w:b/>
          <w:bCs/>
        </w:rPr>
      </w:pPr>
      <w:r>
        <w:t xml:space="preserve">For this population, primary shifts in gait and morphology occurred between the subtalar joint between the talus and the calcaneus of the hindfoot and the calcaneal tuberosity. Further work should be performed to indicate clinical interventions to address these shifts. Additionally, </w:t>
      </w:r>
      <w:r w:rsidR="0004118F">
        <w:t>a</w:t>
      </w:r>
      <w:r>
        <w:t xml:space="preserve"> greater study population with</w:t>
      </w:r>
      <w:r w:rsidR="0004118F">
        <w:t xml:space="preserve"> more clinically diverse participants, including those with</w:t>
      </w:r>
      <w:r>
        <w:t xml:space="preserve"> diagnosed FF or CP</w:t>
      </w:r>
      <w:r w:rsidR="0004118F">
        <w:t xml:space="preserve">, would </w:t>
      </w:r>
      <w:r w:rsidR="00892563">
        <w:t xml:space="preserve">help characterize patient symptom presentations for </w:t>
      </w:r>
      <w:r w:rsidR="00CF0858">
        <w:t>improved cluster analysis. Deep learning techniques may also be utilized on a larger dataset</w:t>
      </w:r>
      <w:r w:rsidR="00892563">
        <w:t xml:space="preserve"> </w:t>
      </w:r>
      <w:r w:rsidR="00A6037D">
        <w:t>including</w:t>
      </w:r>
      <w:r w:rsidR="00BE5DBA">
        <w:t xml:space="preserve"> </w:t>
      </w:r>
      <w:r w:rsidR="00CF0858">
        <w:t>synthetic data</w:t>
      </w:r>
      <w:r w:rsidR="00BE5DBA">
        <w:t xml:space="preserve"> compared to the control population</w:t>
      </w:r>
      <w:r w:rsidR="00CF0858">
        <w:t xml:space="preserve"> to understand the true effect of bone </w:t>
      </w:r>
      <w:r w:rsidR="00BE5DBA">
        <w:t>shape</w:t>
      </w:r>
      <w:r w:rsidR="00CF0858">
        <w:t xml:space="preserve"> on gait performance</w:t>
      </w:r>
      <w:r w:rsidR="00BE5DBA">
        <w:t xml:space="preserve"> for pediatric populations. </w:t>
      </w:r>
    </w:p>
    <w:p w14:paraId="213E320E" w14:textId="77777777" w:rsidR="00982BF6" w:rsidRDefault="00982BF6" w:rsidP="00D73425">
      <w:pPr>
        <w:rPr>
          <w:b/>
          <w:bCs/>
        </w:rPr>
      </w:pPr>
    </w:p>
    <w:p w14:paraId="78E511CE" w14:textId="77777777" w:rsidR="00982BF6" w:rsidRDefault="00982BF6" w:rsidP="00D73425">
      <w:pPr>
        <w:rPr>
          <w:b/>
          <w:bCs/>
        </w:rPr>
      </w:pPr>
    </w:p>
    <w:p w14:paraId="31861B2A" w14:textId="77777777" w:rsidR="00982BF6" w:rsidRDefault="00982BF6" w:rsidP="00D73425">
      <w:pPr>
        <w:rPr>
          <w:b/>
          <w:bCs/>
        </w:rPr>
      </w:pPr>
    </w:p>
    <w:p w14:paraId="4D1FC9E8" w14:textId="77777777" w:rsidR="00982BF6" w:rsidRDefault="00982BF6" w:rsidP="00D73425">
      <w:pPr>
        <w:rPr>
          <w:b/>
          <w:bCs/>
        </w:rPr>
      </w:pPr>
    </w:p>
    <w:p w14:paraId="09F7D038" w14:textId="77777777" w:rsidR="00982BF6" w:rsidRDefault="00982BF6" w:rsidP="00D73425">
      <w:pPr>
        <w:rPr>
          <w:b/>
          <w:bCs/>
        </w:rPr>
      </w:pPr>
    </w:p>
    <w:p w14:paraId="0C422AE1" w14:textId="77777777" w:rsidR="00982BF6" w:rsidRDefault="00982BF6" w:rsidP="00D73425">
      <w:pPr>
        <w:rPr>
          <w:b/>
          <w:bCs/>
        </w:rPr>
      </w:pPr>
    </w:p>
    <w:p w14:paraId="2B8A1983" w14:textId="77777777" w:rsidR="00982BF6" w:rsidRDefault="00982BF6" w:rsidP="00D73425">
      <w:pPr>
        <w:rPr>
          <w:b/>
          <w:bCs/>
        </w:rPr>
      </w:pPr>
    </w:p>
    <w:p w14:paraId="1220085F" w14:textId="77777777" w:rsidR="00982BF6" w:rsidRDefault="00982BF6" w:rsidP="00D73425">
      <w:pPr>
        <w:rPr>
          <w:b/>
          <w:bCs/>
        </w:rPr>
      </w:pPr>
    </w:p>
    <w:p w14:paraId="4BF9DCCA" w14:textId="77777777" w:rsidR="00982BF6" w:rsidRDefault="00982BF6" w:rsidP="00D73425">
      <w:pPr>
        <w:rPr>
          <w:b/>
          <w:bCs/>
        </w:rPr>
      </w:pPr>
    </w:p>
    <w:p w14:paraId="4FDDB2C1" w14:textId="0D3F9898" w:rsidR="00CF267F" w:rsidRDefault="00CF267F">
      <w:pPr>
        <w:rPr>
          <w:b/>
          <w:bCs/>
        </w:rPr>
      </w:pPr>
    </w:p>
    <w:p w14:paraId="33B456E5" w14:textId="4DF5201C" w:rsidR="00D73425" w:rsidRPr="00982BF6" w:rsidRDefault="001666FB" w:rsidP="00D73425">
      <w:pPr>
        <w:rPr>
          <w:b/>
          <w:bCs/>
        </w:rPr>
      </w:pPr>
      <w:r w:rsidRPr="00982BF6">
        <w:rPr>
          <w:b/>
          <w:bCs/>
        </w:rPr>
        <w:t>References</w:t>
      </w:r>
    </w:p>
    <w:p w14:paraId="0847094A" w14:textId="77777777" w:rsidR="00241766" w:rsidRPr="00241766" w:rsidRDefault="00982BF6" w:rsidP="00241766">
      <w:pPr>
        <w:pStyle w:val="Bibliography"/>
      </w:pPr>
      <w:r>
        <w:fldChar w:fldCharType="begin"/>
      </w:r>
      <w:r w:rsidR="00241766">
        <w:instrText xml:space="preserve"> ADDIN ZOTERO_BIBL {"uncited":[],"omitted":[],"custom":[]} CSL_BIBLIOGRAPHY </w:instrText>
      </w:r>
      <w:r>
        <w:fldChar w:fldCharType="separate"/>
      </w:r>
      <w:r w:rsidR="00241766" w:rsidRPr="00241766">
        <w:rPr>
          <w:i/>
          <w:iCs/>
        </w:rPr>
        <w:t>2.3. Clustering</w:t>
      </w:r>
      <w:r w:rsidR="00241766" w:rsidRPr="00241766">
        <w:t>. (n.d.). Scikit-Learn. Retrieved April 30, 2026, from https://scikit-learn/stable/modules/clustering.html</w:t>
      </w:r>
    </w:p>
    <w:p w14:paraId="283C229E" w14:textId="77777777" w:rsidR="00241766" w:rsidRPr="00241766" w:rsidRDefault="00241766" w:rsidP="00241766">
      <w:pPr>
        <w:pStyle w:val="Bibliography"/>
      </w:pPr>
      <w:r w:rsidRPr="00241766">
        <w:t xml:space="preserve">Birdal, R. G., &amp; Sertbas, A. (2023). 3-D Gait Identification Utilizing Latent Canonical Covariates Consisting of Gait Features. </w:t>
      </w:r>
      <w:r w:rsidRPr="00241766">
        <w:rPr>
          <w:i/>
          <w:iCs/>
        </w:rPr>
        <w:t>Computers, Materials and Continua</w:t>
      </w:r>
      <w:r w:rsidRPr="00241766">
        <w:t xml:space="preserve">, </w:t>
      </w:r>
      <w:r w:rsidRPr="00241766">
        <w:rPr>
          <w:i/>
          <w:iCs/>
        </w:rPr>
        <w:t>76</w:t>
      </w:r>
      <w:r w:rsidRPr="00241766">
        <w:t>(3), 2727–2744. https://doi.org/10.32604/cmc.2023.032069</w:t>
      </w:r>
    </w:p>
    <w:p w14:paraId="2608CCDC" w14:textId="77777777" w:rsidR="00241766" w:rsidRPr="00241766" w:rsidRDefault="00241766" w:rsidP="00241766">
      <w:pPr>
        <w:pStyle w:val="Bibliography"/>
      </w:pPr>
      <w:r w:rsidRPr="00241766">
        <w:t xml:space="preserve">Böhm, H., Döderlein, L., Fujak, A., &amp; Dussa, C. U. (2020). Is there a correlation between static radiographs and dynamic foot function in pediatric foot deformities? </w:t>
      </w:r>
      <w:r w:rsidRPr="00241766">
        <w:rPr>
          <w:i/>
          <w:iCs/>
        </w:rPr>
        <w:t>Foot and Ankle Surgery</w:t>
      </w:r>
      <w:r w:rsidRPr="00241766">
        <w:t xml:space="preserve">, </w:t>
      </w:r>
      <w:r w:rsidRPr="00241766">
        <w:rPr>
          <w:i/>
          <w:iCs/>
        </w:rPr>
        <w:t>26</w:t>
      </w:r>
      <w:r w:rsidRPr="00241766">
        <w:t>(7), 801–809. https://doi.org/10.1016/j.fas.2019.10.006</w:t>
      </w:r>
    </w:p>
    <w:p w14:paraId="3AA7D602" w14:textId="77777777" w:rsidR="00241766" w:rsidRPr="00241766" w:rsidRDefault="00241766" w:rsidP="00241766">
      <w:pPr>
        <w:pStyle w:val="Bibliography"/>
      </w:pPr>
      <w:r w:rsidRPr="00241766">
        <w:t xml:space="preserve">Bresnahan, P. J., &amp; Juanto, M. A. (2020). Pediatric Flatfeet—A Disease Entity That Demands Greater Attention and Treatment. </w:t>
      </w:r>
      <w:r w:rsidRPr="00241766">
        <w:rPr>
          <w:i/>
          <w:iCs/>
        </w:rPr>
        <w:t>Frontiers in Pediatrics</w:t>
      </w:r>
      <w:r w:rsidRPr="00241766">
        <w:t xml:space="preserve">, </w:t>
      </w:r>
      <w:r w:rsidRPr="00241766">
        <w:rPr>
          <w:i/>
          <w:iCs/>
        </w:rPr>
        <w:t>8</w:t>
      </w:r>
      <w:r w:rsidRPr="00241766">
        <w:t>, 19. https://doi.org/10.3389/fped.2020.00019</w:t>
      </w:r>
    </w:p>
    <w:p w14:paraId="53C9EC82" w14:textId="77777777" w:rsidR="00241766" w:rsidRPr="00241766" w:rsidRDefault="00241766" w:rsidP="00241766">
      <w:pPr>
        <w:pStyle w:val="Bibliography"/>
      </w:pPr>
      <w:r w:rsidRPr="00241766">
        <w:t xml:space="preserve">Cattell, R. B. (1966). The Scree Test For The Number Of Factors. </w:t>
      </w:r>
      <w:r w:rsidRPr="00241766">
        <w:rPr>
          <w:i/>
          <w:iCs/>
        </w:rPr>
        <w:t>Multivariate Behavioral Research</w:t>
      </w:r>
      <w:r w:rsidRPr="00241766">
        <w:t xml:space="preserve">, </w:t>
      </w:r>
      <w:r w:rsidRPr="00241766">
        <w:rPr>
          <w:i/>
          <w:iCs/>
        </w:rPr>
        <w:t>1</w:t>
      </w:r>
      <w:r w:rsidRPr="00241766">
        <w:t>(2), 245–276. https://doi.org/10.1207/s15327906mbr0102_10</w:t>
      </w:r>
    </w:p>
    <w:p w14:paraId="048312A5" w14:textId="77777777" w:rsidR="00241766" w:rsidRPr="00241766" w:rsidRDefault="00241766" w:rsidP="00241766">
      <w:pPr>
        <w:pStyle w:val="Bibliography"/>
      </w:pPr>
      <w:r w:rsidRPr="00241766">
        <w:lastRenderedPageBreak/>
        <w:t xml:space="preserve">CDC. (2025, July 23). </w:t>
      </w:r>
      <w:r w:rsidRPr="00241766">
        <w:rPr>
          <w:i/>
          <w:iCs/>
        </w:rPr>
        <w:t>About Cerebral Palsy</w:t>
      </w:r>
      <w:r w:rsidRPr="00241766">
        <w:t>. Cerebral Palsy (CP). https://www.cdc.gov/cerebral-palsy/about/index.html</w:t>
      </w:r>
    </w:p>
    <w:p w14:paraId="336EE822" w14:textId="77777777" w:rsidR="00241766" w:rsidRPr="00241766" w:rsidRDefault="00241766" w:rsidP="00241766">
      <w:pPr>
        <w:pStyle w:val="Bibliography"/>
      </w:pPr>
      <w:r w:rsidRPr="00241766">
        <w:rPr>
          <w:i/>
          <w:iCs/>
        </w:rPr>
        <w:t>Cerebral Palsy | National Institute of Neurological Disorders and Stroke</w:t>
      </w:r>
      <w:r w:rsidRPr="00241766">
        <w:t>. (n.d.). Retrieved December 1, 2025, from https://www.ninds.nih.gov/health-information/disorders/cerebral-palsy</w:t>
      </w:r>
    </w:p>
    <w:p w14:paraId="40CC2FED" w14:textId="77777777" w:rsidR="00241766" w:rsidRPr="00241766" w:rsidRDefault="00241766" w:rsidP="00241766">
      <w:pPr>
        <w:pStyle w:val="Bibliography"/>
      </w:pPr>
      <w:r w:rsidRPr="00241766">
        <w:t xml:space="preserve">Dibbern, K., Behrens, A., Talaski, G. M., Mansur, N. S. B., Carvalho, K. A. M., &amp; de Cesar Netto, C. (2023). Evaluation of Automated Coverage and Distance Mapping Selections to Improve Reliability and Clinical Utility of 3D Weightbearing CT Assessments. </w:t>
      </w:r>
      <w:r w:rsidRPr="00241766">
        <w:rPr>
          <w:i/>
          <w:iCs/>
        </w:rPr>
        <w:t>Foot &amp; Ankle Orthopaedics</w:t>
      </w:r>
      <w:r w:rsidRPr="00241766">
        <w:t xml:space="preserve">, </w:t>
      </w:r>
      <w:r w:rsidRPr="00241766">
        <w:rPr>
          <w:i/>
          <w:iCs/>
        </w:rPr>
        <w:t>8</w:t>
      </w:r>
      <w:r w:rsidRPr="00241766">
        <w:t>(4), 2473011423S00153. https://doi.org/10.1177/2473011423S00153</w:t>
      </w:r>
    </w:p>
    <w:p w14:paraId="74576D30" w14:textId="77777777" w:rsidR="00241766" w:rsidRPr="00241766" w:rsidRDefault="00241766" w:rsidP="00241766">
      <w:pPr>
        <w:pStyle w:val="Bibliography"/>
      </w:pPr>
      <w:r w:rsidRPr="00241766">
        <w:t xml:space="preserve">Dibbern, K. N., Krzak, M. G., Olivas, A., Albert, M. V., Krzak, J. J., &amp; Kruger, K. M. (2025). Scoping Review of Machine Learning Techniques in Marker-Based Clinical Gait Analysis. </w:t>
      </w:r>
      <w:r w:rsidRPr="00241766">
        <w:rPr>
          <w:i/>
          <w:iCs/>
        </w:rPr>
        <w:t>Bioengineering</w:t>
      </w:r>
      <w:r w:rsidRPr="00241766">
        <w:t xml:space="preserve">, </w:t>
      </w:r>
      <w:r w:rsidRPr="00241766">
        <w:rPr>
          <w:i/>
          <w:iCs/>
        </w:rPr>
        <w:t>12</w:t>
      </w:r>
      <w:r w:rsidRPr="00241766">
        <w:t>(6), 591. https://doi.org/10.3390/bioengineering12060591</w:t>
      </w:r>
    </w:p>
    <w:p w14:paraId="5904BF53" w14:textId="77777777" w:rsidR="00241766" w:rsidRPr="00241766" w:rsidRDefault="00241766" w:rsidP="00241766">
      <w:pPr>
        <w:pStyle w:val="Bibliography"/>
      </w:pPr>
      <w:r w:rsidRPr="00241766">
        <w:t xml:space="preserve">Dibbern, K. N., Li, S., Vivtcharenko, V., Auch, E., Lintz, F., Ellis, S. J., Femino, J. E., &amp; de Cesar Netto, C. (2021). Three-Dimensional Distance and Coverage Maps in the Assessment of Peritalar Subluxation in Progressive Collapsing Foot Deformity. </w:t>
      </w:r>
      <w:r w:rsidRPr="00241766">
        <w:rPr>
          <w:i/>
          <w:iCs/>
        </w:rPr>
        <w:t>Foot &amp; Ankle International</w:t>
      </w:r>
      <w:r w:rsidRPr="00241766">
        <w:t xml:space="preserve">, </w:t>
      </w:r>
      <w:r w:rsidRPr="00241766">
        <w:rPr>
          <w:i/>
          <w:iCs/>
        </w:rPr>
        <w:t>42</w:t>
      </w:r>
      <w:r w:rsidRPr="00241766">
        <w:t>(6), 757–767. https://doi.org/10.1177/1071100720983227</w:t>
      </w:r>
    </w:p>
    <w:p w14:paraId="262CBAC8" w14:textId="77777777" w:rsidR="00241766" w:rsidRPr="00241766" w:rsidRDefault="00241766" w:rsidP="00241766">
      <w:pPr>
        <w:pStyle w:val="Bibliography"/>
      </w:pPr>
      <w:r w:rsidRPr="00241766">
        <w:t xml:space="preserve">Jolliffe, I. T., &amp; Cadima, J. (2016). Principal component analysis: A review and recent developments. </w:t>
      </w:r>
      <w:r w:rsidRPr="00241766">
        <w:rPr>
          <w:i/>
          <w:iCs/>
        </w:rPr>
        <w:t>Philosophical Transactions of the Royal Society A: Mathematical, Physical and Engineering Sciences</w:t>
      </w:r>
      <w:r w:rsidRPr="00241766">
        <w:t xml:space="preserve">, </w:t>
      </w:r>
      <w:r w:rsidRPr="00241766">
        <w:rPr>
          <w:i/>
          <w:iCs/>
        </w:rPr>
        <w:t>374</w:t>
      </w:r>
      <w:r w:rsidRPr="00241766">
        <w:t>(2065), 20150202. https://doi.org/10.1098/rsta.2015.0202</w:t>
      </w:r>
    </w:p>
    <w:p w14:paraId="1D064627" w14:textId="77777777" w:rsidR="00241766" w:rsidRPr="00241766" w:rsidRDefault="00241766" w:rsidP="00241766">
      <w:pPr>
        <w:pStyle w:val="Bibliography"/>
      </w:pPr>
      <w:r w:rsidRPr="00241766">
        <w:lastRenderedPageBreak/>
        <w:t xml:space="preserve">Kruger, K. M., Graf, A., Flanagan, A., McHenry, B. D., Altiok, H., Smith, P. A., Harris, G. F., &amp; Krzak, J. J. (2019). Segmental foot and ankle kinematic differences between rectus, planus, and cavus foot types. </w:t>
      </w:r>
      <w:r w:rsidRPr="00241766">
        <w:rPr>
          <w:i/>
          <w:iCs/>
        </w:rPr>
        <w:t>Journal of Biomechanics</w:t>
      </w:r>
      <w:r w:rsidRPr="00241766">
        <w:t xml:space="preserve">, </w:t>
      </w:r>
      <w:r w:rsidRPr="00241766">
        <w:rPr>
          <w:i/>
          <w:iCs/>
        </w:rPr>
        <w:t>94</w:t>
      </w:r>
      <w:r w:rsidRPr="00241766">
        <w:t>, 180–186. https://doi.org/10.1016/j.jbiomech.2019.07.032</w:t>
      </w:r>
    </w:p>
    <w:p w14:paraId="14BE0230" w14:textId="77777777" w:rsidR="00241766" w:rsidRPr="00241766" w:rsidRDefault="00241766" w:rsidP="00241766">
      <w:pPr>
        <w:pStyle w:val="Bibliography"/>
      </w:pPr>
      <w:r w:rsidRPr="00241766">
        <w:t xml:space="preserve">Krzak, J. J., Corcos, D. M., Damiano, D. L., Graf, A., Hedeker, D., Smith, P. A., &amp; Harris, G. F. (2015). Kinematic foot types in youth with equinovarus secondary to hemiplegia. </w:t>
      </w:r>
      <w:r w:rsidRPr="00241766">
        <w:rPr>
          <w:i/>
          <w:iCs/>
        </w:rPr>
        <w:t>Gait &amp; Posture</w:t>
      </w:r>
      <w:r w:rsidRPr="00241766">
        <w:t xml:space="preserve">, </w:t>
      </w:r>
      <w:r w:rsidRPr="00241766">
        <w:rPr>
          <w:i/>
          <w:iCs/>
        </w:rPr>
        <w:t>41</w:t>
      </w:r>
      <w:r w:rsidRPr="00241766">
        <w:t>(2), 402–408. https://doi.org/10.1016/j.gaitpost.2014.10.027</w:t>
      </w:r>
    </w:p>
    <w:p w14:paraId="5866B1DE" w14:textId="77777777" w:rsidR="00241766" w:rsidRPr="00241766" w:rsidRDefault="00241766" w:rsidP="00241766">
      <w:pPr>
        <w:pStyle w:val="Bibliography"/>
      </w:pPr>
      <w:r w:rsidRPr="00241766">
        <w:t xml:space="preserve">L, R. M. (1977). Normal and abnormal function of the foot. </w:t>
      </w:r>
      <w:r w:rsidRPr="00241766">
        <w:rPr>
          <w:i/>
          <w:iCs/>
        </w:rPr>
        <w:t>Clinical Biomechanics</w:t>
      </w:r>
      <w:r w:rsidRPr="00241766">
        <w:t xml:space="preserve">, </w:t>
      </w:r>
      <w:r w:rsidRPr="00241766">
        <w:rPr>
          <w:i/>
          <w:iCs/>
        </w:rPr>
        <w:t>0</w:t>
      </w:r>
      <w:r w:rsidRPr="00241766">
        <w:t>, 457–459.</w:t>
      </w:r>
    </w:p>
    <w:p w14:paraId="76C287F5" w14:textId="77777777" w:rsidR="00241766" w:rsidRPr="00241766" w:rsidRDefault="00241766" w:rsidP="00241766">
      <w:pPr>
        <w:pStyle w:val="Bibliography"/>
      </w:pPr>
      <w:r w:rsidRPr="00241766">
        <w:t xml:space="preserve">Lan, Z., Lempereur, M., Gueret, G., Houx, L., Cacioppo, M., Pons, C., Mensah, J., Rémy-Néris, O., Aïssa-El-Bey, A., Rousseau, F., &amp; Brochard, S. (2024). Towards a diagnostic tool for neurological gait disorders in childhood combining 3D gait kinematics and deep learning. </w:t>
      </w:r>
      <w:r w:rsidRPr="00241766">
        <w:rPr>
          <w:i/>
          <w:iCs/>
        </w:rPr>
        <w:t>Computers in Biology and Medicine</w:t>
      </w:r>
      <w:r w:rsidRPr="00241766">
        <w:t xml:space="preserve">, </w:t>
      </w:r>
      <w:r w:rsidRPr="00241766">
        <w:rPr>
          <w:i/>
          <w:iCs/>
        </w:rPr>
        <w:t>171</w:t>
      </w:r>
      <w:r w:rsidRPr="00241766">
        <w:t>, 108095. https://doi.org/10.1016/j.compbiomed.2024.108095</w:t>
      </w:r>
    </w:p>
    <w:p w14:paraId="1FE6BAF1" w14:textId="77777777" w:rsidR="00241766" w:rsidRPr="00241766" w:rsidRDefault="00241766" w:rsidP="00241766">
      <w:pPr>
        <w:pStyle w:val="Bibliography"/>
      </w:pPr>
      <w:r w:rsidRPr="00241766">
        <w:t xml:space="preserve">Park, M. S., Kwon, S.-S., Lee, S. Y., Lee, K. M., Kim, T. G., &amp; Chung, C. Y. (2013). Spontaneous Improvement of Radiographic Indices for Idiopathic Planovalgus with Age. </w:t>
      </w:r>
      <w:r w:rsidRPr="00241766">
        <w:rPr>
          <w:i/>
          <w:iCs/>
        </w:rPr>
        <w:t>JBJS</w:t>
      </w:r>
      <w:r w:rsidRPr="00241766">
        <w:t xml:space="preserve">, </w:t>
      </w:r>
      <w:r w:rsidRPr="00241766">
        <w:rPr>
          <w:i/>
          <w:iCs/>
        </w:rPr>
        <w:t>95</w:t>
      </w:r>
      <w:r w:rsidRPr="00241766">
        <w:t>(24), e193. https://doi.org/10.2106/JBJS.M.00301</w:t>
      </w:r>
    </w:p>
    <w:p w14:paraId="719E699E" w14:textId="77777777" w:rsidR="00241766" w:rsidRPr="00241766" w:rsidRDefault="00241766" w:rsidP="00241766">
      <w:pPr>
        <w:pStyle w:val="Bibliography"/>
      </w:pPr>
      <w:r w:rsidRPr="00241766">
        <w:t xml:space="preserve">Pfeiffer, M., Kotz, R., Ledl, T., Hauser, G., &amp; Sluga, M. (2006). Prevalence of Flat Foot in Preschool-Aged Children. </w:t>
      </w:r>
      <w:r w:rsidRPr="00241766">
        <w:rPr>
          <w:i/>
          <w:iCs/>
        </w:rPr>
        <w:t>Pediatrics</w:t>
      </w:r>
      <w:r w:rsidRPr="00241766">
        <w:t xml:space="preserve">, </w:t>
      </w:r>
      <w:r w:rsidRPr="00241766">
        <w:rPr>
          <w:i/>
          <w:iCs/>
        </w:rPr>
        <w:t>118</w:t>
      </w:r>
      <w:r w:rsidRPr="00241766">
        <w:t>(2), 634–639. https://doi.org/10.1542/peds.2005-2126</w:t>
      </w:r>
    </w:p>
    <w:p w14:paraId="6546C9D5" w14:textId="77777777" w:rsidR="00241766" w:rsidRPr="00241766" w:rsidRDefault="00241766" w:rsidP="00241766">
      <w:pPr>
        <w:pStyle w:val="Bibliography"/>
      </w:pPr>
      <w:r w:rsidRPr="00241766">
        <w:t xml:space="preserve">Pita-Fernandez, S., Gonzalez-Martin, C., Alonso-Tajes, F., Seoane-Pillado, T., Pertega-Diaz, S., Perez-Garcia, S., Seijo-Bestilleiro, R., &amp; Balboa-Barreiro, V. (2017). Flat Foot in a </w:t>
      </w:r>
      <w:r w:rsidRPr="00241766">
        <w:lastRenderedPageBreak/>
        <w:t xml:space="preserve">Random Population and its Impact on Quality of Life and Functionality. </w:t>
      </w:r>
      <w:r w:rsidRPr="00241766">
        <w:rPr>
          <w:i/>
          <w:iCs/>
        </w:rPr>
        <w:t>Journal of Clinical and Diagnostic Research</w:t>
      </w:r>
      <w:r w:rsidRPr="00241766">
        <w:rPr>
          <w:rFonts w:ascii="Arial" w:hAnsi="Arial" w:cs="Arial"/>
          <w:i/>
          <w:iCs/>
        </w:rPr>
        <w:t> </w:t>
      </w:r>
      <w:r w:rsidRPr="00241766">
        <w:rPr>
          <w:i/>
          <w:iCs/>
        </w:rPr>
        <w:t>: JCDR</w:t>
      </w:r>
      <w:r w:rsidRPr="00241766">
        <w:t xml:space="preserve">, </w:t>
      </w:r>
      <w:r w:rsidRPr="00241766">
        <w:rPr>
          <w:i/>
          <w:iCs/>
        </w:rPr>
        <w:t>11</w:t>
      </w:r>
      <w:r w:rsidRPr="00241766">
        <w:t>(4), LC22–LC27. https://doi.org/10.7860/JCDR/2017/24362.9697</w:t>
      </w:r>
    </w:p>
    <w:p w14:paraId="67B9DEE5" w14:textId="77777777" w:rsidR="00241766" w:rsidRPr="00241766" w:rsidRDefault="00241766" w:rsidP="00241766">
      <w:pPr>
        <w:pStyle w:val="Bibliography"/>
      </w:pPr>
      <w:r w:rsidRPr="00241766">
        <w:t xml:space="preserve">Thomas, M. J., Roddy, E., Zhang, W., Menz, H. B., Hannan, M. T., &amp; Peat, G. M. (2011). The population prevalence of foot and ankle pain in middle and old age: A systematic review. </w:t>
      </w:r>
      <w:r w:rsidRPr="00241766">
        <w:rPr>
          <w:i/>
          <w:iCs/>
        </w:rPr>
        <w:t>PAIN</w:t>
      </w:r>
      <w:r w:rsidRPr="00241766">
        <w:t xml:space="preserve">, </w:t>
      </w:r>
      <w:r w:rsidRPr="00241766">
        <w:rPr>
          <w:i/>
          <w:iCs/>
        </w:rPr>
        <w:t>152</w:t>
      </w:r>
      <w:r w:rsidRPr="00241766">
        <w:t>(12). https://journals.lww.com/pain/fulltext/2011/12000/the_population_prevalence_of_foot_and_ankle_pain.28.aspx</w:t>
      </w:r>
    </w:p>
    <w:p w14:paraId="33DD39D0" w14:textId="4CB1D4AA" w:rsidR="001666FB" w:rsidRPr="009C2139" w:rsidRDefault="00982BF6" w:rsidP="00D73425">
      <w:r>
        <w:fldChar w:fldCharType="end"/>
      </w:r>
    </w:p>
    <w:sectPr w:rsidR="001666FB" w:rsidRPr="009C21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 Janet" w:date="2026-04-29T21:55:00Z" w:initials="JL">
    <w:p w14:paraId="24450EF4" w14:textId="77777777" w:rsidR="002E4F7D" w:rsidRDefault="002E4F7D" w:rsidP="002E4F7D">
      <w:pPr>
        <w:pStyle w:val="CommentText"/>
      </w:pPr>
      <w:r>
        <w:rPr>
          <w:rStyle w:val="CommentReference"/>
        </w:rPr>
        <w:annotationRef/>
      </w:r>
      <w:r>
        <w:t xml:space="preserve">Future: consider removing any of the gait features that aren’t included in the top gait features loaded in the Pcs ( me thinks that’s the point lowkey) </w:t>
      </w:r>
    </w:p>
  </w:comment>
  <w:comment w:id="1" w:author="Le, Janet" w:date="2026-04-29T23:14:00Z" w:initials="JL">
    <w:p w14:paraId="42A44BD0" w14:textId="77777777" w:rsidR="00EA4A29" w:rsidRDefault="00EA4A29" w:rsidP="00EA4A29">
      <w:pPr>
        <w:pStyle w:val="CommentText"/>
      </w:pPr>
      <w:r>
        <w:rPr>
          <w:rStyle w:val="CommentReference"/>
        </w:rPr>
        <w:annotationRef/>
      </w:r>
      <w:r>
        <w:t>Technically need to drop eigenvalues not above 1 according to Joe’s protocal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450EF4" w15:done="0"/>
  <w15:commentEx w15:paraId="42A44BD0" w15:paraIdParent="24450E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7A3677" w16cex:dateUtc="2026-04-30T02:55:00Z"/>
  <w16cex:commentExtensible w16cex:durableId="0C09BCEA" w16cex:dateUtc="2026-04-30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450EF4" w16cid:durableId="707A3677"/>
  <w16cid:commentId w16cid:paraId="42A44BD0" w16cid:durableId="0C09B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5693" w14:textId="77777777" w:rsidR="00182E10" w:rsidRDefault="00182E10" w:rsidP="00ED707C">
      <w:pPr>
        <w:spacing w:after="0" w:line="240" w:lineRule="auto"/>
      </w:pPr>
      <w:r>
        <w:separator/>
      </w:r>
    </w:p>
  </w:endnote>
  <w:endnote w:type="continuationSeparator" w:id="0">
    <w:p w14:paraId="07BE36CB" w14:textId="77777777" w:rsidR="00182E10" w:rsidRDefault="00182E10" w:rsidP="00ED7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40085" w14:textId="77777777" w:rsidR="00182E10" w:rsidRDefault="00182E10" w:rsidP="00ED707C">
      <w:pPr>
        <w:spacing w:after="0" w:line="240" w:lineRule="auto"/>
      </w:pPr>
      <w:r>
        <w:separator/>
      </w:r>
    </w:p>
  </w:footnote>
  <w:footnote w:type="continuationSeparator" w:id="0">
    <w:p w14:paraId="4B58EB37" w14:textId="77777777" w:rsidR="00182E10" w:rsidRDefault="00182E10" w:rsidP="00ED7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75D07"/>
    <w:multiLevelType w:val="hybridMultilevel"/>
    <w:tmpl w:val="4C4EAFEC"/>
    <w:lvl w:ilvl="0" w:tplc="82EE8560">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077E97"/>
    <w:multiLevelType w:val="hybridMultilevel"/>
    <w:tmpl w:val="74FC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BE43FC"/>
    <w:multiLevelType w:val="hybridMultilevel"/>
    <w:tmpl w:val="3D4E43FC"/>
    <w:lvl w:ilvl="0" w:tplc="B02C146E">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E51B97"/>
    <w:multiLevelType w:val="hybridMultilevel"/>
    <w:tmpl w:val="6D12B4A2"/>
    <w:lvl w:ilvl="0" w:tplc="DE04BA8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D65854"/>
    <w:multiLevelType w:val="hybridMultilevel"/>
    <w:tmpl w:val="90A467E2"/>
    <w:lvl w:ilvl="0" w:tplc="8850CE8C">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434466">
    <w:abstractNumId w:val="1"/>
  </w:num>
  <w:num w:numId="2" w16cid:durableId="1686445220">
    <w:abstractNumId w:val="3"/>
  </w:num>
  <w:num w:numId="3" w16cid:durableId="1520196269">
    <w:abstractNumId w:val="2"/>
  </w:num>
  <w:num w:numId="4" w16cid:durableId="224221948">
    <w:abstractNumId w:val="4"/>
  </w:num>
  <w:num w:numId="5" w16cid:durableId="1674086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 Janet">
    <w15:presenceInfo w15:providerId="AD" w15:userId="S::janet.le@marquette.edu::8e40c926-58e9-45ad-986e-ffade92558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19"/>
    <w:rsid w:val="00007198"/>
    <w:rsid w:val="00010D50"/>
    <w:rsid w:val="00026E5E"/>
    <w:rsid w:val="0004118F"/>
    <w:rsid w:val="00046055"/>
    <w:rsid w:val="00050484"/>
    <w:rsid w:val="0005088A"/>
    <w:rsid w:val="000577D4"/>
    <w:rsid w:val="000628CC"/>
    <w:rsid w:val="000671A8"/>
    <w:rsid w:val="000779C7"/>
    <w:rsid w:val="000871C3"/>
    <w:rsid w:val="000878FA"/>
    <w:rsid w:val="00092F5B"/>
    <w:rsid w:val="000A01D5"/>
    <w:rsid w:val="000A5009"/>
    <w:rsid w:val="000B6535"/>
    <w:rsid w:val="000C4A3A"/>
    <w:rsid w:val="000D51F4"/>
    <w:rsid w:val="000D6A06"/>
    <w:rsid w:val="000F23AA"/>
    <w:rsid w:val="00102AA3"/>
    <w:rsid w:val="00102D8E"/>
    <w:rsid w:val="0012162F"/>
    <w:rsid w:val="001267AD"/>
    <w:rsid w:val="001279D3"/>
    <w:rsid w:val="00132C2F"/>
    <w:rsid w:val="001360F6"/>
    <w:rsid w:val="0014017F"/>
    <w:rsid w:val="0014102E"/>
    <w:rsid w:val="001420DD"/>
    <w:rsid w:val="00143EFA"/>
    <w:rsid w:val="00146D7C"/>
    <w:rsid w:val="00151FD5"/>
    <w:rsid w:val="001526BC"/>
    <w:rsid w:val="00154555"/>
    <w:rsid w:val="00156FA7"/>
    <w:rsid w:val="00162606"/>
    <w:rsid w:val="00163489"/>
    <w:rsid w:val="001666FB"/>
    <w:rsid w:val="001679FD"/>
    <w:rsid w:val="00175965"/>
    <w:rsid w:val="00177E3C"/>
    <w:rsid w:val="00182DB0"/>
    <w:rsid w:val="00182E10"/>
    <w:rsid w:val="00183704"/>
    <w:rsid w:val="001868E0"/>
    <w:rsid w:val="001923DA"/>
    <w:rsid w:val="00196637"/>
    <w:rsid w:val="00196C7F"/>
    <w:rsid w:val="001A284A"/>
    <w:rsid w:val="001C0FF8"/>
    <w:rsid w:val="001E0CAD"/>
    <w:rsid w:val="001E0E4F"/>
    <w:rsid w:val="001E15C6"/>
    <w:rsid w:val="001F78ED"/>
    <w:rsid w:val="00203735"/>
    <w:rsid w:val="002064AA"/>
    <w:rsid w:val="002309B8"/>
    <w:rsid w:val="00241766"/>
    <w:rsid w:val="00241CD7"/>
    <w:rsid w:val="002424DD"/>
    <w:rsid w:val="0024393E"/>
    <w:rsid w:val="002442F5"/>
    <w:rsid w:val="00250AFE"/>
    <w:rsid w:val="00250B9F"/>
    <w:rsid w:val="00257457"/>
    <w:rsid w:val="00287E6D"/>
    <w:rsid w:val="00290701"/>
    <w:rsid w:val="0029273D"/>
    <w:rsid w:val="00292AB9"/>
    <w:rsid w:val="00294A6E"/>
    <w:rsid w:val="002A57D5"/>
    <w:rsid w:val="002C39E2"/>
    <w:rsid w:val="002E1329"/>
    <w:rsid w:val="002E2F7F"/>
    <w:rsid w:val="002E4925"/>
    <w:rsid w:val="002E4F7D"/>
    <w:rsid w:val="002E5C36"/>
    <w:rsid w:val="002E6F2A"/>
    <w:rsid w:val="002F16AB"/>
    <w:rsid w:val="002F5BCA"/>
    <w:rsid w:val="002F6AA0"/>
    <w:rsid w:val="0031259B"/>
    <w:rsid w:val="003170AE"/>
    <w:rsid w:val="00340D59"/>
    <w:rsid w:val="0034281C"/>
    <w:rsid w:val="0034497C"/>
    <w:rsid w:val="003508EE"/>
    <w:rsid w:val="00356AE4"/>
    <w:rsid w:val="00357732"/>
    <w:rsid w:val="00361A6D"/>
    <w:rsid w:val="0036567D"/>
    <w:rsid w:val="00365699"/>
    <w:rsid w:val="003676FC"/>
    <w:rsid w:val="00373602"/>
    <w:rsid w:val="00380EE6"/>
    <w:rsid w:val="00397150"/>
    <w:rsid w:val="003C373D"/>
    <w:rsid w:val="003C3D98"/>
    <w:rsid w:val="003C6315"/>
    <w:rsid w:val="003C7DB8"/>
    <w:rsid w:val="003D26C7"/>
    <w:rsid w:val="003D534B"/>
    <w:rsid w:val="003D55A4"/>
    <w:rsid w:val="003D748D"/>
    <w:rsid w:val="003E1F6F"/>
    <w:rsid w:val="003F1431"/>
    <w:rsid w:val="00402864"/>
    <w:rsid w:val="00407440"/>
    <w:rsid w:val="004231E5"/>
    <w:rsid w:val="00423371"/>
    <w:rsid w:val="00424A0D"/>
    <w:rsid w:val="00441E7D"/>
    <w:rsid w:val="00453BEF"/>
    <w:rsid w:val="004632CB"/>
    <w:rsid w:val="00475D4C"/>
    <w:rsid w:val="004761F6"/>
    <w:rsid w:val="00480A1A"/>
    <w:rsid w:val="0049107F"/>
    <w:rsid w:val="004928B5"/>
    <w:rsid w:val="00494A9F"/>
    <w:rsid w:val="004A1659"/>
    <w:rsid w:val="004C2DC4"/>
    <w:rsid w:val="004C3B32"/>
    <w:rsid w:val="004D0DCE"/>
    <w:rsid w:val="004E2938"/>
    <w:rsid w:val="004E7029"/>
    <w:rsid w:val="004F4065"/>
    <w:rsid w:val="004F439D"/>
    <w:rsid w:val="00505BC0"/>
    <w:rsid w:val="005114CA"/>
    <w:rsid w:val="00512461"/>
    <w:rsid w:val="00525634"/>
    <w:rsid w:val="00526881"/>
    <w:rsid w:val="005300DD"/>
    <w:rsid w:val="005312A2"/>
    <w:rsid w:val="00533F45"/>
    <w:rsid w:val="00543181"/>
    <w:rsid w:val="00547872"/>
    <w:rsid w:val="00552632"/>
    <w:rsid w:val="005633CD"/>
    <w:rsid w:val="005849CA"/>
    <w:rsid w:val="00585FE9"/>
    <w:rsid w:val="005974E5"/>
    <w:rsid w:val="005A123B"/>
    <w:rsid w:val="005B5385"/>
    <w:rsid w:val="005B655F"/>
    <w:rsid w:val="005C4D85"/>
    <w:rsid w:val="005C5FCC"/>
    <w:rsid w:val="005D3519"/>
    <w:rsid w:val="005D65E4"/>
    <w:rsid w:val="005F4AAC"/>
    <w:rsid w:val="006021A2"/>
    <w:rsid w:val="006067CA"/>
    <w:rsid w:val="00606818"/>
    <w:rsid w:val="0060714C"/>
    <w:rsid w:val="00610C4F"/>
    <w:rsid w:val="0061764F"/>
    <w:rsid w:val="00622759"/>
    <w:rsid w:val="00627A0D"/>
    <w:rsid w:val="006356BD"/>
    <w:rsid w:val="00635E16"/>
    <w:rsid w:val="00650D16"/>
    <w:rsid w:val="00654F43"/>
    <w:rsid w:val="006634A8"/>
    <w:rsid w:val="00663ECA"/>
    <w:rsid w:val="00664297"/>
    <w:rsid w:val="00674D9C"/>
    <w:rsid w:val="00687FCD"/>
    <w:rsid w:val="00695EB8"/>
    <w:rsid w:val="00695EF5"/>
    <w:rsid w:val="006A015C"/>
    <w:rsid w:val="006B1254"/>
    <w:rsid w:val="006B7A7A"/>
    <w:rsid w:val="006C39E8"/>
    <w:rsid w:val="006C3FF1"/>
    <w:rsid w:val="006D3D46"/>
    <w:rsid w:val="006D441D"/>
    <w:rsid w:val="006E0481"/>
    <w:rsid w:val="006E2C0B"/>
    <w:rsid w:val="006E4FA8"/>
    <w:rsid w:val="006E79F3"/>
    <w:rsid w:val="006F5321"/>
    <w:rsid w:val="007013D4"/>
    <w:rsid w:val="007014F5"/>
    <w:rsid w:val="00705DDA"/>
    <w:rsid w:val="00707828"/>
    <w:rsid w:val="0071083C"/>
    <w:rsid w:val="00712911"/>
    <w:rsid w:val="00712F32"/>
    <w:rsid w:val="0072103B"/>
    <w:rsid w:val="007250EE"/>
    <w:rsid w:val="007333D4"/>
    <w:rsid w:val="00735146"/>
    <w:rsid w:val="00737296"/>
    <w:rsid w:val="00742CF3"/>
    <w:rsid w:val="0075384B"/>
    <w:rsid w:val="007542E3"/>
    <w:rsid w:val="00755341"/>
    <w:rsid w:val="0075552C"/>
    <w:rsid w:val="00756C0E"/>
    <w:rsid w:val="0076756B"/>
    <w:rsid w:val="00771593"/>
    <w:rsid w:val="00771CDF"/>
    <w:rsid w:val="00776306"/>
    <w:rsid w:val="00794E6D"/>
    <w:rsid w:val="007A0262"/>
    <w:rsid w:val="007A6B80"/>
    <w:rsid w:val="007B208B"/>
    <w:rsid w:val="007D6324"/>
    <w:rsid w:val="008000CD"/>
    <w:rsid w:val="00803B2D"/>
    <w:rsid w:val="0080569F"/>
    <w:rsid w:val="00811E3E"/>
    <w:rsid w:val="008160F6"/>
    <w:rsid w:val="0083185C"/>
    <w:rsid w:val="00832D0E"/>
    <w:rsid w:val="00833C9A"/>
    <w:rsid w:val="00837CB7"/>
    <w:rsid w:val="00842648"/>
    <w:rsid w:val="0085118F"/>
    <w:rsid w:val="00854B18"/>
    <w:rsid w:val="0085701E"/>
    <w:rsid w:val="00860AEE"/>
    <w:rsid w:val="00866167"/>
    <w:rsid w:val="00884EBE"/>
    <w:rsid w:val="008871BC"/>
    <w:rsid w:val="00892563"/>
    <w:rsid w:val="008967A0"/>
    <w:rsid w:val="008B3CC8"/>
    <w:rsid w:val="008B545A"/>
    <w:rsid w:val="008B63B7"/>
    <w:rsid w:val="008B781B"/>
    <w:rsid w:val="008C0397"/>
    <w:rsid w:val="008C0FE9"/>
    <w:rsid w:val="008C1D54"/>
    <w:rsid w:val="008C451D"/>
    <w:rsid w:val="008C7B4E"/>
    <w:rsid w:val="008D129D"/>
    <w:rsid w:val="008D2C9C"/>
    <w:rsid w:val="008E28B1"/>
    <w:rsid w:val="008F227D"/>
    <w:rsid w:val="00903071"/>
    <w:rsid w:val="00906261"/>
    <w:rsid w:val="00911EA8"/>
    <w:rsid w:val="009125D4"/>
    <w:rsid w:val="009162C3"/>
    <w:rsid w:val="00916C67"/>
    <w:rsid w:val="00922F23"/>
    <w:rsid w:val="00923A35"/>
    <w:rsid w:val="00924611"/>
    <w:rsid w:val="00927AD8"/>
    <w:rsid w:val="00931956"/>
    <w:rsid w:val="00932731"/>
    <w:rsid w:val="00937C8E"/>
    <w:rsid w:val="00945FD0"/>
    <w:rsid w:val="00954610"/>
    <w:rsid w:val="00957772"/>
    <w:rsid w:val="009608BD"/>
    <w:rsid w:val="00965011"/>
    <w:rsid w:val="0096586A"/>
    <w:rsid w:val="0096661F"/>
    <w:rsid w:val="00967BB9"/>
    <w:rsid w:val="00970308"/>
    <w:rsid w:val="009705D8"/>
    <w:rsid w:val="00981180"/>
    <w:rsid w:val="00982BF6"/>
    <w:rsid w:val="00984CC6"/>
    <w:rsid w:val="00985182"/>
    <w:rsid w:val="00985776"/>
    <w:rsid w:val="00997F4E"/>
    <w:rsid w:val="009A59D8"/>
    <w:rsid w:val="009C0DEE"/>
    <w:rsid w:val="009C109E"/>
    <w:rsid w:val="009C2139"/>
    <w:rsid w:val="009D5C10"/>
    <w:rsid w:val="009D5EF4"/>
    <w:rsid w:val="009D7296"/>
    <w:rsid w:val="009D7901"/>
    <w:rsid w:val="009E1EDC"/>
    <w:rsid w:val="009E5A8F"/>
    <w:rsid w:val="00A0040A"/>
    <w:rsid w:val="00A14693"/>
    <w:rsid w:val="00A16623"/>
    <w:rsid w:val="00A17205"/>
    <w:rsid w:val="00A179A9"/>
    <w:rsid w:val="00A32671"/>
    <w:rsid w:val="00A34946"/>
    <w:rsid w:val="00A40057"/>
    <w:rsid w:val="00A52647"/>
    <w:rsid w:val="00A57279"/>
    <w:rsid w:val="00A6037D"/>
    <w:rsid w:val="00A61F4C"/>
    <w:rsid w:val="00A94364"/>
    <w:rsid w:val="00A9655E"/>
    <w:rsid w:val="00AC0952"/>
    <w:rsid w:val="00AD3F58"/>
    <w:rsid w:val="00AD75E9"/>
    <w:rsid w:val="00AE7631"/>
    <w:rsid w:val="00AF0478"/>
    <w:rsid w:val="00B01DB0"/>
    <w:rsid w:val="00B10AD6"/>
    <w:rsid w:val="00B2033A"/>
    <w:rsid w:val="00B22CAB"/>
    <w:rsid w:val="00B25D7A"/>
    <w:rsid w:val="00B335D2"/>
    <w:rsid w:val="00B360A3"/>
    <w:rsid w:val="00B507AF"/>
    <w:rsid w:val="00B6134E"/>
    <w:rsid w:val="00B6371F"/>
    <w:rsid w:val="00B724C7"/>
    <w:rsid w:val="00B77C98"/>
    <w:rsid w:val="00B838C4"/>
    <w:rsid w:val="00B8773B"/>
    <w:rsid w:val="00B939FC"/>
    <w:rsid w:val="00B97BE8"/>
    <w:rsid w:val="00BA5C9C"/>
    <w:rsid w:val="00BA7C93"/>
    <w:rsid w:val="00BB52C2"/>
    <w:rsid w:val="00BD0BBF"/>
    <w:rsid w:val="00BD0E7E"/>
    <w:rsid w:val="00BD5119"/>
    <w:rsid w:val="00BD5795"/>
    <w:rsid w:val="00BD7A21"/>
    <w:rsid w:val="00BE5DBA"/>
    <w:rsid w:val="00BF3B31"/>
    <w:rsid w:val="00C03B1F"/>
    <w:rsid w:val="00C31CF5"/>
    <w:rsid w:val="00C370C2"/>
    <w:rsid w:val="00C53B24"/>
    <w:rsid w:val="00C57CF4"/>
    <w:rsid w:val="00C66DB1"/>
    <w:rsid w:val="00C75A6F"/>
    <w:rsid w:val="00C75D33"/>
    <w:rsid w:val="00C766BF"/>
    <w:rsid w:val="00C9298A"/>
    <w:rsid w:val="00CA27D4"/>
    <w:rsid w:val="00CB2CC0"/>
    <w:rsid w:val="00CC05E1"/>
    <w:rsid w:val="00CD102A"/>
    <w:rsid w:val="00CD6A48"/>
    <w:rsid w:val="00CD70BB"/>
    <w:rsid w:val="00CE60A2"/>
    <w:rsid w:val="00CE6918"/>
    <w:rsid w:val="00CE7C85"/>
    <w:rsid w:val="00CF0858"/>
    <w:rsid w:val="00CF17E9"/>
    <w:rsid w:val="00CF267F"/>
    <w:rsid w:val="00D0363F"/>
    <w:rsid w:val="00D1126F"/>
    <w:rsid w:val="00D12163"/>
    <w:rsid w:val="00D164E7"/>
    <w:rsid w:val="00D20A3E"/>
    <w:rsid w:val="00D23EDC"/>
    <w:rsid w:val="00D31604"/>
    <w:rsid w:val="00D4073D"/>
    <w:rsid w:val="00D43D8C"/>
    <w:rsid w:val="00D47B5D"/>
    <w:rsid w:val="00D51B67"/>
    <w:rsid w:val="00D5227F"/>
    <w:rsid w:val="00D52994"/>
    <w:rsid w:val="00D54783"/>
    <w:rsid w:val="00D55CC7"/>
    <w:rsid w:val="00D71F4D"/>
    <w:rsid w:val="00D73425"/>
    <w:rsid w:val="00D92E79"/>
    <w:rsid w:val="00D95CD0"/>
    <w:rsid w:val="00DA11C3"/>
    <w:rsid w:val="00DA7B1B"/>
    <w:rsid w:val="00DA7C20"/>
    <w:rsid w:val="00DB7459"/>
    <w:rsid w:val="00DC352E"/>
    <w:rsid w:val="00DD7D95"/>
    <w:rsid w:val="00DE1533"/>
    <w:rsid w:val="00DE5931"/>
    <w:rsid w:val="00DF010F"/>
    <w:rsid w:val="00DF54A9"/>
    <w:rsid w:val="00E003B8"/>
    <w:rsid w:val="00E01AF4"/>
    <w:rsid w:val="00E01D06"/>
    <w:rsid w:val="00E06F10"/>
    <w:rsid w:val="00E119F7"/>
    <w:rsid w:val="00E15E6F"/>
    <w:rsid w:val="00E33EC6"/>
    <w:rsid w:val="00E412ED"/>
    <w:rsid w:val="00E441BD"/>
    <w:rsid w:val="00E73BB9"/>
    <w:rsid w:val="00E85742"/>
    <w:rsid w:val="00EA4A29"/>
    <w:rsid w:val="00EB1D10"/>
    <w:rsid w:val="00EB5ABD"/>
    <w:rsid w:val="00EC1191"/>
    <w:rsid w:val="00EC13AE"/>
    <w:rsid w:val="00EC443C"/>
    <w:rsid w:val="00EC6853"/>
    <w:rsid w:val="00ED1D44"/>
    <w:rsid w:val="00ED3D44"/>
    <w:rsid w:val="00ED707C"/>
    <w:rsid w:val="00EE1F0C"/>
    <w:rsid w:val="00EE236A"/>
    <w:rsid w:val="00EE534F"/>
    <w:rsid w:val="00EF17B7"/>
    <w:rsid w:val="00EF4E44"/>
    <w:rsid w:val="00EF635C"/>
    <w:rsid w:val="00F06031"/>
    <w:rsid w:val="00F12CB2"/>
    <w:rsid w:val="00F1391E"/>
    <w:rsid w:val="00F145D4"/>
    <w:rsid w:val="00F152A6"/>
    <w:rsid w:val="00F23FF6"/>
    <w:rsid w:val="00F2518A"/>
    <w:rsid w:val="00F319E6"/>
    <w:rsid w:val="00F36EBB"/>
    <w:rsid w:val="00F568C9"/>
    <w:rsid w:val="00F62AE6"/>
    <w:rsid w:val="00F67B9E"/>
    <w:rsid w:val="00F7319F"/>
    <w:rsid w:val="00F73605"/>
    <w:rsid w:val="00F73E5D"/>
    <w:rsid w:val="00F75960"/>
    <w:rsid w:val="00F81EA4"/>
    <w:rsid w:val="00F83C87"/>
    <w:rsid w:val="00F859EF"/>
    <w:rsid w:val="00F93546"/>
    <w:rsid w:val="00F97621"/>
    <w:rsid w:val="00FA3F88"/>
    <w:rsid w:val="00FA4844"/>
    <w:rsid w:val="00FB28D6"/>
    <w:rsid w:val="00FC0F39"/>
    <w:rsid w:val="00FC2203"/>
    <w:rsid w:val="00FC3F47"/>
    <w:rsid w:val="00FC4243"/>
    <w:rsid w:val="00FD45A1"/>
    <w:rsid w:val="00FE0694"/>
    <w:rsid w:val="00FE3E53"/>
    <w:rsid w:val="00FE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FE1E"/>
  <w15:chartTrackingRefBased/>
  <w15:docId w15:val="{87DBC7E6-2937-47DA-9F1A-68225850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3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3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519"/>
    <w:rPr>
      <w:rFonts w:eastAsiaTheme="majorEastAsia" w:cstheme="majorBidi"/>
      <w:color w:val="272727" w:themeColor="text1" w:themeTint="D8"/>
    </w:rPr>
  </w:style>
  <w:style w:type="paragraph" w:styleId="Title">
    <w:name w:val="Title"/>
    <w:basedOn w:val="Normal"/>
    <w:next w:val="Normal"/>
    <w:link w:val="TitleChar"/>
    <w:uiPriority w:val="10"/>
    <w:qFormat/>
    <w:rsid w:val="005D3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519"/>
    <w:pPr>
      <w:spacing w:before="160"/>
      <w:jc w:val="center"/>
    </w:pPr>
    <w:rPr>
      <w:i/>
      <w:iCs/>
      <w:color w:val="404040" w:themeColor="text1" w:themeTint="BF"/>
    </w:rPr>
  </w:style>
  <w:style w:type="character" w:customStyle="1" w:styleId="QuoteChar">
    <w:name w:val="Quote Char"/>
    <w:basedOn w:val="DefaultParagraphFont"/>
    <w:link w:val="Quote"/>
    <w:uiPriority w:val="29"/>
    <w:rsid w:val="005D3519"/>
    <w:rPr>
      <w:i/>
      <w:iCs/>
      <w:color w:val="404040" w:themeColor="text1" w:themeTint="BF"/>
    </w:rPr>
  </w:style>
  <w:style w:type="paragraph" w:styleId="ListParagraph">
    <w:name w:val="List Paragraph"/>
    <w:basedOn w:val="Normal"/>
    <w:uiPriority w:val="34"/>
    <w:qFormat/>
    <w:rsid w:val="005D3519"/>
    <w:pPr>
      <w:ind w:left="720"/>
      <w:contextualSpacing/>
    </w:pPr>
  </w:style>
  <w:style w:type="character" w:styleId="IntenseEmphasis">
    <w:name w:val="Intense Emphasis"/>
    <w:basedOn w:val="DefaultParagraphFont"/>
    <w:uiPriority w:val="21"/>
    <w:qFormat/>
    <w:rsid w:val="005D3519"/>
    <w:rPr>
      <w:i/>
      <w:iCs/>
      <w:color w:val="0F4761" w:themeColor="accent1" w:themeShade="BF"/>
    </w:rPr>
  </w:style>
  <w:style w:type="paragraph" w:styleId="IntenseQuote">
    <w:name w:val="Intense Quote"/>
    <w:basedOn w:val="Normal"/>
    <w:next w:val="Normal"/>
    <w:link w:val="IntenseQuoteChar"/>
    <w:uiPriority w:val="30"/>
    <w:qFormat/>
    <w:rsid w:val="005D3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519"/>
    <w:rPr>
      <w:i/>
      <w:iCs/>
      <w:color w:val="0F4761" w:themeColor="accent1" w:themeShade="BF"/>
    </w:rPr>
  </w:style>
  <w:style w:type="character" w:styleId="IntenseReference">
    <w:name w:val="Intense Reference"/>
    <w:basedOn w:val="DefaultParagraphFont"/>
    <w:uiPriority w:val="32"/>
    <w:qFormat/>
    <w:rsid w:val="005D3519"/>
    <w:rPr>
      <w:b/>
      <w:bCs/>
      <w:smallCaps/>
      <w:color w:val="0F4761" w:themeColor="accent1" w:themeShade="BF"/>
      <w:spacing w:val="5"/>
    </w:rPr>
  </w:style>
  <w:style w:type="paragraph" w:styleId="Bibliography">
    <w:name w:val="Bibliography"/>
    <w:basedOn w:val="Normal"/>
    <w:next w:val="Normal"/>
    <w:uiPriority w:val="37"/>
    <w:unhideWhenUsed/>
    <w:rsid w:val="00982BF6"/>
    <w:pPr>
      <w:spacing w:after="0" w:line="480" w:lineRule="auto"/>
      <w:ind w:left="720" w:hanging="720"/>
    </w:pPr>
  </w:style>
  <w:style w:type="character" w:styleId="PlaceholderText">
    <w:name w:val="Placeholder Text"/>
    <w:basedOn w:val="DefaultParagraphFont"/>
    <w:uiPriority w:val="99"/>
    <w:semiHidden/>
    <w:rsid w:val="006E2C0B"/>
    <w:rPr>
      <w:color w:val="666666"/>
    </w:rPr>
  </w:style>
  <w:style w:type="character" w:styleId="CommentReference">
    <w:name w:val="annotation reference"/>
    <w:basedOn w:val="DefaultParagraphFont"/>
    <w:uiPriority w:val="99"/>
    <w:semiHidden/>
    <w:unhideWhenUsed/>
    <w:rsid w:val="002E4F7D"/>
    <w:rPr>
      <w:sz w:val="16"/>
      <w:szCs w:val="16"/>
    </w:rPr>
  </w:style>
  <w:style w:type="paragraph" w:styleId="CommentText">
    <w:name w:val="annotation text"/>
    <w:basedOn w:val="Normal"/>
    <w:link w:val="CommentTextChar"/>
    <w:uiPriority w:val="99"/>
    <w:unhideWhenUsed/>
    <w:rsid w:val="002E4F7D"/>
    <w:pPr>
      <w:spacing w:line="240" w:lineRule="auto"/>
    </w:pPr>
    <w:rPr>
      <w:sz w:val="20"/>
      <w:szCs w:val="20"/>
    </w:rPr>
  </w:style>
  <w:style w:type="character" w:customStyle="1" w:styleId="CommentTextChar">
    <w:name w:val="Comment Text Char"/>
    <w:basedOn w:val="DefaultParagraphFont"/>
    <w:link w:val="CommentText"/>
    <w:uiPriority w:val="99"/>
    <w:rsid w:val="002E4F7D"/>
    <w:rPr>
      <w:sz w:val="20"/>
      <w:szCs w:val="20"/>
    </w:rPr>
  </w:style>
  <w:style w:type="paragraph" w:styleId="CommentSubject">
    <w:name w:val="annotation subject"/>
    <w:basedOn w:val="CommentText"/>
    <w:next w:val="CommentText"/>
    <w:link w:val="CommentSubjectChar"/>
    <w:uiPriority w:val="99"/>
    <w:semiHidden/>
    <w:unhideWhenUsed/>
    <w:rsid w:val="002E4F7D"/>
    <w:rPr>
      <w:b/>
      <w:bCs/>
    </w:rPr>
  </w:style>
  <w:style w:type="character" w:customStyle="1" w:styleId="CommentSubjectChar">
    <w:name w:val="Comment Subject Char"/>
    <w:basedOn w:val="CommentTextChar"/>
    <w:link w:val="CommentSubject"/>
    <w:uiPriority w:val="99"/>
    <w:semiHidden/>
    <w:rsid w:val="002E4F7D"/>
    <w:rPr>
      <w:b/>
      <w:bCs/>
      <w:sz w:val="20"/>
      <w:szCs w:val="20"/>
    </w:rPr>
  </w:style>
  <w:style w:type="table" w:styleId="TableGrid">
    <w:name w:val="Table Grid"/>
    <w:basedOn w:val="TableNormal"/>
    <w:uiPriority w:val="39"/>
    <w:rsid w:val="00EE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7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07C"/>
  </w:style>
  <w:style w:type="paragraph" w:styleId="Footer">
    <w:name w:val="footer"/>
    <w:basedOn w:val="Normal"/>
    <w:link w:val="FooterChar"/>
    <w:uiPriority w:val="99"/>
    <w:unhideWhenUsed/>
    <w:rsid w:val="00ED7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be32f68-c72d-420d-b5bd-750c63a268e4}" enabled="0" method="" siteId="{abe32f68-c72d-420d-b5bd-750c63a268e4}" removed="1"/>
</clbl:labelList>
</file>

<file path=docProps/app.xml><?xml version="1.0" encoding="utf-8"?>
<Properties xmlns="http://schemas.openxmlformats.org/officeDocument/2006/extended-properties" xmlns:vt="http://schemas.openxmlformats.org/officeDocument/2006/docPropsVTypes">
  <Template>Normal</Template>
  <TotalTime>864</TotalTime>
  <Pages>18</Pages>
  <Words>10106</Words>
  <Characters>57608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Janet</dc:creator>
  <cp:keywords/>
  <dc:description/>
  <cp:lastModifiedBy>Le, Janet</cp:lastModifiedBy>
  <cp:revision>424</cp:revision>
  <dcterms:created xsi:type="dcterms:W3CDTF">2026-04-29T13:18:00Z</dcterms:created>
  <dcterms:modified xsi:type="dcterms:W3CDTF">2026-05-01T04:01:00Z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id="BsNu7s0w"/&gt;&lt;style id="http://www.zotero.org/styles/apa" locale="en-US" hasBibliography="1" bibliographyStyleHasBeenSet="1"/&gt;&lt;prefs&gt;&lt;pref name="fieldType" value="Field"/&gt;&lt;/prefs&gt;&lt;/data&gt;</vt:lpwstr>
  </property>
</Properties>
</file>