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ordflow-strategi-20252028--utdrag"/>
    <w:p>
      <w:pPr>
        <w:pStyle w:val="Heading1"/>
      </w:pPr>
      <w:r>
        <w:t xml:space="preserve">Nordflow-strategi 2025–2028 – utdrag</w:t>
      </w:r>
    </w:p>
    <w:bookmarkStart w:id="20" w:name="retning"/>
    <w:p>
      <w:pPr>
        <w:pStyle w:val="Heading2"/>
      </w:pPr>
      <w:r>
        <w:t xml:space="preserve">Retning</w:t>
      </w:r>
    </w:p>
    <w:p>
      <w:pPr>
        <w:pStyle w:val="FirstParagraph"/>
      </w:pPr>
      <w:r>
        <w:t xml:space="preserve">Nordflow skal bli den mest pålitelige nordiske partneren for teknisk drift. Veksten skal komme fra lange B2B-kontrakter, digitale tilleggstjenester og en mer ensartet kundeopplevelse i Norge, Sverige og Danmark.</w:t>
      </w:r>
    </w:p>
    <w:bookmarkEnd w:id="20"/>
    <w:bookmarkStart w:id="21" w:name="strategiske-prioriteringer"/>
    <w:p>
      <w:pPr>
        <w:pStyle w:val="Heading2"/>
      </w:pPr>
      <w:r>
        <w:t xml:space="preserve">Strategiske prioriteringer</w:t>
      </w:r>
    </w:p>
    <w:p>
      <w:pPr>
        <w:numPr>
          <w:ilvl w:val="0"/>
          <w:numId w:val="1001"/>
        </w:numPr>
        <w:pStyle w:val="Compact"/>
      </w:pPr>
      <w:r>
        <w:t xml:space="preserve">Én nordisk kundereise med tydelig ansvar fra tilbud til faktura.</w:t>
      </w:r>
    </w:p>
    <w:p>
      <w:pPr>
        <w:numPr>
          <w:ilvl w:val="0"/>
          <w:numId w:val="1001"/>
        </w:numPr>
        <w:pStyle w:val="Compact"/>
      </w:pPr>
      <w:r>
        <w:t xml:space="preserve">Standardiserte kjerneprosesser, samtidig som dokumenterte lokale kontraktskrav ivaretas.</w:t>
      </w:r>
    </w:p>
    <w:p>
      <w:pPr>
        <w:numPr>
          <w:ilvl w:val="0"/>
          <w:numId w:val="1001"/>
        </w:numPr>
        <w:pStyle w:val="Compact"/>
      </w:pPr>
      <w:r>
        <w:t xml:space="preserve">Høyere andel gjentakende inntekter og lavere kundefrafall.</w:t>
      </w:r>
    </w:p>
    <w:p>
      <w:pPr>
        <w:numPr>
          <w:ilvl w:val="0"/>
          <w:numId w:val="1001"/>
        </w:numPr>
        <w:pStyle w:val="Compact"/>
      </w:pPr>
      <w:r>
        <w:t xml:space="preserve">Færre systemvarianter og bedre utnyttelse av data.</w:t>
      </w:r>
    </w:p>
    <w:p>
      <w:pPr>
        <w:numPr>
          <w:ilvl w:val="0"/>
          <w:numId w:val="1001"/>
        </w:numPr>
        <w:pStyle w:val="Compact"/>
      </w:pPr>
      <w:r>
        <w:t xml:space="preserve">Integrere Cobalt uten å svekke den løpende kundeleveransen.</w:t>
      </w:r>
    </w:p>
    <w:p>
      <w:pPr>
        <w:pStyle w:val="FirstParagraph"/>
      </w:pPr>
      <w:r>
        <w:t xml:space="preserve">Ledelsen skal måle fremdrift i kundeeffekt, varige gevinster og risikoreduksjon – ikke bare tekniske leveranser. Strategien angir ikke detaljert programplan eller investeringsramme.</w:t>
      </w:r>
    </w:p>
    <w:bookmarkEnd w:id="21"/>
    <w:bookmarkEnd w:id="22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nb-NO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nb-NO</dc:language>
  <cp:keywords/>
  <dcterms:created xsi:type="dcterms:W3CDTF">2026-08-31T14:31:33Z</dcterms:created>
  <dcterms:modified xsi:type="dcterms:W3CDTF">2026-08-31T14:31:33Z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