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oneflow-programmandat-v10"/>
    <w:p>
      <w:pPr>
        <w:pStyle w:val="Heading1"/>
      </w:pPr>
      <w:r>
        <w:t xml:space="preserve">OneFlow programmandat v1.0</w:t>
      </w:r>
    </w:p>
    <w:bookmarkStart w:id="20" w:name="formål"/>
    <w:p>
      <w:pPr>
        <w:pStyle w:val="Heading2"/>
      </w:pPr>
      <w:r>
        <w:t xml:space="preserve">Formål</w:t>
      </w:r>
    </w:p>
    <w:p>
      <w:pPr>
        <w:pStyle w:val="FirstParagraph"/>
      </w:pPr>
      <w:r>
        <w:t xml:space="preserve">Integrere Cobalt, standardisere nordiske arbeidsprosesser, konsolidere systemlandskapet og realisere dokumenterte synergier uten å redusere leveransekvaliteten til kundene.</w:t>
      </w:r>
    </w:p>
    <w:bookmarkEnd w:id="20"/>
    <w:bookmarkStart w:id="21" w:name="omfang-og-leveranser"/>
    <w:p>
      <w:pPr>
        <w:pStyle w:val="Heading2"/>
      </w:pPr>
      <w:r>
        <w:t xml:space="preserve">Omfang og leveranser</w:t>
      </w:r>
    </w:p>
    <w:p>
      <w:pPr>
        <w:pStyle w:val="FirstParagraph"/>
      </w:pPr>
      <w:r>
        <w:t xml:space="preserve">Mandatet omfatter CRM, ERP-kjerne, integrasjonslag, masterdata, kundeportal, 23 ende-til-ende-prosesser, tre migreringsbølger, organisasjonsendring og gevinstuttak. Alle spor starter parallelt i januar 2025.</w:t>
      </w:r>
    </w:p>
    <w:bookmarkEnd w:id="21"/>
    <w:bookmarkStart w:id="22" w:name="styring"/>
    <w:p>
      <w:pPr>
        <w:pStyle w:val="Heading2"/>
      </w:pPr>
      <w:r>
        <w:t xml:space="preserve">Styring</w:t>
      </w:r>
    </w:p>
    <w:p>
      <w:pPr>
        <w:pStyle w:val="FirstParagraph"/>
      </w:pPr>
      <w:r>
        <w:t xml:space="preserve">Programdirektør rapporterer til CEO og operativt til styringsgruppen ledet av CFO. Arbeidsstrømledere har faglig rapportering til sine linjeledere. Styringsgruppen godkjenner scope, økonomi og portpassering. Mandatet angir ikke hvem som kan avgjøre konflikter mellom prosesseiere, program og land. Kritiske beslutninger har mål om syv kalenderdager.</w:t>
      </w:r>
    </w:p>
    <w:bookmarkEnd w:id="22"/>
    <w:bookmarkStart w:id="23" w:name="portkriterier"/>
    <w:p>
      <w:pPr>
        <w:pStyle w:val="Heading2"/>
      </w:pPr>
      <w:r>
        <w:t xml:space="preserve">Portkriterier</w:t>
      </w:r>
    </w:p>
    <w:p>
      <w:pPr>
        <w:pStyle w:val="FirstParagraph"/>
      </w:pPr>
      <w:r>
        <w:t xml:space="preserve">Prosesseiere, dataprofilering, representative testdata og bemanning skal være bekreftet før bygg. Mobiliseringsperioden er seks uker. Ved signering var prosesseiere ikke formelt utpekt, og programmet planla operativ oppstart etter tre uker.</w:t>
      </w:r>
    </w:p>
    <w:bookmarkEnd w:id="23"/>
    <w:bookmarkEnd w:id="24"/>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nb-NO"/>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ptos" w:hAnsi="Aptos"/>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ptos Display" w:asciiTheme="majorHAnsi" w:cstheme="majorBidi" w:eastAsiaTheme="majorEastAsia" w:hAnsi="Aptos Display" w:hAnsiTheme="majorHAnsi"/>
      <w:b/>
      <w:bCs/>
      <w:color w:val="17365D"/>
      <w:sz w:val="3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ptos Display" w:asciiTheme="majorHAnsi" w:cstheme="majorBidi" w:eastAsiaTheme="majorEastAsia" w:hAnsi="Aptos Display" w:hAnsiTheme="majorHAnsi"/>
      <w:b/>
      <w:bCs/>
      <w:color w:val="2F5597"/>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Display" w:asciiTheme="majorHAnsi" w:cstheme="majorBidi" w:eastAsiaTheme="majorEastAsia" w:hAnsi="Aptos Display" w:hAnsiTheme="majorHAnsi"/>
      <w:color w:val="17365D"/>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nb-NO</dc:language>
  <cp:keywords/>
  <dcterms:created xsi:type="dcterms:W3CDTF">2026-08-31T14:31:35Z</dcterms:created>
  <dcterms:modified xsi:type="dcterms:W3CDTF">2026-08-31T14:31:35Z</dcterms:modified>
</cp:coreProperties>
</file>

<file path=docProps/custom.xml><?xml version="1.0" encoding="utf-8"?>
<Properties xmlns="http://schemas.openxmlformats.org/officeDocument/2006/custom-properties" xmlns:vt="http://schemas.openxmlformats.org/officeDocument/2006/docPropsVTypes"/>
</file>