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neflow-status--august-2026--endelig"/>
    <w:p>
      <w:pPr>
        <w:pStyle w:val="Heading1"/>
      </w:pPr>
      <w:r>
        <w:t xml:space="preserve">OneFlow status – august 2026 – Endelig</w:t>
      </w:r>
    </w:p>
    <w:bookmarkStart w:id="20" w:name="lederoppsummering"/>
    <w:p>
      <w:pPr>
        <w:pStyle w:val="Heading2"/>
      </w:pPr>
      <w:r>
        <w:t xml:space="preserve">Lederoppsummering</w:t>
      </w:r>
    </w:p>
    <w:p>
      <w:pPr>
        <w:pStyle w:val="FirstParagraph"/>
      </w:pPr>
      <w:r>
        <w:t xml:space="preserve">Samlet status er gul. Migrering følger recovery-planen etter at første bølge er tilpasset et kontrollert omfang. Måldato 28. februar 2027 og prognose 395 mill. kroner opprettholdes.</w:t>
      </w:r>
    </w:p>
    <w:bookmarkEnd w:id="20"/>
    <w:bookmarkStart w:id="21" w:name="arbeidsstrømmer"/>
    <w:p>
      <w:pPr>
        <w:pStyle w:val="Heading2"/>
      </w:pPr>
      <w:r>
        <w:t xml:space="preserve">Arbeidsstrømmer</w:t>
      </w:r>
    </w:p>
    <w:p>
      <w:pPr>
        <w:pStyle w:val="FirstParagraph"/>
      </w:pPr>
      <w:r>
        <w:t xml:space="preserve">Data/migrering er gul; 14 av 27 objekter nærmer seg eller har bestått akseptanse. Plattform/integrasjon er gul med flere kritiske avhengigheter. Prosess er gul; 9 av 23 prosesser er formelt godkjent. Kundeovergang viser 42 kunder i pilot, uten at opprinnelig bølge på 286 fremgår i hovedbildet.</w:t>
      </w:r>
    </w:p>
    <w:bookmarkEnd w:id="21"/>
    <w:bookmarkStart w:id="22" w:name="kunde-og-risiko"/>
    <w:p>
      <w:pPr>
        <w:pStyle w:val="Heading2"/>
      </w:pPr>
      <w:r>
        <w:t xml:space="preserve">Kunde og risiko</w:t>
      </w:r>
    </w:p>
    <w:p>
      <w:pPr>
        <w:pStyle w:val="FirstParagraph"/>
      </w:pPr>
      <w:r>
        <w:t xml:space="preserve">Pilotavvik vurderes håndterbare med manuelle kontroller. Leverandør, testdata og lokal endringsvilje er høyest rangerte risikoer. Kundedriftens samlede KPI-fall og bottoms-up-prognosen er ikke del av rapporten.</w:t>
      </w:r>
    </w:p>
    <w:bookmarkEnd w:id="22"/>
    <w:bookmarkEnd w:id="23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nb-NO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nb-NO</dc:language>
  <cp:keywords/>
  <dcterms:created xsi:type="dcterms:W3CDTF">2026-08-31T14:31:39Z</dcterms:created>
  <dcterms:modified xsi:type="dcterms:W3CDTF">2026-08-31T14:31:39Z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