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ystemlandskap-nordflow-og-cobalt--as-is"/>
    <w:p>
      <w:pPr>
        <w:pStyle w:val="Heading1"/>
      </w:pPr>
      <w:r>
        <w:t xml:space="preserve">Systemlandskap Nordflow og Cobalt – as-is</w:t>
      </w:r>
    </w:p>
    <w:p>
      <w:pPr>
        <w:pStyle w:val="FirstParagraph"/>
      </w:pPr>
      <w:r>
        <w:t xml:space="preserve">Kartleggingen viser tre ERP-varianter, fire CRM-installasjoner, to feltserviceplattformer, tre kundeportaler og mer enn 70 punktintegrasjoner. CobaltOne og PortalBlue har lokale kontrakts- og prisregler som ikke finnes i norsk standardmodell.</w:t>
      </w:r>
    </w:p>
    <w:p>
      <w:pPr>
        <w:pStyle w:val="BodyText"/>
      </w:pPr>
      <w:r>
        <w:t xml:space="preserve">Kompleksiteten gir høye driftskostnader og gjør felles rapportering vanskelig. Den forklarer hvorfor transformasjon er nødvendig, men dokumentet vurderer ikke programstyring, bemanning eller leverandørprestasjon. Målbildet er Dynamics 365, IFS Cloud, Nexus Integration Layer, felles masterdata og FlowView. Overgang krever midlertidig dobbeltlandskap og eksplisitte kontroller for ordre, faktura og kundetilgang.</w:t>
      </w:r>
    </w:p>
    <w:bookmarkEnd w:id="2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nb-NO"/>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nb-NO</dc:language>
  <cp:keywords/>
  <dcterms:created xsi:type="dcterms:W3CDTF">2026-08-31T14:31:41Z</dcterms:created>
  <dcterms:modified xsi:type="dcterms:W3CDTF">2026-08-31T14:31:41Z</dcterms:modified>
</cp:coreProperties>
</file>

<file path=docProps/custom.xml><?xml version="1.0" encoding="utf-8"?>
<Properties xmlns="http://schemas.openxmlformats.org/officeDocument/2006/custom-properties" xmlns:vt="http://schemas.openxmlformats.org/officeDocument/2006/docPropsVTypes"/>
</file>