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Задача №3: группировка разломов в разломные зоны</w:t>
      </w:r>
    </w:p>
    <w:p>
      <w:r>
        <w:t>Лист R-48-XI,XII (Анабарский щит). Данные ФГБУ «ВНИГНИ», Отделение геоинформатики (ГИС Интегро). Отчёт по прогонам от 21.08.2026.</w:t>
      </w:r>
    </w:p>
    <w:p>
      <w:pPr>
        <w:pStyle w:val="Heading2"/>
      </w:pPr>
      <w:r>
        <w:t>1. Постановка и главный вывод</w:t>
      </w:r>
    </w:p>
    <w:p>
      <w:r>
        <w:t>Формулировка задачи: «использовать нейросеть для группирования разломов с геологической карты и формирования разломных зон, обобщающих группы однонаправленных разломов».</w:t>
      </w:r>
    </w:p>
    <w:p>
      <w:r>
        <w:t xml:space="preserve">Вывод короткий: </w:t>
      </w:r>
      <w:r>
        <w:rPr>
          <w:b/>
        </w:rPr>
        <w:t>в переданных данных отсутствует объект, который требуется группировать, а обе доступные замены — дайки и рельефные линеаменты — не содержат структуры, из которой переданные зоны собирались бы.</w:t>
      </w:r>
      <w:r>
        <w:t xml:space="preserve"> Проверено измерением: восемь сочетаний «популяция × оператор группировки × система разломов», каждое по протоколу заверки проекта со сдвиговой нуль-моделью. Значимых результатов нет ни в одном.</w:t>
      </w:r>
    </w:p>
    <w:p>
      <w:r>
        <w:t>Отдельно важно, что отрицательный результат получен не отказом от работы, а полным прогоном: метод группировки реализован, проверен на синтетике с заранее известным ответом и измерен на реальных данных. Это позволяет отличить «метод не работает» от «в данных нечего искать» — здесь верно второе.</w:t>
      </w:r>
    </w:p>
    <w:p>
      <w:pPr>
        <w:pStyle w:val="Heading2"/>
      </w:pPr>
      <w:r>
        <w:t>2. Почему прямая постановка невыполнима на переданных данных</w:t>
      </w:r>
    </w:p>
    <w:p>
      <w:r>
        <w:t>Слой отдельных разломов в переданных материалах отсутствует. Разломы представлены двумя слоями, и каждый из них — уже результат искомого обобщения: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Слой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Объектов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Азимут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Размеры, км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Доля площади листа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glub_raz_nw</w:t>
            </w:r>
            <w:r>
              <w:t xml:space="preserve"> (северо-западная система)</w:t>
            </w:r>
          </w:p>
        </w:tc>
        <w:tc>
          <w:tcPr>
            <w:tcW w:type="dxa" w:w="1728"/>
          </w:tcPr>
          <w:p>
            <w:r/>
            <w:r>
              <w:t>4 полигона</w:t>
            </w:r>
          </w:p>
        </w:tc>
        <w:tc>
          <w:tcPr>
            <w:tcW w:type="dxa" w:w="1728"/>
          </w:tcPr>
          <w:p>
            <w:r/>
            <w:r>
              <w:t>136–146°</w:t>
            </w:r>
          </w:p>
        </w:tc>
        <w:tc>
          <w:tcPr>
            <w:tcW w:type="dxa" w:w="1728"/>
          </w:tcPr>
          <w:p>
            <w:r/>
            <w:r>
              <w:t>43–91 × 8–21</w:t>
            </w:r>
          </w:p>
        </w:tc>
        <w:tc>
          <w:tcPr>
            <w:tcW w:type="dxa" w:w="1728"/>
          </w:tcPr>
          <w:p>
            <w:r/>
            <w:r>
              <w:t>36.8 %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glub_r_nw</w:t>
            </w:r>
            <w:r>
              <w:t xml:space="preserve"> (северо-восточная система)</w:t>
            </w:r>
          </w:p>
        </w:tc>
        <w:tc>
          <w:tcPr>
            <w:tcW w:type="dxa" w:w="1728"/>
          </w:tcPr>
          <w:p>
            <w:r/>
            <w:r>
              <w:t>2 полигона</w:t>
            </w:r>
          </w:p>
        </w:tc>
        <w:tc>
          <w:tcPr>
            <w:tcW w:type="dxa" w:w="1728"/>
          </w:tcPr>
          <w:p>
            <w:r/>
            <w:r>
              <w:t>40–43°</w:t>
            </w:r>
          </w:p>
        </w:tc>
        <w:tc>
          <w:tcPr>
            <w:tcW w:type="dxa" w:w="1728"/>
          </w:tcPr>
          <w:p>
            <w:r/>
            <w:r>
              <w:t>86–103 × 17–19</w:t>
            </w:r>
          </w:p>
        </w:tc>
        <w:tc>
          <w:tcPr>
            <w:tcW w:type="dxa" w:w="1728"/>
          </w:tcPr>
          <w:p>
            <w:r/>
            <w:r>
              <w:t>35.3 %</w:t>
            </w:r>
          </w:p>
        </w:tc>
      </w:tr>
    </w:tbl>
    <w:p/>
    <w:p>
      <w:r>
        <w:t>Шесть полигонов на весь лист — это то, что задача просит получить, а не то, из чего это получают. Группировать нечего: нейросеть на шести объектах не обучается, да и любая кластеризация здесь бессодержательна.</w:t>
      </w:r>
    </w:p>
    <w:p>
      <w:r>
        <w:t>Дополнительное следствие, важное для чтения всех дальнейших чисел: цель занимает более трети площади листа. Предельно достижимый lift@10 % равен 2.72 для СЗ и 2.83 для СВ — вся шкала метрики укладывается менее чем в две единицы, поэтому основной метрикой отчёта взят IoU (доля совпадения площадей), а lift подаётся справочно.</w:t>
      </w:r>
    </w:p>
    <w:p>
      <w:pPr>
        <w:pStyle w:val="Heading2"/>
      </w:pPr>
      <w:r>
        <w:t>3. Что проверялось вместо прямой постановки</w:t>
      </w:r>
    </w:p>
    <w:p>
      <w:r>
        <w:t xml:space="preserve">Задача переформулирована в проверяемую: </w:t>
      </w:r>
      <w:r>
        <w:rPr>
          <w:b/>
        </w:rPr>
        <w:t>воспроизводит ли автоматическая группировка отдельных линейных объектов те зоны, которые геолог уже нарисовал?</w:t>
      </w:r>
      <w:r>
        <w:t xml:space="preserve"> Если да — метод годится и его можно переносить на новый вход (в том числе на разломы, снятые с растра ГГК-200 нейросетевой векторизацией). Если нет — вкладываться в векторизацию преждевременно.</w:t>
      </w:r>
    </w:p>
    <w:p>
      <w:r>
        <w:t>Проверены обе популяции отдельных ориентированных объектов, доступные на листе.</w:t>
      </w:r>
    </w:p>
    <w:p>
      <w:r>
        <w:rPr>
          <w:b/>
        </w:rPr>
        <w:t>Дайки</w:t>
      </w:r>
      <w:r>
        <w:t xml:space="preserve"> (</w:t>
      </w:r>
      <w:r>
        <w:rPr>
          <w:rFonts w:ascii="Consolas" w:hAnsi="Consolas"/>
          <w:sz w:val="18"/>
        </w:rPr>
        <w:t>dayki_buf</w:t>
      </w:r>
      <w:r>
        <w:t>, 151 полигон, медианная длина 4.05 км, удлинение 10.6). На щите дайка — заполненная трещина, то есть геологически законный прокси разломной сети. Роза азимутов, взвешенная длиной, даёт доминанту 30–70°, то есть дайковый рой сам по себе близок к СВ-системе разломов — у пилота был заранее известный правильный ответ.</w:t>
      </w:r>
    </w:p>
    <w:p>
      <w:r>
        <w:rPr>
          <w:b/>
        </w:rPr>
        <w:t>Рельефные линеаменты</w:t>
      </w:r>
      <w:r>
        <w:t xml:space="preserve"> (</w:t>
      </w:r>
      <w:r>
        <w:rPr>
          <w:rFonts w:ascii="Consolas" w:hAnsi="Consolas"/>
          <w:sz w:val="18"/>
        </w:rPr>
        <w:t>src/lineaments.py</w:t>
      </w:r>
      <w:r>
        <w:t>, 3087 отрезков, медианная длина 1.44 км, суммарно 5004 км). Это единственная ветка задачи №8, прошедшая стоп-правило воспроизводимости, и вход в двадцать раз плотнее дайкового.</w:t>
      </w:r>
    </w:p>
    <w:p>
      <w:r>
        <w:t xml:space="preserve">Метод группировки разведён на два этапа ровно по тексту задачи. Сначала выделяются </w:t>
      </w:r>
      <w:r>
        <w:rPr>
          <w:b/>
        </w:rPr>
        <w:t>однонаправленные группы</w:t>
      </w:r>
      <w:r>
        <w:t xml:space="preserve"> — моды кругового распределения азимутов, посчитанного на удвоенном угле (азимут оси — величина осевая: 0° и 180° суть одно направление). Затем внутри группы выделяются </w:t>
      </w:r>
      <w:r>
        <w:rPr>
          <w:b/>
        </w:rPr>
        <w:t>зоны</w:t>
      </w:r>
      <w:r>
        <w:t xml:space="preserve"> — сгущения по перпендикулярному сносу оси. Вдоль простирания зона ничем не ограничивается: коридор карты протянут через весь лист.</w:t>
      </w:r>
    </w:p>
    <w:p>
      <w:r>
        <w:t>Ширина зоны методу не задаётся: она получается из разброса самих объектов поперёк простирания. Ширины коридоров карты (8–21 км) во входные параметры не входят — иначе метод измерял бы собственную подсказку.</w:t>
      </w:r>
    </w:p>
    <w:p>
      <w:r>
        <w:t>Операторов выделения зон использовано два, и оба зафиксированы до прогонов. Первый (</w:t>
      </w:r>
      <w:r>
        <w:rPr>
          <w:rFonts w:ascii="Consolas" w:hAnsi="Consolas"/>
          <w:sz w:val="18"/>
        </w:rPr>
        <w:t>dbscan</w:t>
      </w:r>
      <w:r>
        <w:t>) режет группу по разрывам в сносе. Второй (</w:t>
      </w:r>
      <w:r>
        <w:rPr>
          <w:rFonts w:ascii="Consolas" w:hAnsi="Consolas"/>
          <w:sz w:val="18"/>
        </w:rPr>
        <w:t>kde</w:t>
      </w:r>
      <w:r>
        <w:t>) режет по долинам плотности сноса — он понадобился потому, что разрывы есть только у разреженного входа, а на плотном первый оператор вырождается.</w:t>
      </w:r>
    </w:p>
    <w:p>
      <w:pPr>
        <w:pStyle w:val="Heading2"/>
      </w:pPr>
      <w:r>
        <w:t>4. Протокол заверки</w:t>
      </w:r>
    </w:p>
    <w:p>
      <w:r>
        <w:t>Протокол взят тот же, что у задачи №2, — это условие сравнимости чисел между ветками.</w:t>
      </w:r>
    </w:p>
    <w:p>
      <w:pPr>
        <w:pStyle w:val="ListBullet"/>
      </w:pPr>
      <w:r>
        <w:rPr>
          <w:b/>
        </w:rPr>
        <w:t>Метрика.</w:t>
      </w:r>
      <w:r>
        <w:t xml:space="preserve"> IoU маски зон с ячейками разломного коридора (основная) и lift@10 % карты зон (справочная). Планки сравниваются с методом на равной площади маски: IoU у карт разного размера несравним.</w:t>
      </w:r>
    </w:p>
    <w:p>
      <w:pPr>
        <w:pStyle w:val="ListBullet"/>
      </w:pPr>
      <w:r>
        <w:rPr>
          <w:b/>
        </w:rPr>
        <w:t>Нуль-модель.</w:t>
      </w:r>
      <w:r>
        <w:t xml:space="preserve"> Тороидальный сдвиг карты-кандидата с отражениями, 5000 реализаций: двигается кандидат, карта разломов и пул ячеек стоят. Такой нуль сохраняет размер, форму и связность зон, поэтому отвечает на вопрос «а не даёт ли столько же любая карта такой же зернистости?».</w:t>
      </w:r>
    </w:p>
    <w:p>
      <w:pPr>
        <w:pStyle w:val="ListBullet"/>
      </w:pPr>
      <w:r>
        <w:rPr>
          <w:b/>
        </w:rPr>
        <w:t>Планки.</w:t>
      </w:r>
      <w:r>
        <w:t xml:space="preserve"> Случайная карта (пол шкалы); плотность объектов популяции и близость к объекту — то есть популяция </w:t>
      </w:r>
      <w:r>
        <w:rPr>
          <w:b/>
        </w:rPr>
        <w:t>без всякой группировки</w:t>
      </w:r>
      <w:r>
        <w:t>; та же группировка при перемешанных между объектами азимутах (</w:t>
      </w:r>
      <w:r>
        <w:rPr>
          <w:rFonts w:ascii="Consolas" w:hAnsi="Consolas"/>
          <w:sz w:val="18"/>
        </w:rPr>
        <w:t>shuffle_az</w:t>
      </w:r>
      <w:r>
        <w:t>); тривиальное обобщение «все объекты одной зоной».</w:t>
      </w:r>
    </w:p>
    <w:p>
      <w:pPr>
        <w:pStyle w:val="ListBullet"/>
      </w:pPr>
      <w:r>
        <w:rPr>
          <w:b/>
        </w:rPr>
        <w:t>Порог значимости.</w:t>
      </w:r>
      <w:r>
        <w:t xml:space="preserve"> Накопительный по Бонферрони через все прогоны против одних и тех же ячеек: 68 тестов задачи №2 плюс 24 своих, alpha = 0.05 / 92 = 0.00054.</w:t>
      </w:r>
    </w:p>
    <w:p>
      <w:pPr>
        <w:pStyle w:val="ListBullet"/>
      </w:pPr>
      <w:r>
        <w:rPr>
          <w:b/>
        </w:rPr>
        <w:t>Пре-регистрация.</w:t>
      </w:r>
      <w:r>
        <w:t xml:space="preserve"> Цели, метрика, планки и тройной критерий успеха зафиксированы в коде до первого прогона. Критерий: (1) среди мод азимута есть мода, совпадающая с направлением коридоров карты в пределах 10°; (2) значимость её карты зон ниже порога; (3) её IoU выше обеих планок без группировки. Выполниться должны все три части: цель занимает треть листа, и одна лишь значимость там достаётся дёшево.</w:t>
      </w:r>
    </w:p>
    <w:p>
      <w:pPr>
        <w:pStyle w:val="Heading2"/>
      </w:pPr>
      <w:r>
        <w:t>5. Результаты</w:t>
      </w:r>
    </w:p>
    <w:p>
      <w:r>
        <w:t xml:space="preserve">Вердикт по критерию — </w:t>
      </w:r>
      <w:r>
        <w:rPr>
          <w:b/>
        </w:rPr>
        <w:t>не воспроизводит, все восемь сочетаний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Популяция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Оператор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Цель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Площадь зон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IoU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Нуль, q95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dbscan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78.8 %</w:t>
            </w:r>
          </w:p>
        </w:tc>
        <w:tc>
          <w:tcPr>
            <w:tcW w:type="dxa" w:w="1234"/>
          </w:tcPr>
          <w:p>
            <w:r/>
            <w:r>
              <w:t>0.439</w:t>
            </w:r>
          </w:p>
        </w:tc>
        <w:tc>
          <w:tcPr>
            <w:tcW w:type="dxa" w:w="1234"/>
          </w:tcPr>
          <w:p>
            <w:r/>
            <w:r>
              <w:t>0.383</w:t>
            </w:r>
          </w:p>
        </w:tc>
        <w:tc>
          <w:tcPr>
            <w:tcW w:type="dxa" w:w="1234"/>
          </w:tcPr>
          <w:p>
            <w:r/>
            <w:r>
              <w:t>0.0002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dbscan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55.4 %</w:t>
            </w:r>
          </w:p>
        </w:tc>
        <w:tc>
          <w:tcPr>
            <w:tcW w:type="dxa" w:w="1234"/>
          </w:tcPr>
          <w:p>
            <w:r/>
            <w:r>
              <w:t>0.420</w:t>
            </w:r>
          </w:p>
        </w:tc>
        <w:tc>
          <w:tcPr>
            <w:tcW w:type="dxa" w:w="1234"/>
          </w:tcPr>
          <w:p>
            <w:r/>
            <w:r>
              <w:t>0.375</w:t>
            </w:r>
          </w:p>
        </w:tc>
        <w:tc>
          <w:tcPr>
            <w:tcW w:type="dxa" w:w="1234"/>
          </w:tcPr>
          <w:p>
            <w:r/>
            <w:r>
              <w:t>0.0104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kde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94.1 %</w:t>
            </w:r>
          </w:p>
        </w:tc>
        <w:tc>
          <w:tcPr>
            <w:tcW w:type="dxa" w:w="1234"/>
          </w:tcPr>
          <w:p>
            <w:r/>
            <w:r>
              <w:t>0.370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0.0968</w:t>
            </w:r>
          </w:p>
        </w:tc>
      </w:tr>
      <w:tr>
        <w:tc>
          <w:tcPr>
            <w:tcW w:type="dxa" w:w="1234"/>
          </w:tcPr>
          <w:p>
            <w:r/>
            <w:r>
              <w:t>дайки</w:t>
            </w:r>
          </w:p>
        </w:tc>
        <w:tc>
          <w:tcPr>
            <w:tcW w:type="dxa" w:w="1234"/>
          </w:tcPr>
          <w:p>
            <w:r/>
            <w:r>
              <w:t>kde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70.7 %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0.375</w:t>
            </w:r>
          </w:p>
        </w:tc>
        <w:tc>
          <w:tcPr>
            <w:tcW w:type="dxa" w:w="1234"/>
          </w:tcPr>
          <w:p>
            <w:r/>
            <w:r>
              <w:t>0.0866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dbscan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94.5 %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0.0540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dbscan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100.0 %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1.0000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kde</w:t>
            </w:r>
          </w:p>
        </w:tc>
        <w:tc>
          <w:tcPr>
            <w:tcW w:type="dxa" w:w="1234"/>
          </w:tcPr>
          <w:p>
            <w:r/>
            <w:r>
              <w:t>СВ</w:t>
            </w:r>
          </w:p>
        </w:tc>
        <w:tc>
          <w:tcPr>
            <w:tcW w:type="dxa" w:w="1234"/>
          </w:tcPr>
          <w:p>
            <w:r/>
            <w:r>
              <w:t>93.0 %</w:t>
            </w:r>
          </w:p>
        </w:tc>
        <w:tc>
          <w:tcPr>
            <w:tcW w:type="dxa" w:w="1234"/>
          </w:tcPr>
          <w:p>
            <w:r/>
            <w:r>
              <w:t>0.379</w:t>
            </w:r>
          </w:p>
        </w:tc>
        <w:tc>
          <w:tcPr>
            <w:tcW w:type="dxa" w:w="1234"/>
          </w:tcPr>
          <w:p>
            <w:r/>
            <w:r>
              <w:t>0.373</w:t>
            </w:r>
          </w:p>
        </w:tc>
        <w:tc>
          <w:tcPr>
            <w:tcW w:type="dxa" w:w="1234"/>
          </w:tcPr>
          <w:p>
            <w:r/>
            <w:r>
              <w:t>0.0090</w:t>
            </w:r>
          </w:p>
        </w:tc>
      </w:tr>
      <w:tr>
        <w:tc>
          <w:tcPr>
            <w:tcW w:type="dxa" w:w="1234"/>
          </w:tcPr>
          <w:p>
            <w:r/>
            <w:r>
              <w:t>линеаменты</w:t>
            </w:r>
          </w:p>
        </w:tc>
        <w:tc>
          <w:tcPr>
            <w:tcW w:type="dxa" w:w="1234"/>
          </w:tcPr>
          <w:p>
            <w:r/>
            <w:r>
              <w:t>kde</w:t>
            </w:r>
          </w:p>
        </w:tc>
        <w:tc>
          <w:tcPr>
            <w:tcW w:type="dxa" w:w="1234"/>
          </w:tcPr>
          <w:p>
            <w:r/>
            <w:r>
              <w:t>СЗ</w:t>
            </w:r>
          </w:p>
        </w:tc>
        <w:tc>
          <w:tcPr>
            <w:tcW w:type="dxa" w:w="1234"/>
          </w:tcPr>
          <w:p>
            <w:r/>
            <w:r>
              <w:t>100.0 %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0.368</w:t>
            </w:r>
          </w:p>
        </w:tc>
        <w:tc>
          <w:tcPr>
            <w:tcW w:type="dxa" w:w="1234"/>
          </w:tcPr>
          <w:p>
            <w:r/>
            <w:r>
              <w:t>1.0000</w:t>
            </w:r>
          </w:p>
        </w:tc>
      </w:tr>
    </w:tbl>
    <w:p/>
    <w:p>
      <w:r>
        <w:t>Единственная строка, прошедшая порог значимости, — дайки/dbscan/СВ. Но она проваливает две другие части критерия: направление её моды 52.0° против 41.9° у карты (расхождение 10.1° при допуске 10°), а перевес над планкой «близость к дайке без группировки» составляет 0.013 IoU при равной площади. То есть значимость есть, а содержательного превосходства над необработанной популяцией нет.</w:t>
      </w:r>
    </w:p>
    <w:p>
      <w:r>
        <w:rPr>
          <w:b/>
        </w:rPr>
        <w:t>Направление совпало только у линеаментов.</w:t>
      </w:r>
      <w:r>
        <w:t xml:space="preserve"> Мода 39.0° против 41.9° у СВ-коридоров — расхождение 2.9°, критерий направления выполнен впервые за всю ветку. Но моды под СЗ-систему у рельефа нет вовсе: ближайшая 167.0°, расхождение 22.7°. Рельеф листа несёт северо-восточное направление карты и не несёт северо-западного.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02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grouping_dyk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Дайки (чёрные) и собранные из них зоны (красное) против коридоров карты (серое). Строка — оператор, столбец — система разломов.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49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grouping_l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Рельефные линеаменты (3087 отрезков) и зоны по ним. Ответ метода на плотном входе — «весь лист одна зона», обоими операторами.</w:t>
      </w:r>
    </w:p>
    <w:p>
      <w:r>
        <w:t xml:space="preserve">На картах видно то, чего не видно в таблице. У дайковой СЗ-моды направление воспроизведено с точностью 0.7°, но полосы </w:t>
      </w:r>
      <w:r>
        <w:rPr>
          <w:b/>
        </w:rPr>
        <w:t>смещены</w:t>
      </w:r>
      <w:r>
        <w:t>: серые коридоры карты проступают вдоль краёв красных зон, а не под ними. Совпадение роз при несовпадении площадей — ровно тот случай, ради которого метрика считается по площади. У линеаментов же зона занимает почти весь лист, а сами отрезки отчётливо повторяют долинную сеть.</w:t>
      </w:r>
    </w:p>
    <w:p>
      <w:pPr>
        <w:pStyle w:val="Heading2"/>
      </w:pPr>
      <w:r>
        <w:t>6. Диагноз: чего именно нет в данных</w:t>
      </w:r>
    </w:p>
    <w:p>
      <w:r>
        <w:t>Зона может быть выделена только если объекты одного направления образуют сгущения по перпендикулярному сносу. Эта величина измерена до всякой сверки с картой: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Популяция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Мода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Объектов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Размах сноса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Медианный зазор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Зазоров шире 5 км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Пиков плотности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Контраст пик/медиана</w:t>
            </w:r>
          </w:p>
        </w:tc>
      </w:tr>
      <w:tr>
        <w:tc>
          <w:tcPr>
            <w:tcW w:type="dxa" w:w="1080"/>
          </w:tcPr>
          <w:p>
            <w:r/>
            <w:r>
              <w:t>дайки</w:t>
            </w:r>
          </w:p>
        </w:tc>
        <w:tc>
          <w:tcPr>
            <w:tcW w:type="dxa" w:w="1080"/>
          </w:tcPr>
          <w:p>
            <w:r/>
            <w:r>
              <w:t>52.0°</w:t>
            </w:r>
          </w:p>
        </w:tc>
        <w:tc>
          <w:tcPr>
            <w:tcW w:type="dxa" w:w="1080"/>
          </w:tcPr>
          <w:p>
            <w:r/>
            <w:r>
              <w:t>101</w:t>
            </w:r>
          </w:p>
        </w:tc>
        <w:tc>
          <w:tcPr>
            <w:tcW w:type="dxa" w:w="1080"/>
          </w:tcPr>
          <w:p>
            <w:r/>
            <w:r>
              <w:t>84.3 км</w:t>
            </w:r>
          </w:p>
        </w:tc>
        <w:tc>
          <w:tcPr>
            <w:tcW w:type="dxa" w:w="1080"/>
          </w:tcPr>
          <w:p>
            <w:r/>
            <w:r>
              <w:t>0.42 км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3.58</w:t>
            </w:r>
          </w:p>
        </w:tc>
      </w:tr>
      <w:tr>
        <w:tc>
          <w:tcPr>
            <w:tcW w:type="dxa" w:w="1080"/>
          </w:tcPr>
          <w:p>
            <w:r/>
            <w:r>
              <w:t>дайки</w:t>
            </w:r>
          </w:p>
        </w:tc>
        <w:tc>
          <w:tcPr>
            <w:tcW w:type="dxa" w:w="1080"/>
          </w:tcPr>
          <w:p>
            <w:r/>
            <w:r>
              <w:t>145.0°</w:t>
            </w:r>
          </w:p>
        </w:tc>
        <w:tc>
          <w:tcPr>
            <w:tcW w:type="dxa" w:w="1080"/>
          </w:tcPr>
          <w:p>
            <w:r/>
            <w:r>
              <w:t>50</w:t>
            </w:r>
          </w:p>
        </w:tc>
        <w:tc>
          <w:tcPr>
            <w:tcW w:type="dxa" w:w="1080"/>
          </w:tcPr>
          <w:p>
            <w:r/>
            <w:r>
              <w:t>94.7 км</w:t>
            </w:r>
          </w:p>
        </w:tc>
        <w:tc>
          <w:tcPr>
            <w:tcW w:type="dxa" w:w="1080"/>
          </w:tcPr>
          <w:p>
            <w:r/>
            <w:r>
              <w:t>1.35 км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2.69</w:t>
            </w:r>
          </w:p>
        </w:tc>
      </w:tr>
      <w:tr>
        <w:tc>
          <w:tcPr>
            <w:tcW w:type="dxa" w:w="1080"/>
          </w:tcPr>
          <w:p>
            <w:r/>
            <w:r>
              <w:t>линеаменты</w:t>
            </w:r>
          </w:p>
        </w:tc>
        <w:tc>
          <w:tcPr>
            <w:tcW w:type="dxa" w:w="1080"/>
          </w:tcPr>
          <w:p>
            <w:r/>
            <w:r>
              <w:t>39.0°</w:t>
            </w:r>
          </w:p>
        </w:tc>
        <w:tc>
          <w:tcPr>
            <w:tcW w:type="dxa" w:w="1080"/>
          </w:tcPr>
          <w:p>
            <w:r/>
            <w:r>
              <w:t>1156</w:t>
            </w:r>
          </w:p>
        </w:tc>
        <w:tc>
          <w:tcPr>
            <w:tcW w:type="dxa" w:w="1080"/>
          </w:tcPr>
          <w:p>
            <w:r/>
            <w:r>
              <w:t>89.6 км</w:t>
            </w:r>
          </w:p>
        </w:tc>
        <w:tc>
          <w:tcPr>
            <w:tcW w:type="dxa" w:w="1080"/>
          </w:tcPr>
          <w:p>
            <w:r/>
            <w:r>
              <w:t>0.026 км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4.17</w:t>
            </w:r>
          </w:p>
        </w:tc>
      </w:tr>
      <w:tr>
        <w:tc>
          <w:tcPr>
            <w:tcW w:type="dxa" w:w="1080"/>
          </w:tcPr>
          <w:p>
            <w:r/>
            <w:r>
              <w:t>линеаменты</w:t>
            </w:r>
          </w:p>
        </w:tc>
        <w:tc>
          <w:tcPr>
            <w:tcW w:type="dxa" w:w="1080"/>
          </w:tcPr>
          <w:p>
            <w:r/>
            <w:r>
              <w:t>104.0°</w:t>
            </w:r>
          </w:p>
        </w:tc>
        <w:tc>
          <w:tcPr>
            <w:tcW w:type="dxa" w:w="1080"/>
          </w:tcPr>
          <w:p>
            <w:r/>
            <w:r>
              <w:t>968</w:t>
            </w:r>
          </w:p>
        </w:tc>
        <w:tc>
          <w:tcPr>
            <w:tcW w:type="dxa" w:w="1080"/>
          </w:tcPr>
          <w:p>
            <w:r/>
            <w:r>
              <w:t>96.0 км</w:t>
            </w:r>
          </w:p>
        </w:tc>
        <w:tc>
          <w:tcPr>
            <w:tcW w:type="dxa" w:w="1080"/>
          </w:tcPr>
          <w:p>
            <w:r/>
            <w:r>
              <w:t>0.056 км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2.09</w:t>
            </w:r>
          </w:p>
        </w:tc>
      </w:tr>
      <w:tr>
        <w:tc>
          <w:tcPr>
            <w:tcW w:type="dxa" w:w="1080"/>
          </w:tcPr>
          <w:p>
            <w:r/>
            <w:r>
              <w:t>линеаменты</w:t>
            </w:r>
          </w:p>
        </w:tc>
        <w:tc>
          <w:tcPr>
            <w:tcW w:type="dxa" w:w="1080"/>
          </w:tcPr>
          <w:p>
            <w:r/>
            <w:r>
              <w:t>167.0°</w:t>
            </w:r>
          </w:p>
        </w:tc>
        <w:tc>
          <w:tcPr>
            <w:tcW w:type="dxa" w:w="1080"/>
          </w:tcPr>
          <w:p>
            <w:r/>
            <w:r>
              <w:t>963</w:t>
            </w:r>
          </w:p>
        </w:tc>
        <w:tc>
          <w:tcPr>
            <w:tcW w:type="dxa" w:w="1080"/>
          </w:tcPr>
          <w:p>
            <w:r/>
            <w:r>
              <w:t>95.2 км</w:t>
            </w:r>
          </w:p>
        </w:tc>
        <w:tc>
          <w:tcPr>
            <w:tcW w:type="dxa" w:w="1080"/>
          </w:tcPr>
          <w:p>
            <w:r/>
            <w:r>
              <w:t>0.042 км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2.95</w:t>
            </w:r>
          </w:p>
        </w:tc>
      </w:tr>
    </w:tbl>
    <w:p/>
    <w:p>
      <w:r>
        <w:t>У даек 90 объектов из 101 сливаются в одну полосу шириной 50.8 км. У линеаментов разрывов нет вообще, а плотность сноса почти ровная — один-три пика при контрасте 2.1–4.2. Разрешения при этом хватало заведомо: полоса ядра 5 км против размаха 90 км даёт около 18 разрешаемых элементов, тогда как коридоры карты имеют ширину 8–21 км. Если бы коридорная структура в положениях объектов была, она была бы видна.</w:t>
      </w:r>
    </w:p>
    <w:p>
      <w:r>
        <w:t>Отдельно проверена гипотеза «структура есть, нужен лишь более плотный вход»: она была сформулирована после пилота на дайках и отвергнута на популяции в двадцать раз плотнее. Более того, при фиксированном пороге слияния плотный вход зоны не сужает, а склеивает вернее — поэтому и был заранее введён второй оператор.</w:t>
      </w:r>
    </w:p>
    <w:p>
      <w:pPr>
        <w:pStyle w:val="Heading2"/>
      </w:pPr>
      <w:r>
        <w:t>7. Планка, которая переигрывает метод</w:t>
      </w:r>
    </w:p>
    <w:p>
      <w:r>
        <w:t xml:space="preserve">Самый чистый результат отчёта — поведение планки </w:t>
      </w:r>
      <w:r>
        <w:rPr>
          <w:rFonts w:ascii="Consolas" w:hAnsi="Consolas"/>
          <w:sz w:val="18"/>
        </w:rPr>
        <w:t>shuffle_az</w:t>
      </w:r>
      <w:r>
        <w:t>. Она перемешивает азимуты между объектами, сохраняя их положения и плотность, то есть разрушает ровно то, на чём держится группировка «по однонаправленности». Результат от этого не ухудшается: на линеаментах (оператор kde, цель СВ) планка даёт IoU 0.387 против 0.379 у метода, на дайках (kde, СВ) — 0.396 против 0.370.</w:t>
      </w:r>
    </w:p>
    <w:p>
      <w:r>
        <w:t>Читается это однозначно: то немногое, что карта зон улавливает, обеспечено плотностью объектов, а не согласованностью их направлений. Группировать по направлению на этом листе нечего.</w:t>
      </w:r>
    </w:p>
    <w:p>
      <w:r>
        <w:t>В ту же сторону говорит и вторая планка. Близость к дайке без всякой группировки даёт на СВ-коридоре lift 1.679 и 1.566 после вычитания влияния рельефа, плотность даек — 1.777 и 1.703. Дайки и северо-восточные разломы действительно сопространственны, что для заполненных трещин и ожидается, но обобщение в зоны этой связи не усиливает нигде.</w:t>
      </w:r>
    </w:p>
    <w:p>
      <w:pPr>
        <w:pStyle w:val="Heading2"/>
      </w:pPr>
      <w:r>
        <w:t>8. Что закрыто и что нужно от заказчика</w:t>
      </w:r>
    </w:p>
    <w:p>
      <w:r>
        <w:t>Закрыто следующее: собрать переданные разломные зоны группировкой поверхностных линейных объектов листа нельзя — ни кластеризацией, ни нейросетью. Ограничение лежит в данных, а не в алгоритме: метод восстанавливает заданные рои на синтетике и выдаёт на дайковой СЗ-моде зоны шириной 5–35 км, то есть в диапазоне ширин коридоров карты.</w:t>
      </w:r>
    </w:p>
    <w:p>
      <w:r>
        <w:t xml:space="preserve">Правдоподобное объяснение подсказывает сам слой: </w:t>
      </w:r>
      <w:r>
        <w:rPr>
          <w:rFonts w:ascii="Consolas" w:hAnsi="Consolas"/>
          <w:sz w:val="18"/>
        </w:rPr>
        <w:t>glub_raz_nw</w:t>
      </w:r>
      <w:r>
        <w:t xml:space="preserve"> — это </w:t>
      </w:r>
      <w:r>
        <w:rPr>
          <w:b/>
        </w:rPr>
        <w:t>глубинные</w:t>
      </w:r>
      <w:r>
        <w:t xml:space="preserve"> разломы, а они выделяются по геофизике и региональной тектонической схеме, а не по поверхностной морфологии. Если так, переданные шесть полигонов в принципе не являются обобщением наблюдаемых линейных объектов по их геометрии. Проверить это на имеющихся материалах нечем, поэтому объяснение остаётся гипотезой, а измеренным фактом — отрицательный результат на обеих доступных популяциях.</w:t>
      </w:r>
    </w:p>
    <w:p>
      <w:r>
        <w:t xml:space="preserve">Для продвижения задачи нужен </w:t>
      </w:r>
      <w:r>
        <w:rPr>
          <w:b/>
        </w:rPr>
        <w:t>слой отдельных разломов геологической карты до обобщения в зоны</w:t>
      </w:r>
      <w:r>
        <w:t xml:space="preserve"> — тот самый пункт, который уже включён в запрос заказчику. Он же снимает и вопрос о нейросети: сеть по существу нужна не на группировке (там она была бы кластеризацией с лишними параметрами и без способа себя проверить — меток нет), а на </w:t>
      </w:r>
      <w:r>
        <w:rPr>
          <w:b/>
        </w:rPr>
        <w:t>векторизации разломов с георастра ГГК-200</w:t>
      </w:r>
      <w:r>
        <w:t>, где обучаемая модель распознаёт рисунок условного знака. Ждать «зон» от этой векторизации, по результатам настоящего отчёта, не следует: её ценность — сам слой отдельных разломов.</w:t>
      </w:r>
    </w:p>
    <w:p>
      <w:r>
        <w:t>К выходу такой векторизации метод готов без изменений: он принимает и полигоны, и линии, а прогон на новом входе потребует лишь собственной пре-регистрации и своих слагаемых в накопительном пороге.</w:t>
      </w:r>
    </w:p>
    <w:p>
      <w:pPr>
        <w:pStyle w:val="Heading2"/>
      </w:pPr>
      <w:r>
        <w:t>9. Воспроизводимость</w:t>
      </w:r>
    </w:p>
    <w:p>
      <w:r>
        <w:t xml:space="preserve">Код: </w:t>
      </w:r>
      <w:r>
        <w:rPr>
          <w:rFonts w:ascii="Consolas" w:hAnsi="Consolas"/>
          <w:sz w:val="18"/>
        </w:rPr>
        <w:t>src/fault_grouping.py</w:t>
      </w:r>
      <w:r>
        <w:t xml:space="preserve"> (метод), </w:t>
      </w:r>
      <w:r>
        <w:rPr>
          <w:rFonts w:ascii="Consolas" w:hAnsi="Consolas"/>
          <w:sz w:val="18"/>
        </w:rPr>
        <w:t>experiments/fault_grouping_run.py</w:t>
      </w:r>
      <w:r>
        <w:t xml:space="preserve"> (прогон и протокол), </w:t>
      </w:r>
      <w:r>
        <w:rPr>
          <w:rFonts w:ascii="Consolas" w:hAnsi="Consolas"/>
          <w:sz w:val="18"/>
        </w:rPr>
        <w:t>tests/test_fault_grouping.py</w:t>
      </w:r>
      <w:r>
        <w:t xml:space="preserve"> (30 тестов на синтетике). Параметры и пре-регистрация — блок </w:t>
      </w:r>
      <w:r>
        <w:rPr>
          <w:rFonts w:ascii="Consolas" w:hAnsi="Consolas"/>
          <w:sz w:val="18"/>
        </w:rPr>
        <w:t>FG_*</w:t>
      </w:r>
      <w:r>
        <w:t xml:space="preserve"> в </w:t>
      </w:r>
      <w:r>
        <w:rPr>
          <w:rFonts w:ascii="Consolas" w:hAnsi="Consolas"/>
          <w:sz w:val="18"/>
        </w:rPr>
        <w:t>src/config.py</w:t>
      </w:r>
      <w:r>
        <w:t>, каждая константа с обоснованием.</w:t>
      </w:r>
    </w:p>
    <w:p>
      <w:r>
        <w:t xml:space="preserve">Запуск из корня репозитория: </w:t>
      </w:r>
      <w:r>
        <w:rPr>
          <w:rFonts w:ascii="Consolas" w:hAnsi="Consolas"/>
          <w:sz w:val="18"/>
        </w:rPr>
        <w:t>python -m experiments.fault_grouping_run</w:t>
      </w:r>
      <w:r>
        <w:t>. Время прогона 232 с, случайность зафиксирована зерном.</w:t>
      </w:r>
    </w:p>
    <w:p>
      <w:r>
        <w:t xml:space="preserve">Выходы: </w:t>
      </w:r>
      <w:r>
        <w:rPr>
          <w:rFonts w:ascii="Consolas" w:hAnsi="Consolas"/>
          <w:sz w:val="18"/>
        </w:rPr>
        <w:t>outputs/metrics/fault_grouping_summary.csv</w:t>
      </w:r>
      <w:r>
        <w:t xml:space="preserve"> (полная таблица метрик), </w:t>
      </w:r>
      <w:r>
        <w:rPr>
          <w:rFonts w:ascii="Consolas" w:hAnsi="Consolas"/>
          <w:sz w:val="18"/>
        </w:rPr>
        <w:t>outputs/metrics/fault_grouping_zones.csv</w:t>
      </w:r>
      <w:r>
        <w:t xml:space="preserve"> (геометрия построенных зон), </w:t>
      </w:r>
      <w:r>
        <w:rPr>
          <w:rFonts w:ascii="Consolas" w:hAnsi="Consolas"/>
          <w:sz w:val="18"/>
        </w:rPr>
        <w:t>outputs/fault_grouping_dykes.png</w:t>
      </w:r>
      <w:r>
        <w:t xml:space="preserve"> и </w:t>
      </w:r>
      <w:r>
        <w:rPr>
          <w:rFonts w:ascii="Consolas" w:hAnsi="Consolas"/>
          <w:sz w:val="18"/>
        </w:rPr>
        <w:t>outputs/fault_grouping_lin.png</w:t>
      </w:r>
      <w:r>
        <w:t xml:space="preserve"> (карты).</w:t>
      </w:r>
    </w:p>
    <w:p>
      <w:r>
        <w:t>Состояние тестов на момент отчёта: 276 пройдено, 10 пропущено (пропуски — модули, требующие PyTorch, в окружении не установлен).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