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1C384D"/>
          <w:sz w:val="33"/>
        </w:rPr>
        <w:t>ГЕНЕТИЧЕСКАЯ СХЕМА НАСЛЕДОВАНИЯ И ПЕРЕРАСПРЕДЕЛЕНИЯ ЗОЛОТА</w:t>
      </w:r>
    </w:p>
    <w:p>
      <w:pPr>
        <w:spacing w:after="120"/>
      </w:pPr>
      <w:r>
        <w:rPr>
          <w:color w:val="596977"/>
          <w:sz w:val="18"/>
        </w:rPr>
        <w:t>Анабарский щит  |  раннерифейские углеродисто-терригенные комплексы  |  рабочая геолого-генетическая гипотеза</w:t>
      </w:r>
    </w:p>
    <w:p>
      <w:pPr>
        <w:spacing w:after="140"/>
      </w:pPr>
      <w:r>
        <w:rPr>
          <w:b/>
        </w:rPr>
        <w:t xml:space="preserve">Идея модели. </w:t>
      </w:r>
      <w:r>
        <w:rPr>
          <w:sz w:val="18"/>
        </w:rPr>
        <w:t>Древние кварцевые жилы, интрузивно-метасоматические комплексы и минерализованные разломные зоны могли сформировать первичные резервуары Au; их разрушение и повторная флюидная переработка обеспечивали поступление золота в более молодые осадочные и жильные образования.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648000" cy="4114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енетическая_схема_золото_Анабар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8000" cy="41145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7"/>
        <w:gridCol w:w="7767"/>
      </w:tblGrid>
      <w:tr>
        <w:tc>
          <w:tcPr>
            <w:tcW w:type="dxa" w:w="7767"/>
            <w:vAlign w:val="top"/>
          </w:tcPr>
          <w:p>
            <w:pPr>
              <w:spacing w:after="40"/>
            </w:pPr>
            <w:r>
              <w:rPr>
                <w:b/>
                <w:color w:val="27547F"/>
                <w:sz w:val="18"/>
              </w:rPr>
              <w:t xml:space="preserve">ГЕОЛОГИЧЕСКИЙ СМЫСЛ  </w:t>
            </w:r>
            <w:r>
              <w:rPr>
                <w:sz w:val="16"/>
              </w:rPr>
              <w:t>В архее–раннем протерозое формируются возможные источники Au (1–4). При дорифейской денудации они разрушаются, золото высвобождается; наследуются структуры, развиваются дислокации и коры выветривания (5–6). В рифее Au может накапливаться в алевропелитах (7) и грубообломочных осадках (8), а также переноситься флюидами и концентрироваться в жильных образованиях (9).</w:t>
            </w:r>
          </w:p>
        </w:tc>
        <w:tc>
          <w:tcPr>
            <w:tcW w:type="dxa" w:w="7767"/>
            <w:vAlign w:val="top"/>
          </w:tcPr>
          <w:p>
            <w:pPr>
              <w:spacing w:after="40"/>
            </w:pPr>
            <w:r>
              <w:rPr>
                <w:b/>
                <w:color w:val="27547F"/>
                <w:sz w:val="18"/>
              </w:rPr>
              <w:t xml:space="preserve">КЛЮЧЕВЫЕ ОГОВОРКИ  </w:t>
            </w:r>
            <w:r>
              <w:rPr>
                <w:sz w:val="16"/>
              </w:rPr>
              <w:t>Минерализованная зона глубинного разлома (3) может быть источником Au, каналом переноса и местом его концентрации. Разрушение породы не тождественно химическому выщелачиванию Au. Дистально-турбидитный генезис алевропелитов (7), рифейский возраст жильной минерализации (9) и связь осадочных резервуаров с золото-кварцевым оруденением требуют самостоятельного подтверждения.</w:t>
            </w:r>
          </w:p>
        </w:tc>
      </w:tr>
    </w:tbl>
    <w:sectPr w:rsidR="00FC693F" w:rsidRPr="0006063C" w:rsidSect="00034616">
      <w:footerReference w:type="default" r:id="rId10"/>
      <w:pgSz w:w="16838" w:h="11906" w:orient="landscape"/>
      <w:pgMar w:top="652" w:right="680" w:bottom="652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28D97"/>
        <w:sz w:val="14"/>
      </w:rPr>
      <w:t>Схема процесса, не карта установленного оруденения  •  20.10.2026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235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Генетическая схема наследования и перераспределения золота — Анабар</dc:title>
  <dc:subject>Рабочая модель факторов 1–9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