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25AF93" w14:textId="77777777" w:rsidR="00632C72" w:rsidRPr="00CD70F1" w:rsidRDefault="00000000">
      <w:pPr>
        <w:keepNext/>
        <w:spacing w:after="160" w:line="252" w:lineRule="auto"/>
        <w:jc w:val="center"/>
        <w:rPr>
          <w:rFonts w:ascii="Arial" w:hAnsi="Arial" w:cs="Arial"/>
        </w:rPr>
      </w:pPr>
      <w:r w:rsidRPr="00CD70F1">
        <w:rPr>
          <w:rFonts w:ascii="Arial" w:hAnsi="Arial" w:cs="Arial"/>
          <w:b/>
          <w:color w:val="17324D"/>
          <w:sz w:val="33"/>
        </w:rPr>
        <w:t>From Reproducible Pipelines to Reproducible Claims: An Audit of Model Selection and Aggregation in Spaceflight Omics</w:t>
      </w:r>
    </w:p>
    <w:p w14:paraId="32CD68B4" w14:textId="77777777" w:rsidR="00632C72" w:rsidRPr="00CD70F1" w:rsidRDefault="00000000">
      <w:pPr>
        <w:keepNext/>
        <w:spacing w:after="40"/>
        <w:jc w:val="center"/>
        <w:rPr>
          <w:rFonts w:ascii="Arial" w:hAnsi="Arial" w:cs="Arial"/>
        </w:rPr>
      </w:pPr>
      <w:r w:rsidRPr="00CD70F1">
        <w:rPr>
          <w:rFonts w:ascii="Arial" w:hAnsi="Arial" w:cs="Arial"/>
          <w:b/>
          <w:color w:val="000000"/>
          <w:sz w:val="23"/>
        </w:rPr>
        <w:t>JangKeun Kim, Christopher Mason</w:t>
      </w:r>
    </w:p>
    <w:p w14:paraId="0D36941D" w14:textId="77777777" w:rsidR="00632C72" w:rsidRPr="00CD70F1" w:rsidRDefault="00000000">
      <w:pPr>
        <w:keepNext/>
        <w:spacing w:after="320"/>
        <w:jc w:val="center"/>
        <w:rPr>
          <w:rFonts w:ascii="Arial" w:hAnsi="Arial" w:cs="Arial"/>
        </w:rPr>
      </w:pPr>
      <w:r w:rsidRPr="00CD70F1">
        <w:rPr>
          <w:rFonts w:ascii="Arial" w:hAnsi="Arial" w:cs="Arial"/>
          <w:i/>
          <w:color w:val="4B5563"/>
          <w:sz w:val="21"/>
        </w:rPr>
        <w:t>Weill Cornell Medicine, New York, NY, USA</w:t>
      </w:r>
    </w:p>
    <w:p w14:paraId="01DCE465" w14:textId="77777777" w:rsidR="00632C72" w:rsidRPr="00CD70F1" w:rsidRDefault="00000000">
      <w:pPr>
        <w:keepNext/>
        <w:spacing w:after="140"/>
        <w:rPr>
          <w:rFonts w:ascii="Arial" w:hAnsi="Arial" w:cs="Arial"/>
        </w:rPr>
      </w:pPr>
      <w:r w:rsidRPr="00CD70F1">
        <w:rPr>
          <w:rFonts w:ascii="Arial" w:hAnsi="Arial" w:cs="Arial"/>
          <w:b/>
          <w:color w:val="17324D"/>
          <w:sz w:val="26"/>
        </w:rPr>
        <w:t>Abstract</w:t>
      </w:r>
    </w:p>
    <w:p w14:paraId="1232B197" w14:textId="77777777" w:rsidR="00632C72" w:rsidRPr="00CD70F1" w:rsidRDefault="00000000">
      <w:pPr>
        <w:keepLines/>
        <w:spacing w:after="140"/>
        <w:rPr>
          <w:rFonts w:ascii="Arial" w:hAnsi="Arial" w:cs="Arial"/>
        </w:rPr>
      </w:pPr>
      <w:r w:rsidRPr="00CD70F1">
        <w:rPr>
          <w:rFonts w:ascii="Arial" w:hAnsi="Arial" w:cs="Arial"/>
          <w:color w:val="000000"/>
          <w:sz w:val="21"/>
        </w:rPr>
        <w:t>Technical reproducibility is necessary but not sufficient for a reproducible scientific claim. Spaceflight omics is a demanding test case because small cohorts and mission-specific hardware, protocols, age, tissue handling, and processing are entangled with biological variation. We examined how model selection and score aggregation affect conclusions about model performance under cross-study shift.</w:t>
      </w:r>
    </w:p>
    <w:p w14:paraId="3DD3987E" w14:textId="77777777" w:rsidR="00632C72" w:rsidRPr="00CD70F1" w:rsidRDefault="00000000">
      <w:pPr>
        <w:keepLines/>
        <w:spacing w:after="140"/>
        <w:rPr>
          <w:rFonts w:ascii="Arial" w:hAnsi="Arial" w:cs="Arial"/>
        </w:rPr>
      </w:pPr>
      <w:r w:rsidRPr="00CD70F1">
        <w:rPr>
          <w:rFonts w:ascii="Arial" w:hAnsi="Arial" w:cs="Arial"/>
          <w:color w:val="000000"/>
          <w:sz w:val="21"/>
        </w:rPr>
        <w:t>SpaceBio-Bench contains 549 mouse bulk RNA-seq profiles from six tissues organized into 22 leave-one-mission-out task folds. We audited a fixed PCA-logistic regression pipeline and two widely used first-generation single-cell-pretrained models, scGPT and Mouse-Geneformer, selected because their fold-level training histories were available across the audited benchmark surface. This was a retrospective audit rather than a comprehensive comparison of current models. It separated two choices that had been combined in the initial summary: selecting an epoch using the held-out mission and defining performance as either the mean of mission-level AUROCs or a pooled out-of-fold AUROC. Result coverage was retained explicitly: 21 folds for scGPT and 22 for Mouse-Geneformer.</w:t>
      </w:r>
    </w:p>
    <w:p w14:paraId="798DF1D0" w14:textId="77777777" w:rsidR="00632C72" w:rsidRPr="00CD70F1" w:rsidRDefault="00000000">
      <w:pPr>
        <w:keepLines/>
        <w:spacing w:after="140"/>
        <w:rPr>
          <w:rFonts w:ascii="Arial" w:hAnsi="Arial" w:cs="Arial"/>
        </w:rPr>
      </w:pPr>
      <w:r w:rsidRPr="00CD70F1">
        <w:rPr>
          <w:rFonts w:ascii="Arial" w:hAnsi="Arial" w:cs="Arial"/>
          <w:color w:val="000000"/>
          <w:sz w:val="21"/>
        </w:rPr>
        <w:t>The initial summary selected each foundation model's best held-out test epoch. In a fixed epoch-10 sensitivity analysis, the six-tissue macro AUROC decreased from 0.666 to 0.599 for scGPT and from 0.476 to 0.458 for Mouse-Geneformer; a fixed PCA-logistic regression pipeline achieved 0.730. Within this audited benchmark surface, neither tested model outperformed the conventional pipeline, and the estimated gaps increased under the fixed-epoch analysis. Aggregation also changed the reported effect. For thymus, the PCA-logistic regression mean mission-level AUROC was 0.923, whereas its pooled out-of-fold AUROC was 0.631. These values answer different questions, and neither is interpretable without naming the evaluation unit and aggregation rule.</w:t>
      </w:r>
    </w:p>
    <w:p w14:paraId="5582A2CF" w14:textId="77777777" w:rsidR="00632C72" w:rsidRPr="00CD70F1" w:rsidRDefault="00000000">
      <w:pPr>
        <w:keepLines/>
        <w:spacing w:after="140"/>
        <w:rPr>
          <w:rFonts w:ascii="Arial" w:hAnsi="Arial" w:cs="Arial"/>
        </w:rPr>
      </w:pPr>
      <w:r w:rsidRPr="00CD70F1">
        <w:rPr>
          <w:rFonts w:ascii="Arial" w:hAnsi="Arial" w:cs="Arial"/>
          <w:color w:val="000000"/>
          <w:sz w:val="21"/>
        </w:rPr>
        <w:t>Mission-held-out evaluation alone therefore did not make the resulting model-comparison claim fully specified. We propose a minimum reporting profile that records task and fold coverage, train-side model-selection rules, per-mission and pooled estimands, model and preprocessing versions, and prediction-level run records. Spaceflight omics provides a public stress test for moving from rerunnable pipelines to traceable, reproducible claims about AI-enabled science.</w:t>
      </w:r>
    </w:p>
    <w:sectPr w:rsidR="00632C72" w:rsidRPr="00CD70F1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1189244">
    <w:abstractNumId w:val="8"/>
  </w:num>
  <w:num w:numId="2" w16cid:durableId="2130279199">
    <w:abstractNumId w:val="6"/>
  </w:num>
  <w:num w:numId="3" w16cid:durableId="2073918211">
    <w:abstractNumId w:val="5"/>
  </w:num>
  <w:num w:numId="4" w16cid:durableId="229728281">
    <w:abstractNumId w:val="4"/>
  </w:num>
  <w:num w:numId="5" w16cid:durableId="836067958">
    <w:abstractNumId w:val="7"/>
  </w:num>
  <w:num w:numId="6" w16cid:durableId="974486196">
    <w:abstractNumId w:val="3"/>
  </w:num>
  <w:num w:numId="7" w16cid:durableId="714501610">
    <w:abstractNumId w:val="2"/>
  </w:num>
  <w:num w:numId="8" w16cid:durableId="2145655583">
    <w:abstractNumId w:val="1"/>
  </w:num>
  <w:num w:numId="9" w16cid:durableId="18017108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2F8A"/>
    <w:rsid w:val="0029639D"/>
    <w:rsid w:val="00326F90"/>
    <w:rsid w:val="00632C72"/>
    <w:rsid w:val="008427D2"/>
    <w:rsid w:val="00AA1D8D"/>
    <w:rsid w:val="00B47730"/>
    <w:rsid w:val="00CB0664"/>
    <w:rsid w:val="00CD70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10D005"/>
  <w14:defaultImageDpi w14:val="300"/>
  <w15:docId w15:val="{6E5A634D-A39A-0C44-A8DA-70C23953A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387</Words>
  <Characters>2210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From Reproducible Pipelines to Reproducible Claims: An Audit of Model Selection and Aggregation in Spaceflight Omics</dc:title>
  <dc:subject>MAQC Society Annual Meeting 2026 abstract draft</dc:subject>
  <dc:creator>JangKeun Kim; Christopher Mason</dc:creator>
  <cp:keywords>MAQC; spaceflight omics; reproducibility; foundation models; SpaceBio-Bench</cp:keywords>
  <dc:description>generated by python-docx</dc:description>
  <cp:lastModifiedBy>JangKeun Kim</cp:lastModifiedBy>
  <cp:revision>3</cp:revision>
  <dcterms:created xsi:type="dcterms:W3CDTF">2013-12-23T23:15:00Z</dcterms:created>
  <dcterms:modified xsi:type="dcterms:W3CDTF">2026-08-14T22:28:00Z</dcterms:modified>
  <cp:category/>
</cp:coreProperties>
</file>