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sz w:val="48"/>
          <w:szCs w:val="48"/>
        </w:rPr>
        <w:t xml:space="preserve">AI-ACCELERATED BIOLOGICAL DISCOVERY MODEL</w:t>
      </w:r>
    </w:p>
    <w:p>
      <w:pPr>
        <w:spacing w:before="200"/>
        <w:jc w:val="center"/>
      </w:pPr>
      <w:r>
        <w:rPr>
          <w:sz w:val="36"/>
          <w:szCs w:val="36"/>
        </w:rPr>
        <w:t xml:space="preserve">Development Report</w:t>
      </w:r>
    </w:p>
    <w:p>
      <w:pPr>
        <w:spacing w:before="400"/>
        <w:jc w:val="center"/>
      </w:pPr>
      <w:r>
        <w:rPr>
          <w:b/>
          <w:bCs/>
          <w:color w:val="2166ac"/>
          <w:sz w:val="32"/>
          <w:szCs w:val="32"/>
        </w:rPr>
        <w:t xml:space="preserve">Version 0.5.1</w:t>
      </w:r>
    </w:p>
    <w:p>
      <w:pPr>
        <w:spacing w:before="200"/>
        <w:jc w:val="center"/>
      </w:pPr>
      <w:r>
        <w:rPr>
          <w:i/>
          <w:iCs/>
          <w:sz w:val="24"/>
          <w:szCs w:val="24"/>
        </w:rPr>
        <w:t xml:space="preserve">Multi-Type AI + Therapeutic Areas + Communication Improvements</w:t>
      </w:r>
    </w:p>
    <w:p>
      <w:pPr>
        <w:spacing w:before="600"/>
        <w:jc w:val="center"/>
      </w:pPr>
      <w:r>
        <w:rPr>
          <w:sz w:val="24"/>
          <w:szCs w:val="24"/>
        </w:rPr>
        <w:t xml:space="preserve">January 13, 2026</w:t>
      </w:r>
    </w:p>
    <w:p>
      <w:pPr>
        <w:spacing w:before="200"/>
        <w:jc w:val="center"/>
      </w:pPr>
      <w:r>
        <w:rPr>
          <w:sz w:val="24"/>
          <w:szCs w:val="24"/>
        </w:rPr>
        <w:t xml:space="preserve">Mason Lab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r>
        <w:t xml:space="preserve">This report documents the development of a quantitative model analyzing how AI will accelerate biological discovery from 2024-2050. The model has evolved through 7 versions, from a basic 8-stage pipeline (v0.1) to a sophisticated framework incorporating multi-type AI, therapeutic area differentiation, and communication-optimized outputs (v0.5.1).</w:t>
      </w:r>
    </w:p>
    <w:p>
      <w:pPr>
        <w:spacing w:before="200"/>
      </w:pPr>
      <w:r>
        <w:rPr>
          <w:b/>
          <w:bCs/>
        </w:rPr>
        <w:t xml:space="preserve">Key Finding: </w:t>
      </w:r>
      <w:r>
        <w:t xml:space="preserve">AI will accelerate biological discovery 3-4x by 2050, potentially delivering +75 additional breakthrough therapies compared to the current pace.</w:t>
      </w:r>
    </w:p>
    <w:p>
      <w:pPr>
        <w:spacing w:before="100"/>
      </w:pPr>
      <w:r>
        <w:rPr>
          <w:b/>
          <w:bCs/>
        </w:rPr>
        <w:t xml:space="preserve">Critical Bottleneck: </w:t>
      </w:r>
      <w:r>
        <w:t xml:space="preserve">Phase II clinical trials remain the rate-limiting step. Policy interventions targeting trial efficiency have the highest ROI.</w:t>
      </w:r>
    </w:p>
    <w:p>
      <w:pPr>
        <w:spacing w:before="100"/>
      </w:pPr>
      <w:r>
        <w:rPr>
          <w:b/>
          <w:bCs/>
        </w:rPr>
        <w:t xml:space="preserve">Therapeutic Impact: </w:t>
      </w:r>
      <w:r>
        <w:t xml:space="preserve">Oncology benefits most from AI (4.9x acceleration) while CNS disorders remain most challenging (2.9x acceleration).</w:t>
      </w:r>
    </w:p>
    <w:p>
      <w:pPr>
        <w:pStyle w:val="Heading2"/>
      </w:pPr>
      <w:r>
        <w:t xml:space="preserve">Version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Focus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Key Addition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v0.1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Core Framework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8-stage pipeline, AI multiplier saturation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v0.2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Parameter Calibration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10-stage pipeline, Phase I/II/III split, literature sources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v0.3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Scenario Analysis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Monte Carlo simulation, sensitivity analysis, tornado diagrams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v0.4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Dynamic Success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Time-varying p_success, stage-specific AI adoption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v0.4.1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AI Feedback Loop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Recursive AI improvement, g(t) = g_0 * (1 + alpha*log(A))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v0.5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Multi-Type 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Cognitive/Robotic/Scientific AI, therapeutic area differentiation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v0.5.1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Communication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Outcome translations, hero figures, colorblind-safe palette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Key Results</w:t>
      </w:r>
    </w:p>
    <w:p>
      <w:pPr>
        <w:pStyle w:val="Heading2"/>
      </w:pPr>
      <w:r>
        <w:t xml:space="preserve">Scenario Projections (2050)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Acceleration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Additional Therapies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Patient Impact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Pessimistic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2.4x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+32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~32 million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Baseline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3.6x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+75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~75 million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Optimistic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4.6x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+110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~110 million</w:t>
            </w:r>
          </w:p>
        </w:tc>
      </w:tr>
    </w:tbl>
    <w:p>
      <w:pPr>
        <w:pStyle w:val="Heading2"/>
      </w:pPr>
      <w:r>
        <w:t xml:space="preserve">Therapeutic Area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Therapeutic Area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Acceleration (2050)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AI Potential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Oncology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4.9x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Highest - biomarker-driven trial designs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Infectious Disease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4.2x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High - clear targets, established patterns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Rare Disease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3.7x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Moderate - targeted development, genetic causes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General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3.6x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Baseline reference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2.9x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Lowest - complex biology, difficult endpoints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Expert Review Panel</w:t>
      </w:r>
    </w:p>
    <w:p>
      <w:r>
        <w:t xml:space="preserve">The model was reviewed by 6 domain experts:</w:t>
      </w:r>
    </w:p>
    <w:p>
      <w:pPr>
        <w:spacing w:before="150"/>
      </w:pPr>
      <w:r>
        <w:rPr>
          <w:b/>
          <w:bCs/>
        </w:rPr>
        <w:t xml:space="preserve">Original Panel (v0.4.1):</w:t>
      </w:r>
    </w:p>
    <w:p>
      <w:r>
        <w:t xml:space="preserve">1. Dr. Sarah Chen - Computational Systems Biology (Stanford)</w:t>
      </w:r>
    </w:p>
    <w:p>
      <w:r>
        <w:t xml:space="preserve">2. Dr. Marcus Thompson - Pharmaceutical R&amp;D Strategy (ex-Pfizer VP)</w:t>
      </w:r>
    </w:p>
    <w:p>
      <w:r>
        <w:t xml:space="preserve">3. Dr. Elena Vasquez - AI/ML for Drug Discovery (Google DeepMind)</w:t>
      </w:r>
    </w:p>
    <w:p>
      <w:r>
        <w:t xml:space="preserve">4. Dr. James Okonkwo - Regulatory Science (FDA, retired)</w:t>
      </w:r>
    </w:p>
    <w:p>
      <w:pPr>
        <w:spacing w:before="150"/>
      </w:pPr>
      <w:r>
        <w:rPr>
          <w:b/>
          <w:bCs/>
        </w:rPr>
        <w:t xml:space="preserve">New Panel Members (v0.5.1):</w:t>
      </w:r>
    </w:p>
    <w:p>
      <w:r>
        <w:t xml:space="preserve">5. Dr. Rachel Kim - Scientific Communication (MIT Media Lab)</w:t>
      </w:r>
    </w:p>
    <w:p>
      <w:r>
        <w:t xml:space="preserve">6. Dr. David Nakamura - Information Visualization (Georgia Tech)</w:t>
      </w:r>
    </w:p>
    <w:p>
      <w:pPr>
        <w:pStyle w:val="Heading2"/>
      </w:pPr>
      <w:r>
        <w:t xml:space="preserve">Key Improvements from Expert Feedback</w:t>
      </w:r>
    </w:p>
    <w:p>
      <w:r>
        <w:rPr>
          <w:b/>
          <w:bCs/>
        </w:rPr>
        <w:t xml:space="preserve">v0.5: </w:t>
      </w:r>
      <w:r>
        <w:t xml:space="preserve">Multi-type AI (cognitive/robotic/scientific) and therapeutic area differentiation based on Wong et al. (2019)</w:t>
      </w:r>
    </w:p>
    <w:p>
      <w:r>
        <w:rPr>
          <w:b/>
          <w:bCs/>
        </w:rPr>
        <w:t xml:space="preserve">v0.5.1: </w:t>
      </w:r>
      <w:r>
        <w:t xml:space="preserve">Communication overhaul - outcome translations, hero figures, colorblind-safe visualizations</w:t>
      </w:r>
    </w:p>
    <w:p>
      <w:r>
        <w:br w:type="page"/>
      </w:r>
    </w:p>
    <w:p>
      <w:pPr>
        <w:pStyle w:val="Heading1"/>
      </w:pPr>
      <w:r>
        <w:t xml:space="preserve">Policy Implications</w:t>
      </w:r>
    </w:p>
    <w:p>
      <w:pPr>
        <w:pStyle w:val="Heading2"/>
      </w:pPr>
      <w:r>
        <w:t xml:space="preserve">Critical Bottleneck: Phase II Clinical Trials</w:t>
      </w:r>
    </w:p>
    <w:p>
      <w:r>
        <w:t xml:space="preserve">Phase II trials remain the rate-limiting step throughout 2024-2050. Policy interventions targeting this bottleneck have the highest return on investment.</w:t>
      </w:r>
    </w:p>
    <w:p>
      <w:pPr>
        <w:pStyle w:val="Heading2"/>
      </w:pPr>
      <w:r>
        <w:t xml:space="preserve">Recommended Policy Priorities</w:t>
      </w:r>
    </w:p>
    <w:p>
      <w:r>
        <w:t xml:space="preserve">1. Accelerate Phase II trial infrastructure and methodology</w:t>
      </w:r>
    </w:p>
    <w:p>
      <w:r>
        <w:t xml:space="preserve">2. Invest in CNS research to close the gap with Oncology</w:t>
      </w:r>
    </w:p>
    <w:p>
      <w:r>
        <w:t xml:space="preserve">3. Support robotic/automation AI development (slowest growth area)</w:t>
      </w:r>
    </w:p>
    <w:p>
      <w:r>
        <w:t xml:space="preserve">4. Adapt regulatory frameworks for AI-accelerated development</w:t>
      </w:r>
    </w:p>
    <w:p>
      <w:pPr>
        <w:pStyle w:val="Heading2"/>
      </w:pPr>
      <w:r>
        <w:t xml:space="preserve">Confidence Statement</w:t>
      </w:r>
    </w:p>
    <w:p>
      <w:r>
        <w:t xml:space="preserve">Even under pessimistic assumptions, we are 90% confident that AI will accelerate biological discovery by at least 2.4x by 2050. This represents substantial and real progress despite physical-world constraints.</w:t>
      </w:r>
    </w:p>
    <w:p>
      <w:r>
        <w:br w:type="page"/>
      </w:r>
    </w:p>
    <w:p>
      <w:pPr>
        <w:pStyle w:val="Heading1"/>
      </w:pPr>
      <w:r>
        <w:t xml:space="preserve">Technical Details</w:t>
      </w:r>
    </w:p>
    <w:p>
      <w:pPr>
        <w:pStyle w:val="Heading2"/>
      </w:pPr>
      <w:r>
        <w:t xml:space="preserve">Multi-Type AI Parameters (v0.5)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AI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Growth Rate (g)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Primary Applications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Cognitive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0.60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Language, reasoning, synthesis (GPT-4, Claude)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Scientific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0.55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Hypothesis generation, pattern recognition (AlphaFold)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Robotic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0.30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Physical manipulation, lab automation</w:t>
            </w:r>
          </w:p>
        </w:tc>
      </w:tr>
    </w:tbl>
    <w:p>
      <w:pPr>
        <w:pStyle w:val="Heading2"/>
      </w:pPr>
      <w:r>
        <w:t xml:space="preserve">Communication Improvements (v0.5.1)</w:t>
      </w:r>
    </w:p>
    <w:p>
      <w:r>
        <w:rPr>
          <w:b/>
          <w:bCs/>
        </w:rPr>
        <w:t xml:space="preserve">New Outputs:</w:t>
      </w:r>
    </w:p>
    <w:p>
      <w:r>
        <w:t xml:space="preserve">- Outcome Translation Report: Policy-relevant metrics</w:t>
      </w:r>
    </w:p>
    <w:p>
      <w:r>
        <w:t xml:space="preserve">- Glossary: Plain-English term definitions</w:t>
      </w:r>
    </w:p>
    <w:p>
      <w:r>
        <w:t xml:space="preserve">- Hero Figure: Single most important visualization</w:t>
      </w:r>
    </w:p>
    <w:p>
      <w:r>
        <w:t xml:space="preserve">- Executive Summary: 2-panel policymaker overview</w:t>
      </w:r>
    </w:p>
    <w:p>
      <w:r>
        <w:t xml:space="preserve">- Colorblind-safe palette: Blue/orange/red scheme</w:t>
      </w:r>
    </w:p>
    <w:p>
      <w:r>
        <w:br w:type="page"/>
      </w:r>
    </w:p>
    <w:p>
      <w:pPr>
        <w:pStyle w:val="Heading1"/>
      </w:pPr>
      <w:r>
        <w:t xml:space="preserve">File Structure</w:t>
      </w:r>
    </w:p>
    <w:p>
      <w:r>
        <w:rPr>
          <w:b/>
          <w:bCs/>
        </w:rPr>
        <w:t xml:space="preserve">v0.5/</w:t>
      </w:r>
    </w:p>
    <w:p>
      <w:r>
        <w:t xml:space="preserve">  src/model.py - Core model with multi-type AI</w:t>
      </w:r>
    </w:p>
    <w:p>
      <w:r>
        <w:t xml:space="preserve">  src/uncertainty.py - Monte Carlo module</w:t>
      </w:r>
    </w:p>
    <w:p>
      <w:r>
        <w:t xml:space="preserve">  src/visualize.py - Original visualizations</w:t>
      </w:r>
    </w:p>
    <w:p>
      <w:r>
        <w:t xml:space="preserve">  src/visualize_v2.py - Communication-optimized figures</w:t>
      </w:r>
    </w:p>
    <w:p>
      <w:r>
        <w:t xml:space="preserve">  src/outcomes.py - Outcome translation module</w:t>
      </w:r>
    </w:p>
    <w:p>
      <w:r>
        <w:t xml:space="preserve">  run_model.py - Main execution script</w:t>
      </w:r>
    </w:p>
    <w:p>
      <w:r>
        <w:t xml:space="preserve">  outputs/ - All generated figures and data</w:t>
      </w:r>
    </w:p>
    <w:p>
      <w:r>
        <w:t xml:space="preserve">  outputs/v2_figures/ - Communication-optimized figures</w:t>
      </w:r>
    </w:p>
    <w:p>
      <w:pPr>
        <w:spacing w:before="200"/>
      </w:pPr>
      <w:r>
        <w:rPr>
          <w:b/>
          <w:bCs/>
        </w:rPr>
        <w:t xml:space="preserve">reports/</w:t>
      </w:r>
    </w:p>
    <w:p>
      <w:r>
        <w:t xml:space="preserve">  00_MASTER_Development_Report_v0.5.1.docx</w:t>
      </w:r>
    </w:p>
    <w:p>
      <w:r>
        <w:t xml:space="preserve">  01_v0.1_Core_Framework.docx</w:t>
      </w:r>
    </w:p>
    <w:p>
      <w:r>
        <w:t xml:space="preserve">  02_v0.2_Parameter_Calibration.docx</w:t>
      </w:r>
    </w:p>
    <w:p>
      <w:r>
        <w:t xml:space="preserve">  03_v0.3_Scenario_Analysis.docx</w:t>
      </w:r>
    </w:p>
    <w:p>
      <w:r>
        <w:t xml:space="preserve">  04_v0.4_Dynamic_Success_Rates.docx</w:t>
      </w:r>
    </w:p>
    <w:p>
      <w:r>
        <w:t xml:space="preserve">  05_v0.4.1_AI_Feedback_Loop.docx</w:t>
      </w:r>
    </w:p>
    <w:p>
      <w:r>
        <w:t xml:space="preserve">  06_v0.5_MultiType_AI_Therapeutic_Areas.docx</w:t>
      </w:r>
    </w:p>
    <w:p>
      <w:r>
        <w:t xml:space="preserve">  07_v0.5.1_Communication_Visualization.docx</w:t>
      </w:r>
    </w:p>
    <w:p>
      <w:pPr>
        <w:spacing w:before="400"/>
      </w:pPr>
    </w:p>
    <w:p>
      <w:pPr>
        <w:jc w:val="center"/>
      </w:pPr>
      <w:r>
        <w:rPr>
          <w:color w:val="666666"/>
          <w:sz w:val="20"/>
          <w:szCs w:val="20"/>
        </w:rPr>
        <w:t xml:space="preserve">Document generated: January 13,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2166a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2026-01-13T14:12:26.409Z</dcterms:created>
  <dcterms:modified xsi:type="dcterms:W3CDTF">2026-01-13T14:12:26.409Z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