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AI-Accelerated Biological Discovery Model</w:t>
      </w:r>
    </w:p>
    <w:p>
      <w:pPr>
        <w:pStyle w:val="Heading1"/>
      </w:pPr>
      <w:r>
        <w:t>Master Development Report</w:t>
      </w:r>
    </w:p>
    <w:p>
      <w:r>
        <w:t>Version: 0.9 (Policy Analysis + Intervention ROI)</w:t>
      </w:r>
    </w:p>
    <w:p>
      <w:r>
        <w:t>Date: 2026-01-14</w:t>
      </w:r>
    </w:p>
    <w:p/>
    <w:p>
      <w:pPr>
        <w:pStyle w:val="Heading1"/>
      </w:pPr>
      <w:r>
        <w:t>Project Overview</w:t>
      </w:r>
    </w:p>
    <w:p>
      <w:r>
        <w:t>A quantitative pipeline model for analyzing bottlenecks in AI-accelerated biological research. The model simulates a 10-stage drug discovery pipeline with AI acceleration, bottleneck constraints, and disease-specific projections.</w:t>
      </w:r>
    </w:p>
    <w:p/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v0.1</w:t>
            </w:r>
          </w:p>
        </w:tc>
        <w:tc>
          <w:tcPr>
            <w:tcW w:type="dxa" w:w="2880"/>
          </w:tcPr>
          <w:p>
            <w:r>
              <w:t>Core pipeline model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v0.2</w:t>
            </w:r>
          </w:p>
        </w:tc>
        <w:tc>
          <w:tcPr>
            <w:tcW w:type="dxa" w:w="2880"/>
          </w:tcPr>
          <w:p>
            <w:r>
              <w:t>Parameter calibration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v0.3</w:t>
            </w:r>
          </w:p>
        </w:tc>
        <w:tc>
          <w:tcPr>
            <w:tcW w:type="dxa" w:w="2880"/>
          </w:tcPr>
          <w:p>
            <w:r>
              <w:t>Scenario analysis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v0.4</w:t>
            </w:r>
          </w:p>
        </w:tc>
        <w:tc>
          <w:tcPr>
            <w:tcW w:type="dxa" w:w="2880"/>
          </w:tcPr>
          <w:p>
            <w:r>
              <w:t>Monte Carlo + Improved visualizations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v0.5</w:t>
            </w:r>
          </w:p>
        </w:tc>
        <w:tc>
          <w:tcPr>
            <w:tcW w:type="dxa" w:w="2880"/>
          </w:tcPr>
          <w:p>
            <w:r>
              <w:t>Multi-type AI + Therapeutic areas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v0.6</w:t>
            </w:r>
          </w:p>
        </w:tc>
        <w:tc>
          <w:tcPr>
            <w:tcW w:type="dxa" w:w="2880"/>
          </w:tcPr>
          <w:p>
            <w:r>
              <w:t>Data Quality Module (DQM)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v0.7</w:t>
            </w:r>
          </w:p>
        </w:tc>
        <w:tc>
          <w:tcPr>
            <w:tcW w:type="dxa" w:w="2880"/>
          </w:tcPr>
          <w:p>
            <w:r>
              <w:t>Pipeline Iteration with Rework Dynamics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v0.8</w:t>
            </w:r>
          </w:p>
        </w:tc>
        <w:tc>
          <w:tcPr>
            <w:tcW w:type="dxa" w:w="2880"/>
          </w:tcPr>
          <w:p>
            <w:r>
              <w:t>Disease-Specific Time-to-Cure Models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v0.9</w:t>
            </w:r>
          </w:p>
        </w:tc>
        <w:tc>
          <w:tcPr>
            <w:tcW w:type="dxa" w:w="2880"/>
          </w:tcPr>
          <w:p>
            <w:r>
              <w:t>Policy Analysis + Intervention ROI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Final paper version</w:t>
            </w:r>
          </w:p>
        </w:tc>
        <w:tc>
          <w:tcPr>
            <w:tcW w:type="dxa" w:w="2880"/>
          </w:tcPr>
          <w:p>
            <w:r>
              <w:t>⏳ Planned</w:t>
            </w:r>
          </w:p>
        </w:tc>
      </w:tr>
    </w:tbl>
    <w:p/>
    <w:p>
      <w:pPr>
        <w:pStyle w:val="Heading1"/>
      </w:pPr>
      <w:r>
        <w:t>v0.9 Highlights</w:t>
      </w:r>
    </w:p>
    <w:p>
      <w:pPr>
        <w:pStyle w:val="Heading2"/>
      </w:pPr>
      <w:r>
        <w:t>Policy Analysis Features</w:t>
      </w:r>
    </w:p>
    <w:p>
      <w:pPr>
        <w:pStyle w:val="ListBullet"/>
      </w:pPr>
      <w:r>
        <w:t>13 policy interventions across 6 categories</w:t>
      </w:r>
    </w:p>
    <w:p>
      <w:pPr>
        <w:pStyle w:val="ListBullet"/>
      </w:pPr>
      <w:r>
        <w:t>ROI calculations with QALY-based value estimation</w:t>
      </w:r>
    </w:p>
    <w:p>
      <w:pPr>
        <w:pStyle w:val="ListBullet"/>
      </w:pPr>
      <w:r>
        <w:t>Budget-constrained portfolio optimization</w:t>
      </w:r>
    </w:p>
    <w:p>
      <w:pPr>
        <w:pStyle w:val="ListBullet"/>
      </w:pPr>
      <w:r>
        <w:t>Implementation lag and duration modeling</w:t>
      </w:r>
    </w:p>
    <w:p>
      <w:pPr>
        <w:pStyle w:val="ListBullet"/>
      </w:pPr>
      <w:r>
        <w:t>Expert panel review with validated methodology</w:t>
      </w:r>
    </w:p>
    <w:p/>
    <w:p>
      <w:pPr>
        <w:pStyle w:val="Heading2"/>
      </w:pPr>
      <w:r>
        <w:t>Top Policy Interventions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Intervention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ROI</w:t>
            </w:r>
          </w:p>
        </w:tc>
      </w:tr>
      <w:tr>
        <w:tc>
          <w:tcPr>
            <w:tcW w:type="dxa" w:w="2880"/>
          </w:tcPr>
          <w:p>
            <w:r>
              <w:t>Expand Adaptive Trial Designs</w:t>
            </w:r>
          </w:p>
        </w:tc>
        <w:tc>
          <w:tcPr>
            <w:tcW w:type="dxa" w:w="2880"/>
          </w:tcPr>
          <w:p>
            <w:r>
              <w:t>$200M</w:t>
            </w:r>
          </w:p>
        </w:tc>
        <w:tc>
          <w:tcPr>
            <w:tcW w:type="dxa" w:w="2880"/>
          </w:tcPr>
          <w:p>
            <w:r>
              <w:t>17,510</w:t>
            </w:r>
          </w:p>
        </w:tc>
      </w:tr>
      <w:tr>
        <w:tc>
          <w:tcPr>
            <w:tcW w:type="dxa" w:w="2880"/>
          </w:tcPr>
          <w:p>
            <w:r>
              <w:t>Real-World Evidence Integration</w:t>
            </w:r>
          </w:p>
        </w:tc>
        <w:tc>
          <w:tcPr>
            <w:tcW w:type="dxa" w:w="2880"/>
          </w:tcPr>
          <w:p>
            <w:r>
              <w:t>$200M</w:t>
            </w:r>
          </w:p>
        </w:tc>
        <w:tc>
          <w:tcPr>
            <w:tcW w:type="dxa" w:w="2880"/>
          </w:tcPr>
          <w:p>
            <w:r>
              <w:t>10,401</w:t>
            </w:r>
          </w:p>
        </w:tc>
      </w:tr>
      <w:tr>
        <w:tc>
          <w:tcPr>
            <w:tcW w:type="dxa" w:w="2880"/>
          </w:tcPr>
          <w:p>
            <w:r>
              <w:t>Industry-Academia AI Partnerships</w:t>
            </w:r>
          </w:p>
        </w:tc>
        <w:tc>
          <w:tcPr>
            <w:tcW w:type="dxa" w:w="2880"/>
          </w:tcPr>
          <w:p>
            <w:r>
              <w:t>$300M</w:t>
            </w:r>
          </w:p>
        </w:tc>
        <w:tc>
          <w:tcPr>
            <w:tcW w:type="dxa" w:w="2880"/>
          </w:tcPr>
          <w:p>
            <w:r>
              <w:t>8,300</w:t>
            </w:r>
          </w:p>
        </w:tc>
      </w:tr>
      <w:tr>
        <w:tc>
          <w:tcPr>
            <w:tcW w:type="dxa" w:w="2880"/>
          </w:tcPr>
          <w:p>
            <w:r>
              <w:t>Target Validation Initiative</w:t>
            </w:r>
          </w:p>
        </w:tc>
        <w:tc>
          <w:tcPr>
            <w:tcW w:type="dxa" w:w="2880"/>
          </w:tcPr>
          <w:p>
            <w:r>
              <w:t>$1B</w:t>
            </w:r>
          </w:p>
        </w:tc>
        <w:tc>
          <w:tcPr>
            <w:tcW w:type="dxa" w:w="2880"/>
          </w:tcPr>
          <w:p>
            <w:r>
              <w:t>4,645</w:t>
            </w:r>
          </w:p>
        </w:tc>
      </w:tr>
      <w:tr>
        <w:tc>
          <w:tcPr>
            <w:tcW w:type="dxa" w:w="2880"/>
          </w:tcPr>
          <w:p>
            <w:r>
              <w:t>Double AI Research Funding</w:t>
            </w:r>
          </w:p>
        </w:tc>
        <w:tc>
          <w:tcPr>
            <w:tcW w:type="dxa" w:w="2880"/>
          </w:tcPr>
          <w:p>
            <w:r>
              <w:t>$5B</w:t>
            </w:r>
          </w:p>
        </w:tc>
        <w:tc>
          <w:tcPr>
            <w:tcW w:type="dxa" w:w="2880"/>
          </w:tcPr>
          <w:p>
            <w:r>
              <w:t>4,426</w:t>
            </w:r>
          </w:p>
        </w:tc>
      </w:tr>
    </w:tbl>
    <w:p/>
    <w:p>
      <w:pPr>
        <w:pStyle w:val="Heading1"/>
      </w:pPr>
      <w:r>
        <w:t>Key Results Summary</w:t>
      </w:r>
    </w:p>
    <w:p>
      <w:pPr>
        <w:pStyle w:val="Heading2"/>
      </w:pPr>
      <w:r>
        <w:t>Progress Projections (2050)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By 2030</w:t>
            </w:r>
          </w:p>
        </w:tc>
        <w:tc>
          <w:tcPr>
            <w:tcW w:type="dxa" w:w="2160"/>
          </w:tcPr>
          <w:p>
            <w:r>
              <w:t>By 2040</w:t>
            </w:r>
          </w:p>
        </w:tc>
        <w:tc>
          <w:tcPr>
            <w:tcW w:type="dxa" w:w="2160"/>
          </w:tcPr>
          <w:p>
            <w:r>
              <w:t>By 2050</w:t>
            </w:r>
          </w:p>
        </w:tc>
      </w:tr>
      <w:tr>
        <w:tc>
          <w:tcPr>
            <w:tcW w:type="dxa" w:w="2160"/>
          </w:tcPr>
          <w:p>
            <w:r>
              <w:t>Pessimistic</w:t>
            </w:r>
          </w:p>
        </w:tc>
        <w:tc>
          <w:tcPr>
            <w:tcW w:type="dxa" w:w="2160"/>
          </w:tcPr>
          <w:p>
            <w:r>
              <w:t>10.4 yr</w:t>
            </w:r>
          </w:p>
        </w:tc>
        <w:tc>
          <w:tcPr>
            <w:tcW w:type="dxa" w:w="2160"/>
          </w:tcPr>
          <w:p>
            <w:r>
              <w:t>39.8 yr</w:t>
            </w:r>
          </w:p>
        </w:tc>
        <w:tc>
          <w:tcPr>
            <w:tcW w:type="dxa" w:w="2160"/>
          </w:tcPr>
          <w:p>
            <w:r>
              <w:t>79.4 yr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15.3 yr</w:t>
            </w:r>
          </w:p>
        </w:tc>
        <w:tc>
          <w:tcPr>
            <w:tcW w:type="dxa" w:w="2160"/>
          </w:tcPr>
          <w:p>
            <w:r>
              <w:t>69.6 yr</w:t>
            </w:r>
          </w:p>
        </w:tc>
        <w:tc>
          <w:tcPr>
            <w:tcW w:type="dxa" w:w="2160"/>
          </w:tcPr>
          <w:p>
            <w:r>
              <w:t>149.0 yr</w:t>
            </w:r>
          </w:p>
        </w:tc>
      </w:tr>
      <w:tr>
        <w:tc>
          <w:tcPr>
            <w:tcW w:type="dxa" w:w="2160"/>
          </w:tcPr>
          <w:p>
            <w:r>
              <w:t>Optimistic</w:t>
            </w:r>
          </w:p>
        </w:tc>
        <w:tc>
          <w:tcPr>
            <w:tcW w:type="dxa" w:w="2160"/>
          </w:tcPr>
          <w:p>
            <w:r>
              <w:t>24.0 yr</w:t>
            </w:r>
          </w:p>
        </w:tc>
        <w:tc>
          <w:tcPr>
            <w:tcW w:type="dxa" w:w="2160"/>
          </w:tcPr>
          <w:p>
            <w:r>
              <w:t>98.3 yr</w:t>
            </w:r>
          </w:p>
        </w:tc>
        <w:tc>
          <w:tcPr>
            <w:tcW w:type="dxa" w:w="2160"/>
          </w:tcPr>
          <w:p>
            <w:r>
              <w:t>206.5 yr</w:t>
            </w:r>
          </w:p>
        </w:tc>
      </w:tr>
      <w:tr>
        <w:tc>
          <w:tcPr>
            <w:tcW w:type="dxa" w:w="2160"/>
          </w:tcPr>
          <w:p>
            <w:r>
              <w:t>Amodei Upper</w:t>
            </w:r>
          </w:p>
        </w:tc>
        <w:tc>
          <w:tcPr>
            <w:tcW w:type="dxa" w:w="2160"/>
          </w:tcPr>
          <w:p>
            <w:r>
              <w:t>22.5 yr</w:t>
            </w:r>
          </w:p>
        </w:tc>
        <w:tc>
          <w:tcPr>
            <w:tcW w:type="dxa" w:w="2160"/>
          </w:tcPr>
          <w:p>
            <w:r>
              <w:t>104.6 yr</w:t>
            </w:r>
          </w:p>
        </w:tc>
        <w:tc>
          <w:tcPr>
            <w:tcW w:type="dxa" w:w="2160"/>
          </w:tcPr>
          <w:p>
            <w:r>
              <w:t>228.8 yr</w:t>
            </w:r>
          </w:p>
        </w:tc>
      </w:tr>
    </w:tbl>
    <w:p/>
    <w:p>
      <w:pPr>
        <w:pStyle w:val="Heading2"/>
      </w:pPr>
      <w:r>
        <w:t>Portfolio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Interventions</w:t>
            </w:r>
          </w:p>
        </w:tc>
        <w:tc>
          <w:tcPr>
            <w:tcW w:type="dxa" w:w="2160"/>
          </w:tcPr>
          <w:p>
            <w:r>
              <w:t>Acceleration</w:t>
            </w:r>
          </w:p>
        </w:tc>
        <w:tc>
          <w:tcPr>
            <w:tcW w:type="dxa" w:w="2160"/>
          </w:tcPr>
          <w:p>
            <w:r>
              <w:t>Beneficiaries</w:t>
            </w:r>
          </w:p>
        </w:tc>
      </w:tr>
      <w:tr>
        <w:tc>
          <w:tcPr>
            <w:tcW w:type="dxa" w:w="2160"/>
          </w:tcPr>
          <w:p>
            <w:r>
              <w:t>$2B/yr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7.3x</w:t>
            </w:r>
          </w:p>
        </w:tc>
        <w:tc>
          <w:tcPr>
            <w:tcW w:type="dxa" w:w="2160"/>
          </w:tcPr>
          <w:p>
            <w:r>
              <w:t>238M</w:t>
            </w:r>
          </w:p>
        </w:tc>
      </w:tr>
      <w:tr>
        <w:tc>
          <w:tcPr>
            <w:tcW w:type="dxa" w:w="2160"/>
          </w:tcPr>
          <w:p>
            <w:r>
              <w:t>$5B/yr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7.8x</w:t>
            </w:r>
          </w:p>
        </w:tc>
        <w:tc>
          <w:tcPr>
            <w:tcW w:type="dxa" w:w="2160"/>
          </w:tcPr>
          <w:p>
            <w:r>
              <w:t>318M</w:t>
            </w:r>
          </w:p>
        </w:tc>
      </w:tr>
      <w:tr>
        <w:tc>
          <w:tcPr>
            <w:tcW w:type="dxa" w:w="2160"/>
          </w:tcPr>
          <w:p>
            <w:r>
              <w:t>$10B/yr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9.0x</w:t>
            </w:r>
          </w:p>
        </w:tc>
        <w:tc>
          <w:tcPr>
            <w:tcW w:type="dxa" w:w="2160"/>
          </w:tcPr>
          <w:p>
            <w:r>
              <w:t>508M</w:t>
            </w:r>
          </w:p>
        </w:tc>
      </w:tr>
      <w:tr>
        <w:tc>
          <w:tcPr>
            <w:tcW w:type="dxa" w:w="2160"/>
          </w:tcPr>
          <w:p>
            <w:r>
              <w:t>$20B/yr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9.3x</w:t>
            </w:r>
          </w:p>
        </w:tc>
        <w:tc>
          <w:tcPr>
            <w:tcW w:type="dxa" w:w="2160"/>
          </w:tcPr>
          <w:p>
            <w:r>
              <w:t>561M</w:t>
            </w:r>
          </w:p>
        </w:tc>
      </w:tr>
    </w:tbl>
    <w:p/>
    <w:p>
      <w:pPr>
        <w:pStyle w:val="Heading1"/>
      </w:pPr>
      <w:r>
        <w:t>Key Findings</w:t>
      </w:r>
    </w:p>
    <w:p>
      <w:pPr>
        <w:pStyle w:val="ListBullet"/>
      </w:pPr>
      <w:r>
        <w:t>Regulatory reform is the highest-ROI category</w:t>
      </w:r>
    </w:p>
    <w:p>
      <w:pPr>
        <w:pStyle w:val="ListBullet"/>
      </w:pPr>
      <w:r>
        <w:t>$10B portfolio achieves 58% acceleration improvement over baseline</w:t>
      </w:r>
    </w:p>
    <w:p>
      <w:pPr>
        <w:pStyle w:val="ListBullet"/>
      </w:pPr>
      <w:r>
        <w:t>Phase II Trials (S7) remains the primary bottleneck</w:t>
      </w:r>
    </w:p>
    <w:p>
      <w:pPr>
        <w:pStyle w:val="ListBullet"/>
      </w:pPr>
      <w:r>
        <w:t>CNS diseases face the greatest challenges (lowest acceleration)</w:t>
      </w:r>
    </w:p>
    <w:p>
      <w:pPr>
        <w:pStyle w:val="ListBullet"/>
      </w:pPr>
      <w:r>
        <w:t>Pandemic pathogens have fastest path to cure (clear targets)</w:t>
      </w:r>
    </w:p>
    <w:p>
      <w:pPr>
        <w:pStyle w:val="ListBullet"/>
      </w:pPr>
      <w:r>
        <w:t>Robotic AI is the critical limiting factor (g=0.30 vs 0.60 cognitive)</w:t>
      </w:r>
    </w:p>
    <w:p/>
    <w:p>
      <w:pPr>
        <w:pStyle w:val="Heading1"/>
      </w:pPr>
      <w:r>
        <w:t>Technical Architecture</w:t>
      </w:r>
    </w:p>
    <w:p>
      <w:r>
        <w:t>10-stage pipeline: Hypothesis → Design → Wet Lab → Analysis → Validation → Phase I → Phase II → Phase III → Regulatory → Deployment</w:t>
      </w:r>
    </w:p>
    <w:p/>
    <w:p>
      <w:r>
        <w:t>Multi-type AI: Cognitive (g=0.60), Robotic (g=0.30), Scientific (g=0.55)</w:t>
      </w:r>
    </w:p>
    <w:p/>
    <w:p>
      <w:r>
        <w:t>Key modules:</w:t>
      </w:r>
    </w:p>
    <w:p>
      <w:pPr>
        <w:pStyle w:val="ListBullet"/>
      </w:pPr>
      <w:r>
        <w:t>model.py - Core pipeline model</w:t>
      </w:r>
    </w:p>
    <w:p>
      <w:pPr>
        <w:pStyle w:val="ListBullet"/>
      </w:pPr>
      <w:r>
        <w:t>data_quality.py - Data Quality Module</w:t>
      </w:r>
    </w:p>
    <w:p>
      <w:pPr>
        <w:pStyle w:val="ListBullet"/>
      </w:pPr>
      <w:r>
        <w:t>pipeline_iteration.py - Rework dynamics</w:t>
      </w:r>
    </w:p>
    <w:p>
      <w:pPr>
        <w:pStyle w:val="ListBullet"/>
      </w:pPr>
      <w:r>
        <w:t>disease_models.py - Disease-specific projections</w:t>
      </w:r>
    </w:p>
    <w:p>
      <w:pPr>
        <w:pStyle w:val="ListBullet"/>
      </w:pPr>
      <w:r>
        <w:t>policy_analysis.py - Intervention ROI analysis</w:t>
      </w:r>
    </w:p>
    <w:p>
      <w:pPr>
        <w:pStyle w:val="ListBullet"/>
      </w:pPr>
      <w:r>
        <w:t>visualize_v2.py - Communication-optimized figures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