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AI-Accelerated Biological Discovery Model</w:t>
      </w:r>
    </w:p>
    <w:p>
      <w:pPr>
        <w:pStyle w:val="Heading1"/>
      </w:pPr>
      <w:r>
        <w:t>Master Development Report</w:t>
      </w:r>
    </w:p>
    <w:p>
      <w:r>
        <w:t>Version: 1.0 (Final Paper with Full Uncertainty Quantification)</w:t>
      </w:r>
    </w:p>
    <w:p>
      <w:r>
        <w:t>Date: 2026-01-14</w:t>
      </w:r>
    </w:p>
    <w:p/>
    <w:p>
      <w:pPr>
        <w:pStyle w:val="Heading1"/>
      </w:pPr>
      <w:r>
        <w:t>Project Overview</w:t>
      </w:r>
    </w:p>
    <w:p>
      <w:r>
        <w:t>A quantitative pipeline model for analyzing bottlenecks in AI-accelerated biological research. The model simulates a 10-stage drug discovery pipeline with AI acceleration, bottleneck constraints, disease-specific projections, policy ROI analysis, and full uncertainty quantification.</w:t>
      </w:r>
    </w:p>
    <w:p/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v0.1</w:t>
            </w:r>
          </w:p>
        </w:tc>
        <w:tc>
          <w:tcPr>
            <w:tcW w:type="dxa" w:w="2880"/>
          </w:tcPr>
          <w:p>
            <w:r>
              <w:t>Core pipeline model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v0.2</w:t>
            </w:r>
          </w:p>
        </w:tc>
        <w:tc>
          <w:tcPr>
            <w:tcW w:type="dxa" w:w="2880"/>
          </w:tcPr>
          <w:p>
            <w:r>
              <w:t>Parameter calibration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v0.3</w:t>
            </w:r>
          </w:p>
        </w:tc>
        <w:tc>
          <w:tcPr>
            <w:tcW w:type="dxa" w:w="2880"/>
          </w:tcPr>
          <w:p>
            <w:r>
              <w:t>Scenario analysis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v0.4</w:t>
            </w:r>
          </w:p>
        </w:tc>
        <w:tc>
          <w:tcPr>
            <w:tcW w:type="dxa" w:w="2880"/>
          </w:tcPr>
          <w:p>
            <w:r>
              <w:t>Monte Carlo + Improved visualizations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v0.5</w:t>
            </w:r>
          </w:p>
        </w:tc>
        <w:tc>
          <w:tcPr>
            <w:tcW w:type="dxa" w:w="2880"/>
          </w:tcPr>
          <w:p>
            <w:r>
              <w:t>Multi-type AI + Therapeutic areas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v0.6</w:t>
            </w:r>
          </w:p>
        </w:tc>
        <w:tc>
          <w:tcPr>
            <w:tcW w:type="dxa" w:w="2880"/>
          </w:tcPr>
          <w:p>
            <w:r>
              <w:t>Data Quality Module (DQM)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v0.7</w:t>
            </w:r>
          </w:p>
        </w:tc>
        <w:tc>
          <w:tcPr>
            <w:tcW w:type="dxa" w:w="2880"/>
          </w:tcPr>
          <w:p>
            <w:r>
              <w:t>Pipeline Iteration with Rework Dynamics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v0.8</w:t>
            </w:r>
          </w:p>
        </w:tc>
        <w:tc>
          <w:tcPr>
            <w:tcW w:type="dxa" w:w="2880"/>
          </w:tcPr>
          <w:p>
            <w:r>
              <w:t>Disease-Specific Time-to-Cure Models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v0.9</w:t>
            </w:r>
          </w:p>
        </w:tc>
        <w:tc>
          <w:tcPr>
            <w:tcW w:type="dxa" w:w="2880"/>
          </w:tcPr>
          <w:p>
            <w:r>
              <w:t>Policy Analysis + Intervention ROI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Final Paper with Full UQ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</w:tbl>
    <w:p/>
    <w:p>
      <w:pPr>
        <w:pStyle w:val="Heading1"/>
      </w:pPr>
      <w:r>
        <w:t>v1.0 Highlights</w:t>
      </w:r>
    </w:p>
    <w:p>
      <w:pPr>
        <w:pStyle w:val="Heading2"/>
      </w:pPr>
      <w:r>
        <w:t>Uncertainty Quantification</w:t>
      </w:r>
    </w:p>
    <w:p>
      <w:pPr>
        <w:pStyle w:val="ListBullet"/>
      </w:pPr>
      <w:r>
        <w:t>Monte Carlo simulation (N=5,000+) with Latin Hypercube Sampling</w:t>
      </w:r>
    </w:p>
    <w:p>
      <w:pPr>
        <w:pStyle w:val="ListBullet"/>
      </w:pPr>
      <w:r>
        <w:t>Sobol sensitivity indices (first-order and total-order)</w:t>
      </w:r>
    </w:p>
    <w:p>
      <w:pPr>
        <w:pStyle w:val="ListBullet"/>
      </w:pPr>
      <w:r>
        <w:t>80/90/95% confidence intervals on all outputs</w:t>
      </w:r>
    </w:p>
    <w:p>
      <w:pPr>
        <w:pStyle w:val="ListBullet"/>
      </w:pPr>
      <w:r>
        <w:t>Convergence diagnostics (CV &lt; 0.01%)</w:t>
      </w:r>
    </w:p>
    <w:p>
      <w:pPr>
        <w:pStyle w:val="ListBullet"/>
      </w:pPr>
      <w:r>
        <w:t>ROI uncertainty propagation</w:t>
      </w:r>
    </w:p>
    <w:p/>
    <w:p>
      <w:pPr>
        <w:pStyle w:val="Heading2"/>
      </w:pPr>
      <w:r>
        <w:t>Monte Carlo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Progress 2050</w:t>
            </w:r>
          </w:p>
        </w:tc>
        <w:tc>
          <w:tcPr>
            <w:tcW w:type="dxa" w:w="2160"/>
          </w:tcPr>
          <w:p>
            <w:r>
              <w:t>156.9 yr</w:t>
            </w:r>
          </w:p>
        </w:tc>
        <w:tc>
          <w:tcPr>
            <w:tcW w:type="dxa" w:w="2160"/>
          </w:tcPr>
          <w:p>
            <w:r>
              <w:t>146.6 yr</w:t>
            </w:r>
          </w:p>
        </w:tc>
        <w:tc>
          <w:tcPr>
            <w:tcW w:type="dxa" w:w="2160"/>
          </w:tcPr>
          <w:p>
            <w:r>
              <w:t>[68, 303]</w:t>
            </w:r>
          </w:p>
        </w:tc>
      </w:tr>
      <w:tr>
        <w:tc>
          <w:tcPr>
            <w:tcW w:type="dxa" w:w="2160"/>
          </w:tcPr>
          <w:p>
            <w:r>
              <w:t>Acceleration</w:t>
            </w:r>
          </w:p>
        </w:tc>
        <w:tc>
          <w:tcPr>
            <w:tcW w:type="dxa" w:w="2160"/>
          </w:tcPr>
          <w:p>
            <w:r>
              <w:t>6.0x</w:t>
            </w:r>
          </w:p>
        </w:tc>
        <w:tc>
          <w:tcPr>
            <w:tcW w:type="dxa" w:w="2160"/>
          </w:tcPr>
          <w:p>
            <w:r>
              <w:t>5.6x</w:t>
            </w:r>
          </w:p>
        </w:tc>
        <w:tc>
          <w:tcPr>
            <w:tcW w:type="dxa" w:w="2160"/>
          </w:tcPr>
          <w:p>
            <w:r>
              <w:t>[2.6x, 11.6x]</w:t>
            </w:r>
          </w:p>
        </w:tc>
      </w:tr>
    </w:tbl>
    <w:p/>
    <w:p>
      <w:pPr>
        <w:pStyle w:val="Heading2"/>
      </w:pPr>
      <w:r>
        <w:t>Sobol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ST</w:t>
            </w:r>
          </w:p>
        </w:tc>
      </w:tr>
      <w:tr>
        <w:tc>
          <w:tcPr>
            <w:tcW w:type="dxa" w:w="2880"/>
          </w:tcPr>
          <w:p>
            <w:r>
              <w:t>g_ai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0.52</w:t>
            </w:r>
          </w:p>
        </w:tc>
      </w:tr>
      <w:tr>
        <w:tc>
          <w:tcPr>
            <w:tcW w:type="dxa" w:w="2880"/>
          </w:tcPr>
          <w:p>
            <w:r>
              <w:t>M_max_S7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</w:tr>
      <w:tr>
        <w:tc>
          <w:tcPr>
            <w:tcW w:type="dxa" w:w="2880"/>
          </w:tcPr>
          <w:p>
            <w:r>
              <w:t>p_S7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</w:tr>
    </w:tbl>
    <w:p/>
    <w:p>
      <w:pPr>
        <w:pStyle w:val="Heading1"/>
      </w:pPr>
      <w:r>
        <w:t>Key Results Summary</w:t>
      </w:r>
    </w:p>
    <w:p>
      <w:pPr>
        <w:pStyle w:val="Heading2"/>
      </w:pPr>
      <w:r>
        <w:t>Scenario Projections (2050)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Acceleration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Pessimistic</w:t>
            </w:r>
          </w:p>
        </w:tc>
        <w:tc>
          <w:tcPr>
            <w:tcW w:type="dxa" w:w="2160"/>
          </w:tcPr>
          <w:p>
            <w:r>
              <w:t>79.4 yr</w:t>
            </w:r>
          </w:p>
        </w:tc>
        <w:tc>
          <w:tcPr>
            <w:tcW w:type="dxa" w:w="2160"/>
          </w:tcPr>
          <w:p>
            <w:r>
              <w:t>3.1x</w:t>
            </w:r>
          </w:p>
        </w:tc>
        <w:tc>
          <w:tcPr>
            <w:tcW w:type="dxa" w:w="2160"/>
          </w:tcPr>
          <w:p>
            <w:r>
              <w:t>[45, 135]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149.0 yr</w:t>
            </w:r>
          </w:p>
        </w:tc>
        <w:tc>
          <w:tcPr>
            <w:tcW w:type="dxa" w:w="2160"/>
          </w:tcPr>
          <w:p>
            <w:r>
              <w:t>5.7x</w:t>
            </w:r>
          </w:p>
        </w:tc>
        <w:tc>
          <w:tcPr>
            <w:tcW w:type="dxa" w:w="2160"/>
          </w:tcPr>
          <w:p>
            <w:r>
              <w:t>[68, 303]</w:t>
            </w:r>
          </w:p>
        </w:tc>
      </w:tr>
      <w:tr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206.5 yr</w:t>
            </w:r>
          </w:p>
        </w:tc>
        <w:tc>
          <w:tcPr>
            <w:tcW w:type="dxa" w:w="2160"/>
          </w:tcPr>
          <w:p>
            <w:r>
              <w:t>7.9x</w:t>
            </w:r>
          </w:p>
        </w:tc>
        <w:tc>
          <w:tcPr>
            <w:tcW w:type="dxa" w:w="2160"/>
          </w:tcPr>
          <w:p>
            <w:r>
              <w:t>[95, 420]</w:t>
            </w:r>
          </w:p>
        </w:tc>
      </w:tr>
      <w:tr>
        <w:tc>
          <w:tcPr>
            <w:tcW w:type="dxa" w:w="2160"/>
          </w:tcPr>
          <w:p>
            <w:r>
              <w:t>Amodei Upper</w:t>
            </w:r>
          </w:p>
        </w:tc>
        <w:tc>
          <w:tcPr>
            <w:tcW w:type="dxa" w:w="2160"/>
          </w:tcPr>
          <w:p>
            <w:r>
              <w:t>228.8 yr</w:t>
            </w:r>
          </w:p>
        </w:tc>
        <w:tc>
          <w:tcPr>
            <w:tcW w:type="dxa" w:w="2160"/>
          </w:tcPr>
          <w:p>
            <w:r>
              <w:t>8.8x</w:t>
            </w:r>
          </w:p>
        </w:tc>
        <w:tc>
          <w:tcPr>
            <w:tcW w:type="dxa" w:w="2160"/>
          </w:tcPr>
          <w:p>
            <w:r>
              <w:t>[105, 465]</w:t>
            </w:r>
          </w:p>
        </w:tc>
      </w:tr>
    </w:tbl>
    <w:p/>
    <w:p>
      <w:pPr>
        <w:pStyle w:val="Heading2"/>
      </w:pPr>
      <w:r>
        <w:t>Top Policy Interventions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Intervention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ROI</w:t>
            </w:r>
          </w:p>
        </w:tc>
      </w:tr>
      <w:tr>
        <w:tc>
          <w:tcPr>
            <w:tcW w:type="dxa" w:w="2880"/>
          </w:tcPr>
          <w:p>
            <w:r>
              <w:t>Adaptive Trial Designs</w:t>
            </w:r>
          </w:p>
        </w:tc>
        <w:tc>
          <w:tcPr>
            <w:tcW w:type="dxa" w:w="2880"/>
          </w:tcPr>
          <w:p>
            <w:r>
              <w:t>$200M</w:t>
            </w:r>
          </w:p>
        </w:tc>
        <w:tc>
          <w:tcPr>
            <w:tcW w:type="dxa" w:w="2880"/>
          </w:tcPr>
          <w:p>
            <w:r>
              <w:t>17,510</w:t>
            </w:r>
          </w:p>
        </w:tc>
      </w:tr>
      <w:tr>
        <w:tc>
          <w:tcPr>
            <w:tcW w:type="dxa" w:w="2880"/>
          </w:tcPr>
          <w:p>
            <w:r>
              <w:t>RWE Integration</w:t>
            </w:r>
          </w:p>
        </w:tc>
        <w:tc>
          <w:tcPr>
            <w:tcW w:type="dxa" w:w="2880"/>
          </w:tcPr>
          <w:p>
            <w:r>
              <w:t>$200M</w:t>
            </w:r>
          </w:p>
        </w:tc>
        <w:tc>
          <w:tcPr>
            <w:tcW w:type="dxa" w:w="2880"/>
          </w:tcPr>
          <w:p>
            <w:r>
              <w:t>10,401</w:t>
            </w:r>
          </w:p>
        </w:tc>
      </w:tr>
      <w:tr>
        <w:tc>
          <w:tcPr>
            <w:tcW w:type="dxa" w:w="2880"/>
          </w:tcPr>
          <w:p>
            <w:r>
              <w:t>AI Partnerships</w:t>
            </w:r>
          </w:p>
        </w:tc>
        <w:tc>
          <w:tcPr>
            <w:tcW w:type="dxa" w:w="2880"/>
          </w:tcPr>
          <w:p>
            <w:r>
              <w:t>$300M</w:t>
            </w:r>
          </w:p>
        </w:tc>
        <w:tc>
          <w:tcPr>
            <w:tcW w:type="dxa" w:w="2880"/>
          </w:tcPr>
          <w:p>
            <w:r>
              <w:t>8,300</w:t>
            </w:r>
          </w:p>
        </w:tc>
      </w:tr>
    </w:tbl>
    <w:p/>
    <w:p>
      <w:pPr>
        <w:pStyle w:val="Heading1"/>
      </w:pPr>
      <w:r>
        <w:t>Key Findings</w:t>
      </w:r>
    </w:p>
    <w:p>
      <w:pPr>
        <w:pStyle w:val="ListBullet"/>
      </w:pPr>
      <w:r>
        <w:t>AI growth rate (g_ai) dominates variance (~45%)</w:t>
      </w:r>
    </w:p>
    <w:p>
      <w:pPr>
        <w:pStyle w:val="ListBullet"/>
      </w:pPr>
      <w:r>
        <w:t>Phase II Trials (S7) remains primary bottleneck</w:t>
      </w:r>
    </w:p>
    <w:p>
      <w:pPr>
        <w:pStyle w:val="ListBullet"/>
      </w:pPr>
      <w:r>
        <w:t>Amodei's 10x estimate is ~85th percentile of our distribution</w:t>
      </w:r>
    </w:p>
    <w:p>
      <w:pPr>
        <w:pStyle w:val="ListBullet"/>
      </w:pPr>
      <w:r>
        <w:t>Regulatory reform has highest ROI category</w:t>
      </w:r>
    </w:p>
    <w:p>
      <w:pPr>
        <w:pStyle w:val="ListBullet"/>
      </w:pPr>
      <w:r>
        <w:t>$10B portfolio achieves 58% acceleration improvement</w:t>
      </w:r>
    </w:p>
    <w:p>
      <w:pPr>
        <w:pStyle w:val="ListBullet"/>
      </w:pPr>
      <w:r>
        <w:t>CNS diseases face greatest challenges (lowest acceleration)</w:t>
      </w:r>
    </w:p>
    <w:p>
      <w:pPr>
        <w:pStyle w:val="ListBullet"/>
      </w:pPr>
      <w:r>
        <w:t>Robotic AI is critical limiting factor (g=0.30)</w:t>
      </w:r>
    </w:p>
    <w:p/>
    <w:p>
      <w:pPr>
        <w:pStyle w:val="Heading1"/>
      </w:pPr>
      <w:r>
        <w:t>Technical Architecture</w:t>
      </w:r>
    </w:p>
    <w:p>
      <w:r>
        <w:t>10-stage pipeline: Hypothesis → Design → Wet Lab → Analysis → Validation → Phase I → Phase II → Phase III → Regulatory → Deployment</w:t>
      </w:r>
    </w:p>
    <w:p/>
    <w:p>
      <w:r>
        <w:t>Multi-type AI: Cognitive (g=0.60), Robotic (g=0.30), Scientific (g=0.55)</w:t>
      </w:r>
    </w:p>
    <w:p/>
    <w:p>
      <w:r>
        <w:t>Key modules:</w:t>
      </w:r>
    </w:p>
    <w:p>
      <w:pPr>
        <w:pStyle w:val="ListBullet"/>
      </w:pPr>
      <w:r>
        <w:t>model.py - Core pipeline model</w:t>
      </w:r>
    </w:p>
    <w:p>
      <w:pPr>
        <w:pStyle w:val="ListBullet"/>
      </w:pPr>
      <w:r>
        <w:t>uncertainty_quantification.py - Monte Carlo + Sobol</w:t>
      </w:r>
    </w:p>
    <w:p>
      <w:pPr>
        <w:pStyle w:val="ListBullet"/>
      </w:pPr>
      <w:r>
        <w:t>policy_analysis.py - Intervention ROI analysis</w:t>
      </w:r>
    </w:p>
    <w:p>
      <w:pPr>
        <w:pStyle w:val="ListBullet"/>
      </w:pPr>
      <w:r>
        <w:t>disease_models.py - Disease-specific projections</w:t>
      </w:r>
    </w:p>
    <w:p>
      <w:pPr>
        <w:pStyle w:val="ListBullet"/>
      </w:pPr>
      <w:r>
        <w:t>data_quality.py - Data Quality Module</w:t>
      </w:r>
    </w:p>
    <w:p>
      <w:pPr>
        <w:pStyle w:val="ListBullet"/>
      </w:pPr>
      <w:r>
        <w:t>pipeline_iteration.py - Rework dynamics</w:t>
      </w:r>
    </w:p>
    <w:p>
      <w:pPr>
        <w:pStyle w:val="ListBullet"/>
      </w:pPr>
      <w:r>
        <w:t>visualize_v2.py - Communication figures</w:t>
      </w:r>
    </w:p>
    <w:p/>
    <w:p>
      <w:pPr>
        <w:pStyle w:val="Heading1"/>
      </w:pPr>
      <w:r>
        <w:t>Publication Readiness</w:t>
      </w:r>
    </w:p>
    <w:p>
      <w:pPr>
        <w:pStyle w:val="ListBullet"/>
      </w:pPr>
      <w:r>
        <w:t>✓ All 10 versions complete</w:t>
      </w:r>
    </w:p>
    <w:p>
      <w:pPr>
        <w:pStyle w:val="ListBullet"/>
      </w:pPr>
      <w:r>
        <w:t>✓ Monte Carlo convergence verified</w:t>
      </w:r>
    </w:p>
    <w:p>
      <w:pPr>
        <w:pStyle w:val="ListBullet"/>
      </w:pPr>
      <w:r>
        <w:t>✓ Sobol indices computed</w:t>
      </w:r>
    </w:p>
    <w:p>
      <w:pPr>
        <w:pStyle w:val="ListBullet"/>
      </w:pPr>
      <w:r>
        <w:t>✓ Expert reviews completed</w:t>
      </w:r>
    </w:p>
    <w:p>
      <w:pPr>
        <w:pStyle w:val="ListBullet"/>
      </w:pPr>
      <w:r>
        <w:t>✓ Publication-quality figures</w:t>
      </w:r>
    </w:p>
    <w:p>
      <w:pPr>
        <w:pStyle w:val="ListBullet"/>
      </w:pPr>
      <w:r>
        <w:t>○ LaTeX paper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