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MILESTONE REPORT</w:t>
      </w:r>
    </w:p>
    <w:p>
      <w:pPr>
        <w:spacing w:after="50"/>
        <w:jc w:val="center"/>
      </w:pPr>
      <w:r>
        <w:rPr>
          <w:rFonts w:ascii="Arial" w:cs="Arial" w:eastAsia="Arial" w:hAnsi="Arial"/>
          <w:b/>
          <w:bCs/>
          <w:color w:val="2c3e50"/>
          <w:sz w:val="48"/>
          <w:szCs w:val="48"/>
        </w:rPr>
        <w:t xml:space="preserve">Version 0.2: Parameter Calibration</w:t>
      </w:r>
    </w:p>
    <w:p>
      <w:pPr>
        <w:spacing w:after="3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January 2026</w:t>
      </w:r>
    </w:p>
    <w:p>
      <w:pPr>
        <w:pStyle w:val="Heading1"/>
      </w:pPr>
      <w:r>
        <w:t xml:space="preserve">1. Objective</w:t>
      </w:r>
    </w:p>
    <w:p>
      <w:pPr>
        <w:spacing w:after="200"/>
      </w:pPr>
      <w:r>
        <w:rPr>
          <w:sz w:val="22"/>
          <w:szCs w:val="22"/>
        </w:rPr>
        <w:t xml:space="preserve">Improve model realism by splitting clinical trials into distinct phases and calibrating all parameters against peer-reviewed literature.</w:t>
      </w:r>
    </w:p>
    <w:p>
      <w:pPr>
        <w:pStyle w:val="Heading1"/>
      </w:pPr>
      <w:r>
        <w:t xml:space="preserve">2. Key Changes</w:t>
      </w:r>
    </w:p>
    <w:p>
      <w:pPr>
        <w:spacing w:after="100"/>
      </w:pPr>
      <w:r>
        <w:rPr>
          <w:sz w:val="22"/>
          <w:szCs w:val="22"/>
        </w:rPr>
        <w:t xml:space="preserve">Expanded from 8 to 10 stages by splitting S6 (Clinical Trials) into: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M_max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p_success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I Trials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 mo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0.66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Safety testing, AI dosing optimization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II Trials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24 mo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0.33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Efficacy testing - BOTTLENECK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III Trials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36 mo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0.58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Large-scale validation</w:t>
            </w:r>
          </w:p>
        </w:tc>
      </w:tr>
    </w:tbl>
    <w:p>
      <w:pPr>
        <w:pStyle w:val="Heading1"/>
        <w:spacing w:before="300"/>
      </w:pPr>
      <w:r>
        <w:t xml:space="preserve">3. Literature Sources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Wong et al. (2019) - Clinical trial success rates by phase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DiMasi et al. (2016) - Drug development costs and timelines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Harrer et al. (2019) - AI for clinical trial design</w:t>
      </w:r>
    </w:p>
    <w:p>
      <w:pPr>
        <w:pStyle w:val="Heading1"/>
      </w:pPr>
      <w:r>
        <w:t xml:space="preserve">4. Key Finding</w:t>
      </w:r>
    </w:p>
    <w:p>
      <w:pPr>
        <w:pBdr>
          <w:left w:val="single" w:color="E67E22" w:sz="24"/>
        </w:pBdr>
        <w:shd w:fill="fdebd0" w:val="clear"/>
        <w:spacing w:after="200"/>
        <w:ind w:left="200"/>
      </w:pPr>
      <w:r>
        <w:rPr>
          <w:sz w:val="22"/>
          <w:szCs w:val="22"/>
        </w:rPr>
        <w:t xml:space="preserve">Phase II (S7) is identified as the primary bottleneck with only 33% success rate and limited AI acceleration potential (M_max = 2.8). This is the "valley of death" in drug development.</w:t>
      </w:r>
    </w:p>
    <w:p>
      <w:pPr>
        <w:pStyle w:val="Heading1"/>
      </w:pPr>
      <w:r>
        <w:t xml:space="preserve">5. Status</w:t>
      </w:r>
    </w:p>
    <w:p>
      <w:pPr>
        <w:shd w:fill="d5f5e3" w:val="clear"/>
        <w:spacing w:after="100"/>
      </w:pPr>
      <w:r>
        <w:rPr>
          <w:b/>
          <w:bCs/>
          <w:color w:val="27AE60"/>
          <w:sz w:val="24"/>
          <w:szCs w:val="24"/>
        </w:rPr>
        <w:t xml:space="preserve">✓ COMPLETE</w:t>
      </w:r>
    </w:p>
    <w:p>
      <w:r>
        <w:rPr>
          <w:i/>
          <w:iCs/>
          <w:sz w:val="22"/>
          <w:szCs w:val="22"/>
        </w:rPr>
        <w:t xml:space="preserve">Next: v0.3 Scenario Analysis - Add sensitivity analysis and Monte Carlo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Page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| AI-Accelerated Biological Discovery Model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Milestone Report: v0.2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50"/>
      <w:outlineLvl w:val="0"/>
    </w:pPr>
    <w:rPr>
      <w:rFonts w:ascii="Arial" w:cs="Arial" w:eastAsia="Arial" w:hAnsi="Arial"/>
      <w:b/>
      <w:bCs/>
      <w:color w:val="2c3e5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34495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2026-01-13T13:56:22.344Z</dcterms:created>
  <dcterms:modified xsi:type="dcterms:W3CDTF">2026-01-13T13:56:22.344Z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