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MILESTONE REPORT</w:t>
      </w:r>
    </w:p>
    <w:p>
      <w:pPr>
        <w:spacing w:after="50"/>
        <w:jc w:val="center"/>
      </w:pPr>
      <w:r>
        <w:rPr>
          <w:rFonts w:ascii="Arial" w:cs="Arial" w:eastAsia="Arial" w:hAnsi="Arial"/>
          <w:b/>
          <w:bCs/>
          <w:color w:val="2c3e50"/>
          <w:sz w:val="44"/>
          <w:szCs w:val="44"/>
        </w:rPr>
        <w:t xml:space="preserve">Version 0.5: Multi-Type AI + Therapeutic Areas</w:t>
      </w:r>
    </w:p>
    <w:p>
      <w:pPr>
        <w:spacing w:after="3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January 2026</w:t>
      </w:r>
    </w:p>
    <w:p>
      <w:pPr>
        <w:pStyle w:val="Heading1"/>
      </w:pPr>
      <w:r>
        <w:t xml:space="preserve">1. Objective</w:t>
      </w:r>
    </w:p>
    <w:p>
      <w:pPr>
        <w:spacing w:after="200"/>
      </w:pPr>
      <w:r>
        <w:rPr>
          <w:sz w:val="22"/>
          <w:szCs w:val="22"/>
        </w:rPr>
        <w:t xml:space="preserve">Address expert review recommendations by implementing multi-type AI capabilities and therapeutic area differentiation based on empirical literature.</w:t>
      </w:r>
    </w:p>
    <w:p>
      <w:pPr>
        <w:pStyle w:val="Heading1"/>
      </w:pPr>
      <w:r>
        <w:t xml:space="preserve">2. Multi-Type AI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Growth Rate (g)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Dominant Stages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Cognitive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0.60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Language, reasoning (GPT, Claude)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S1, S4, S9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Robotic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0.30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Physical manipulation, automation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S3, S10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Scientific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Hypothesis, patterns (AlphaFold)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S7, S8</w:t>
            </w:r>
          </w:p>
        </w:tc>
      </w:tr>
    </w:tbl>
    <w:p>
      <w:pPr>
        <w:spacing w:before="100" w:after="200"/>
      </w:pPr>
      <w:r>
        <w:rPr>
          <w:sz w:val="22"/>
          <w:szCs w:val="22"/>
        </w:rPr>
        <w:t xml:space="preserve">Each stage uses weighted combination: e.g., S3 (Wet Lab) = 10% Cognitive + 80% Robotic + 10% Scientific</w:t>
      </w:r>
    </w:p>
    <w:p>
      <w:pPr>
        <w:pStyle w:val="Heading1"/>
      </w:pPr>
      <w:r>
        <w:t xml:space="preserve">3. Therapeutic Areas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II p_mult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M_mult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2050 Progress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Oncology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0.63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128.5 yr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Infectious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109.1 yr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Rare Disease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1.25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95.9 yr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93.5 yr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0.46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76.0 yr</w:t>
            </w:r>
          </w:p>
        </w:tc>
      </w:tr>
    </w:tbl>
    <w:p>
      <w:pPr>
        <w:pStyle w:val="Heading1"/>
        <w:spacing w:before="300"/>
      </w:pPr>
      <w:r>
        <w:t xml:space="preserve">4. Key Insights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Oncology leads (+37% vs General) due to biomarker-driven design potential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CNS lags (-19% vs General) due to complex neurobiology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Phase II remains bottleneck across ALL therapeutic areas</w:t>
      </w:r>
    </w:p>
    <w:p>
      <w:pPr>
        <w:pStyle w:val="Heading1"/>
      </w:pPr>
      <w:r>
        <w:t xml:space="preserve">5. Expert Review Issues Addressed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B1: Therapeutic area differentiation ✓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A1: Multi-type AI split ✓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A1: Historical AI calibration (Epoch AI) ✓</w:t>
      </w:r>
    </w:p>
    <w:p>
      <w:pPr>
        <w:pStyle w:val="Heading1"/>
      </w:pPr>
      <w:r>
        <w:t xml:space="preserve">6. Status</w:t>
      </w:r>
    </w:p>
    <w:p>
      <w:pPr>
        <w:shd w:fill="d5f5e3" w:val="clear"/>
        <w:spacing w:after="100"/>
      </w:pPr>
      <w:r>
        <w:rPr>
          <w:b/>
          <w:bCs/>
          <w:color w:val="27AE60"/>
          <w:sz w:val="24"/>
          <w:szCs w:val="24"/>
        </w:rPr>
        <w:t xml:space="preserve">✓ COMPLETE</w:t>
      </w:r>
    </w:p>
    <w:p>
      <w:r>
        <w:rPr>
          <w:i/>
          <w:iCs/>
          <w:sz w:val="22"/>
          <w:szCs w:val="22"/>
        </w:rPr>
        <w:t xml:space="preserve">Next: v0.6 Data Quality Module - Cross-cutting D(t) index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Page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| AI-Accelerated Biological Discovery Model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Milestone Report: v0.5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50"/>
      <w:outlineLvl w:val="0"/>
    </w:pPr>
    <w:rPr>
      <w:rFonts w:ascii="Arial" w:cs="Arial" w:eastAsia="Arial" w:hAnsi="Arial"/>
      <w:b/>
      <w:bCs/>
      <w:color w:val="2c3e5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34495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2026-01-13T13:56:22.352Z</dcterms:created>
  <dcterms:modified xsi:type="dcterms:W3CDTF">2026-01-13T13:56:22.352Z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