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v0.9 Policy Analysis + Intervention ROI</w:t>
      </w:r>
    </w:p>
    <w:p>
      <w:r>
        <w:t>Version: 0.9</w:t>
      </w:r>
    </w:p>
    <w:p>
      <w:r>
        <w:t>Date: 2026-01-14</w:t>
      </w:r>
    </w:p>
    <w:p/>
    <w:p>
      <w:pPr>
        <w:pStyle w:val="Heading1"/>
      </w:pPr>
      <w:r>
        <w:t>Executive Summary</w:t>
      </w:r>
    </w:p>
    <w:p>
      <w:r>
        <w:t>Version 0.9 introduces comprehensive policy analysis with intervention ROI calculations, portfolio optimization, and budget-constrained recommendations. This enables evidence-based prioritization of policy investments to accelerate biological discovery.</w:t>
      </w:r>
    </w:p>
    <w:p/>
    <w:p>
      <w:pPr>
        <w:pStyle w:val="Heading1"/>
      </w:pPr>
      <w:r>
        <w:t>Key Results</w:t>
      </w:r>
    </w:p>
    <w:p>
      <w:pPr>
        <w:pStyle w:val="Heading2"/>
      </w:pPr>
      <w:r>
        <w:t>Top Policy Interventions by ROI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Intervention</w:t>
            </w:r>
          </w:p>
        </w:tc>
        <w:tc>
          <w:tcPr>
            <w:tcW w:type="dxa" w:w="2160"/>
          </w:tcPr>
          <w:p>
            <w:r>
              <w:t>Annual Cost</w:t>
            </w:r>
          </w:p>
        </w:tc>
        <w:tc>
          <w:tcPr>
            <w:tcW w:type="dxa" w:w="2160"/>
          </w:tcPr>
          <w:p>
            <w:r>
              <w:t>ROI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Expand Adaptive Trial Designs</w:t>
            </w:r>
          </w:p>
        </w:tc>
        <w:tc>
          <w:tcPr>
            <w:tcW w:type="dxa" w:w="2160"/>
          </w:tcPr>
          <w:p>
            <w:r>
              <w:t>$200M</w:t>
            </w:r>
          </w:p>
        </w:tc>
        <w:tc>
          <w:tcPr>
            <w:tcW w:type="dxa" w:w="2160"/>
          </w:tcPr>
          <w:p>
            <w:r>
              <w:t>17,510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Real-World Evidence Integration</w:t>
            </w:r>
          </w:p>
        </w:tc>
        <w:tc>
          <w:tcPr>
            <w:tcW w:type="dxa" w:w="2160"/>
          </w:tcPr>
          <w:p>
            <w:r>
              <w:t>$200M</w:t>
            </w:r>
          </w:p>
        </w:tc>
        <w:tc>
          <w:tcPr>
            <w:tcW w:type="dxa" w:w="2160"/>
          </w:tcPr>
          <w:p>
            <w:r>
              <w:t>10,401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Industry-Academia AI Partnerships</w:t>
            </w:r>
          </w:p>
        </w:tc>
        <w:tc>
          <w:tcPr>
            <w:tcW w:type="dxa" w:w="2160"/>
          </w:tcPr>
          <w:p>
            <w:r>
              <w:t>$300M</w:t>
            </w:r>
          </w:p>
        </w:tc>
        <w:tc>
          <w:tcPr>
            <w:tcW w:type="dxa" w:w="2160"/>
          </w:tcPr>
          <w:p>
            <w:r>
              <w:t>8,300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Target Validation Initiative</w:t>
            </w:r>
          </w:p>
        </w:tc>
        <w:tc>
          <w:tcPr>
            <w:tcW w:type="dxa" w:w="2160"/>
          </w:tcPr>
          <w:p>
            <w:r>
              <w:t>$1B</w:t>
            </w:r>
          </w:p>
        </w:tc>
        <w:tc>
          <w:tcPr>
            <w:tcW w:type="dxa" w:w="2160"/>
          </w:tcPr>
          <w:p>
            <w:r>
              <w:t>4,645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Double AI Research Funding</w:t>
            </w:r>
          </w:p>
        </w:tc>
        <w:tc>
          <w:tcPr>
            <w:tcW w:type="dxa" w:w="2160"/>
          </w:tcPr>
          <w:p>
            <w:r>
              <w:t>$5B</w:t>
            </w:r>
          </w:p>
        </w:tc>
        <w:tc>
          <w:tcPr>
            <w:tcW w:type="dxa" w:w="2160"/>
          </w:tcPr>
          <w:p>
            <w:r>
              <w:t>4,426</w:t>
            </w:r>
          </w:p>
        </w:tc>
      </w:tr>
    </w:tbl>
    <w:p/>
    <w:p>
      <w:pPr>
        <w:pStyle w:val="Heading2"/>
      </w:pPr>
      <w:r>
        <w:t>Budget-Constrained Portfolios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Budget</w:t>
            </w:r>
          </w:p>
        </w:tc>
        <w:tc>
          <w:tcPr>
            <w:tcW w:type="dxa" w:w="2160"/>
          </w:tcPr>
          <w:p>
            <w:r>
              <w:t>Interventions</w:t>
            </w:r>
          </w:p>
        </w:tc>
        <w:tc>
          <w:tcPr>
            <w:tcW w:type="dxa" w:w="2160"/>
          </w:tcPr>
          <w:p>
            <w:r>
              <w:t>Acceleration</w:t>
            </w:r>
          </w:p>
        </w:tc>
        <w:tc>
          <w:tcPr>
            <w:tcW w:type="dxa" w:w="2160"/>
          </w:tcPr>
          <w:p>
            <w:r>
              <w:t>Add'l Beneficiaries</w:t>
            </w:r>
          </w:p>
        </w:tc>
      </w:tr>
      <w:tr>
        <w:tc>
          <w:tcPr>
            <w:tcW w:type="dxa" w:w="2160"/>
          </w:tcPr>
          <w:p>
            <w:r>
              <w:t>$2B/yr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7.3x</w:t>
            </w:r>
          </w:p>
        </w:tc>
        <w:tc>
          <w:tcPr>
            <w:tcW w:type="dxa" w:w="2160"/>
          </w:tcPr>
          <w:p>
            <w:r>
              <w:t>238M</w:t>
            </w:r>
          </w:p>
        </w:tc>
      </w:tr>
      <w:tr>
        <w:tc>
          <w:tcPr>
            <w:tcW w:type="dxa" w:w="2160"/>
          </w:tcPr>
          <w:p>
            <w:r>
              <w:t>$5B/yr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7.8x</w:t>
            </w:r>
          </w:p>
        </w:tc>
        <w:tc>
          <w:tcPr>
            <w:tcW w:type="dxa" w:w="2160"/>
          </w:tcPr>
          <w:p>
            <w:r>
              <w:t>318M</w:t>
            </w:r>
          </w:p>
        </w:tc>
      </w:tr>
      <w:tr>
        <w:tc>
          <w:tcPr>
            <w:tcW w:type="dxa" w:w="2160"/>
          </w:tcPr>
          <w:p>
            <w:r>
              <w:t>$10B/yr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9.0x</w:t>
            </w:r>
          </w:p>
        </w:tc>
        <w:tc>
          <w:tcPr>
            <w:tcW w:type="dxa" w:w="2160"/>
          </w:tcPr>
          <w:p>
            <w:r>
              <w:t>508M</w:t>
            </w:r>
          </w:p>
        </w:tc>
      </w:tr>
      <w:tr>
        <w:tc>
          <w:tcPr>
            <w:tcW w:type="dxa" w:w="2160"/>
          </w:tcPr>
          <w:p>
            <w:r>
              <w:t>$20B/yr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9.3x</w:t>
            </w:r>
          </w:p>
        </w:tc>
        <w:tc>
          <w:tcPr>
            <w:tcW w:type="dxa" w:w="2160"/>
          </w:tcPr>
          <w:p>
            <w:r>
              <w:t>561M</w:t>
            </w:r>
          </w:p>
        </w:tc>
      </w:tr>
    </w:tbl>
    <w:p/>
    <w:p>
      <w:pPr>
        <w:pStyle w:val="Heading1"/>
      </w:pPr>
      <w:r>
        <w:t>Key Findings</w:t>
      </w:r>
    </w:p>
    <w:p>
      <w:pPr>
        <w:pStyle w:val="ListBullet"/>
      </w:pPr>
      <w:r>
        <w:t>Regulatory reform is the highest-ROI category - adaptive trials and RWE integration provide exceptional returns at low cost</w:t>
      </w:r>
    </w:p>
    <w:p>
      <w:pPr>
        <w:pStyle w:val="ListBullet"/>
      </w:pPr>
      <w:r>
        <w:t>AI research funding has the largest absolute impact - doubling AI funding ($5B/year) yields +2.43x acceleration boost</w:t>
      </w:r>
    </w:p>
    <w:p>
      <w:pPr>
        <w:pStyle w:val="ListBullet"/>
      </w:pPr>
      <w:r>
        <w:t>$10B portfolio achieves 58% acceleration improvement over baseline (5.7x → 9.0x)</w:t>
      </w:r>
    </w:p>
    <w:p>
      <w:pPr>
        <w:pStyle w:val="ListBullet"/>
      </w:pPr>
      <w:r>
        <w:t>Portfolio optimization shows diminishing returns beyond $10B annual investment</w:t>
      </w:r>
    </w:p>
    <w:p>
      <w:pPr>
        <w:pStyle w:val="ListBullet"/>
      </w:pPr>
      <w:r>
        <w:t>Phase II Trials (S7) remains the primary bottleneck across all scenarios</w:t>
      </w:r>
    </w:p>
    <w:p/>
    <w:p>
      <w:pPr>
        <w:pStyle w:val="Heading1"/>
      </w:pPr>
      <w:r>
        <w:t>Technical Details</w:t>
      </w:r>
    </w:p>
    <w:p>
      <w:pPr>
        <w:pStyle w:val="Heading2"/>
      </w:pPr>
      <w:r>
        <w:t>New Modules</w:t>
      </w:r>
    </w:p>
    <w:p>
      <w:r>
        <w:t>policy_analysis.py - Policy intervention analysis with ROI calculations</w:t>
      </w:r>
    </w:p>
    <w:p>
      <w:r>
        <w:t>13 policy interventions across 6 categories</w:t>
      </w:r>
    </w:p>
    <w:p>
      <w:r>
        <w:t>Budget-constrained portfolio optimization</w:t>
      </w:r>
    </w:p>
    <w:p/>
    <w:p>
      <w:pPr>
        <w:pStyle w:val="Heading2"/>
      </w:pPr>
      <w:r>
        <w:t>Categories</w:t>
      </w:r>
    </w:p>
    <w:p>
      <w:pPr>
        <w:pStyle w:val="ListBullet"/>
      </w:pPr>
      <w:r>
        <w:t>AI Investment (ai_investment)</w:t>
      </w:r>
    </w:p>
    <w:p>
      <w:pPr>
        <w:pStyle w:val="ListBullet"/>
      </w:pPr>
      <w:r>
        <w:t>Regulatory Reform (regulatory_reform)</w:t>
      </w:r>
    </w:p>
    <w:p>
      <w:pPr>
        <w:pStyle w:val="ListBullet"/>
      </w:pPr>
      <w:r>
        <w:t>Data Infrastructure (data_infrastructure)</w:t>
      </w:r>
    </w:p>
    <w:p>
      <w:pPr>
        <w:pStyle w:val="ListBullet"/>
      </w:pPr>
      <w:r>
        <w:t>Talent Development (talent_development)</w:t>
      </w:r>
    </w:p>
    <w:p>
      <w:pPr>
        <w:pStyle w:val="ListBullet"/>
      </w:pPr>
      <w:r>
        <w:t>Research Funding (research_funding)</w:t>
      </w:r>
    </w:p>
    <w:p>
      <w:pPr>
        <w:pStyle w:val="ListBullet"/>
      </w:pPr>
      <w:r>
        <w:t>International Coordination (international_coordination)</w:t>
      </w:r>
    </w:p>
    <w:p/>
    <w:p>
      <w:pPr>
        <w:pStyle w:val="Heading1"/>
      </w:pPr>
      <w:r>
        <w:t>Expert Review Status</w:t>
      </w:r>
    </w:p>
    <w:p>
      <w:r>
        <w:t>Expert panel review completed with 6 reviewers:</w:t>
      </w:r>
    </w:p>
    <w:p>
      <w:pPr>
        <w:pStyle w:val="ListBullet"/>
      </w:pPr>
      <w:r>
        <w:t>Dr. Thomas Porter (RAND) - ROI Methodology</w:t>
      </w:r>
    </w:p>
    <w:p>
      <w:pPr>
        <w:pStyle w:val="ListBullet"/>
      </w:pPr>
      <w:r>
        <w:t>Dr. Michelle Zhao (CBO) - Cost Estimates</w:t>
      </w:r>
    </w:p>
    <w:p>
      <w:pPr>
        <w:pStyle w:val="ListBullet"/>
      </w:pPr>
      <w:r>
        <w:t>Dr. James Whitfield (FDA) - Regulatory Interventions</w:t>
      </w:r>
    </w:p>
    <w:p>
      <w:pPr>
        <w:pStyle w:val="ListBullet"/>
      </w:pPr>
      <w:r>
        <w:t>Dr. Priya Sharma (Brookings) - QALY Valuation</w:t>
      </w:r>
    </w:p>
    <w:p>
      <w:pPr>
        <w:pStyle w:val="ListBullet"/>
      </w:pPr>
      <w:r>
        <w:t>Dr. Robert Chen (Harvard) - Implementation Science</w:t>
      </w:r>
    </w:p>
    <w:p>
      <w:pPr>
        <w:pStyle w:val="ListBullet"/>
      </w:pPr>
      <w:r>
        <w:t>Dr. Anna Kowalski (McKinsey) - Portfolio Optimization</w:t>
      </w:r>
    </w:p>
    <w:p/>
    <w:p>
      <w:r>
        <w:t>Priority 1 fixes implemented:</w:t>
      </w:r>
    </w:p>
    <w:p>
      <w:pPr>
        <w:pStyle w:val="ListBullet"/>
      </w:pPr>
      <w:r>
        <w:t>Disease-specific QALYs (10 → 4 weighted average)</w:t>
      </w:r>
    </w:p>
    <w:p>
      <w:pPr>
        <w:pStyle w:val="ListBullet"/>
      </w:pPr>
      <w:r>
        <w:t>Adaptive trial cost adjustment ($50M → $200M)</w:t>
      </w:r>
    </w:p>
    <w:p>
      <w:pPr>
        <w:pStyle w:val="ListBullet"/>
      </w:pPr>
      <w:r>
        <w:t>RWE implementation lag (2.0 → 4.0 years)</w:t>
      </w:r>
    </w:p>
    <w:p>
      <w:pPr>
        <w:pStyle w:val="Heading1"/>
      </w:pPr>
      <w:r>
        <w:t>Generated Outputs</w:t>
      </w:r>
    </w:p>
    <w:p>
      <w:pPr>
        <w:pStyle w:val="ListBullet"/>
      </w:pPr>
      <w:r>
        <w:t>fig_policy_roi.png - ROI rankings visualization</w:t>
      </w:r>
    </w:p>
    <w:p>
      <w:pPr>
        <w:pStyle w:val="ListBullet"/>
      </w:pPr>
      <w:r>
        <w:t>fig_cost_impact.png - Cost vs Impact scatter plot</w:t>
      </w:r>
    </w:p>
    <w:p>
      <w:pPr>
        <w:pStyle w:val="ListBullet"/>
      </w:pPr>
      <w:r>
        <w:t>fig_portfolio_frontier.png - Budget optimization curve</w:t>
      </w:r>
    </w:p>
    <w:p>
      <w:pPr>
        <w:pStyle w:val="ListBullet"/>
      </w:pPr>
      <w:r>
        <w:t>fig_category_comparison.png - Category performance comparison</w:t>
      </w:r>
    </w:p>
    <w:p>
      <w:pPr>
        <w:pStyle w:val="ListBullet"/>
      </w:pPr>
      <w:r>
        <w:t>policy_rankings.csv - Full intervention rankings</w:t>
      </w:r>
    </w:p>
    <w:p>
      <w:pPr>
        <w:pStyle w:val="ListBullet"/>
      </w:pPr>
      <w:r>
        <w:t>portfolio_recommendations.csv - Budget-constrained portfolios</w:t>
      </w:r>
    </w:p>
    <w:p>
      <w:pPr>
        <w:pStyle w:val="ListBullet"/>
      </w:pPr>
      <w:r>
        <w:t>intervention_catalog.csv - Intervention details</w:t>
      </w:r>
    </w:p>
    <w:p>
      <w:pPr>
        <w:pStyle w:val="ListBullet"/>
      </w:pPr>
      <w:r>
        <w:t>v2_figures/ - Communication-optimized figures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