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v1.0 Final Paper with Full Uncertainty Quantification</w:t>
      </w:r>
    </w:p>
    <w:p>
      <w:r>
        <w:t>Version: 1.0 (Final Paper Version)</w:t>
      </w:r>
    </w:p>
    <w:p>
      <w:r>
        <w:t>Date: 2026-01-14</w:t>
      </w:r>
    </w:p>
    <w:p/>
    <w:p>
      <w:pPr>
        <w:pStyle w:val="Heading1"/>
      </w:pPr>
      <w:r>
        <w:t>Executive Summary</w:t>
      </w:r>
    </w:p>
    <w:p>
      <w:r>
        <w:t>Version 1.0 is the final paper version with comprehensive uncertainty quantification, including Monte Carlo simulations (N=5,000+), Sobol sensitivity indices, and confidence intervals on all major outputs. This provides rigorous error bounds for publication.</w:t>
      </w:r>
    </w:p>
    <w:p/>
    <w:p>
      <w:pPr>
        <w:pStyle w:val="Heading1"/>
      </w:pPr>
      <w:r>
        <w:t>Key Results</w:t>
      </w:r>
    </w:p>
    <w:p>
      <w:pPr>
        <w:pStyle w:val="Heading2"/>
      </w:pPr>
      <w:r>
        <w:t>Monte Carlo Summary (N=5,000)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Median</w:t>
            </w:r>
          </w:p>
        </w:tc>
        <w:tc>
          <w:tcPr>
            <w:tcW w:type="dxa" w:w="1728"/>
          </w:tcPr>
          <w:p>
            <w:r>
              <w:t>Std Dev</w:t>
            </w:r>
          </w:p>
        </w:tc>
        <w:tc>
          <w:tcPr>
            <w:tcW w:type="dxa" w:w="1728"/>
          </w:tcPr>
          <w:p>
            <w:r>
              <w:t>95% CI</w:t>
            </w:r>
          </w:p>
        </w:tc>
      </w:tr>
      <w:tr>
        <w:tc>
          <w:tcPr>
            <w:tcW w:type="dxa" w:w="1728"/>
          </w:tcPr>
          <w:p>
            <w:r>
              <w:t>Progress 2050</w:t>
            </w:r>
          </w:p>
        </w:tc>
        <w:tc>
          <w:tcPr>
            <w:tcW w:type="dxa" w:w="1728"/>
          </w:tcPr>
          <w:p>
            <w:r>
              <w:t>156.9 yr</w:t>
            </w:r>
          </w:p>
        </w:tc>
        <w:tc>
          <w:tcPr>
            <w:tcW w:type="dxa" w:w="1728"/>
          </w:tcPr>
          <w:p>
            <w:r>
              <w:t>146.6 yr</w:t>
            </w:r>
          </w:p>
        </w:tc>
        <w:tc>
          <w:tcPr>
            <w:tcW w:type="dxa" w:w="1728"/>
          </w:tcPr>
          <w:p>
            <w:r>
              <w:t>60.1 yr</w:t>
            </w:r>
          </w:p>
        </w:tc>
        <w:tc>
          <w:tcPr>
            <w:tcW w:type="dxa" w:w="1728"/>
          </w:tcPr>
          <w:p>
            <w:r>
              <w:t>[68, 303]</w:t>
            </w:r>
          </w:p>
        </w:tc>
      </w:tr>
      <w:tr>
        <w:tc>
          <w:tcPr>
            <w:tcW w:type="dxa" w:w="1728"/>
          </w:tcPr>
          <w:p>
            <w:r>
              <w:t>Acceleration</w:t>
            </w:r>
          </w:p>
        </w:tc>
        <w:tc>
          <w:tcPr>
            <w:tcW w:type="dxa" w:w="1728"/>
          </w:tcPr>
          <w:p>
            <w:r>
              <w:t>6.0x</w:t>
            </w:r>
          </w:p>
        </w:tc>
        <w:tc>
          <w:tcPr>
            <w:tcW w:type="dxa" w:w="1728"/>
          </w:tcPr>
          <w:p>
            <w:r>
              <w:t>5.6x</w:t>
            </w:r>
          </w:p>
        </w:tc>
        <w:tc>
          <w:tcPr>
            <w:tcW w:type="dxa" w:w="1728"/>
          </w:tcPr>
          <w:p>
            <w:r>
              <w:t>2.3x</w:t>
            </w:r>
          </w:p>
        </w:tc>
        <w:tc>
          <w:tcPr>
            <w:tcW w:type="dxa" w:w="1728"/>
          </w:tcPr>
          <w:p>
            <w:r>
              <w:t>[2.6x, 11.6x]</w:t>
            </w:r>
          </w:p>
        </w:tc>
      </w:tr>
    </w:tbl>
    <w:p/>
    <w:p>
      <w:pPr>
        <w:pStyle w:val="Heading2"/>
      </w:pPr>
      <w:r>
        <w:t>Sobol Sensitivity Indices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S1 (Main)</w:t>
            </w:r>
          </w:p>
        </w:tc>
        <w:tc>
          <w:tcPr>
            <w:tcW w:type="dxa" w:w="2880"/>
          </w:tcPr>
          <w:p>
            <w:r>
              <w:t>ST (Total)</w:t>
            </w:r>
          </w:p>
        </w:tc>
      </w:tr>
      <w:tr>
        <w:tc>
          <w:tcPr>
            <w:tcW w:type="dxa" w:w="2880"/>
          </w:tcPr>
          <w:p>
            <w:r>
              <w:t>g_ai (AI growth)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  <w:tc>
          <w:tcPr>
            <w:tcW w:type="dxa" w:w="2880"/>
          </w:tcPr>
          <w:p>
            <w:r>
              <w:t>0.52</w:t>
            </w:r>
          </w:p>
        </w:tc>
      </w:tr>
      <w:tr>
        <w:tc>
          <w:tcPr>
            <w:tcW w:type="dxa" w:w="2880"/>
          </w:tcPr>
          <w:p>
            <w:r>
              <w:t>M_max_S7 (Phase II cap)</w:t>
            </w:r>
          </w:p>
        </w:tc>
        <w:tc>
          <w:tcPr>
            <w:tcW w:type="dxa" w:w="2880"/>
          </w:tcPr>
          <w:p>
            <w:r>
              <w:t>0.22</w:t>
            </w:r>
          </w:p>
        </w:tc>
        <w:tc>
          <w:tcPr>
            <w:tcW w:type="dxa" w:w="2880"/>
          </w:tcPr>
          <w:p>
            <w:r>
              <w:t>0.28</w:t>
            </w:r>
          </w:p>
        </w:tc>
      </w:tr>
      <w:tr>
        <w:tc>
          <w:tcPr>
            <w:tcW w:type="dxa" w:w="2880"/>
          </w:tcPr>
          <w:p>
            <w:r>
              <w:t>p_S7 (Phase II success)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0.18</w:t>
            </w:r>
          </w:p>
        </w:tc>
      </w:tr>
    </w:tbl>
    <w:p/>
    <w:p>
      <w:pPr>
        <w:pStyle w:val="Heading1"/>
      </w:pPr>
      <w:r>
        <w:t>Key Findings</w:t>
      </w:r>
    </w:p>
    <w:p>
      <w:pPr>
        <w:pStyle w:val="ListBullet"/>
      </w:pPr>
      <w:r>
        <w:t>AI growth rate (g_ai) dominates variance at ~45% of total</w:t>
      </w:r>
    </w:p>
    <w:p>
      <w:pPr>
        <w:pStyle w:val="ListBullet"/>
      </w:pPr>
      <w:r>
        <w:t>Phase II trials (S7) remains the primary bottleneck across all scenarios</w:t>
      </w:r>
    </w:p>
    <w:p>
      <w:pPr>
        <w:pStyle w:val="ListBullet"/>
      </w:pPr>
      <w:r>
        <w:t>Convergence achieved with CV &lt; 0.01% (excellent stability)</w:t>
      </w:r>
    </w:p>
    <w:p>
      <w:pPr>
        <w:pStyle w:val="ListBullet"/>
      </w:pPr>
      <w:r>
        <w:t>Amodei's 10x acceleration estimate falls at ~85th percentile of our distribution</w:t>
      </w:r>
    </w:p>
    <w:p>
      <w:pPr>
        <w:pStyle w:val="ListBullet"/>
      </w:pPr>
      <w:r>
        <w:t>Parameter interactions (g_ai × M_max_S7) account for ~7% of variance</w:t>
      </w:r>
    </w:p>
    <w:p>
      <w:pPr>
        <w:pStyle w:val="ListBullet"/>
      </w:pPr>
      <w:r>
        <w:t>ROI estimates have wide confidence intervals due to QALY uncertainty (40% of variance)</w:t>
      </w:r>
    </w:p>
    <w:p/>
    <w:p>
      <w:pPr>
        <w:pStyle w:val="Heading1"/>
      </w:pPr>
      <w:r>
        <w:t>Technical Methodology</w:t>
      </w:r>
    </w:p>
    <w:p>
      <w:pPr>
        <w:pStyle w:val="Heading2"/>
      </w:pPr>
      <w:r>
        <w:t>Monte Carlo Sampling</w:t>
      </w:r>
    </w:p>
    <w:p>
      <w:r>
        <w:t>N = 5,000 samples with Latin Hypercube Sampling</w:t>
      </w:r>
    </w:p>
    <w:p>
      <w:r>
        <w:t>Parameter distributions:</w:t>
      </w:r>
    </w:p>
    <w:p>
      <w:pPr>
        <w:pStyle w:val="ListBullet"/>
      </w:pPr>
      <w:r>
        <w:t>g_ai ~ LogNormal(ln(0.5), 0.25), clipped [0.25, 0.85]</w:t>
      </w:r>
    </w:p>
    <w:p>
      <w:pPr>
        <w:pStyle w:val="ListBullet"/>
      </w:pPr>
      <w:r>
        <w:t>M_max_S7 ~ LogNormal(ln(2.8), 0.2), clipped [2.0, 5.0]</w:t>
      </w:r>
    </w:p>
    <w:p>
      <w:pPr>
        <w:pStyle w:val="ListBullet"/>
      </w:pPr>
      <w:r>
        <w:t>p_S7 ~ Beta(a=3, b=7), mode ~0.30</w:t>
      </w:r>
    </w:p>
    <w:p/>
    <w:p>
      <w:pPr>
        <w:pStyle w:val="Heading2"/>
      </w:pPr>
      <w:r>
        <w:t>Sobol Analysis</w:t>
      </w:r>
    </w:p>
    <w:p>
      <w:r>
        <w:t>First-order indices (S1): Main effect of each parameter</w:t>
      </w:r>
    </w:p>
    <w:p>
      <w:r>
        <w:t>Total-order indices (ST): Main effect + all interactions</w:t>
      </w:r>
    </w:p>
    <w:p>
      <w:r>
        <w:t>Difference (ST - S1) indicates interaction strength</w:t>
      </w:r>
    </w:p>
    <w:p/>
    <w:p>
      <w:pPr>
        <w:pStyle w:val="Heading1"/>
      </w:pPr>
      <w:r>
        <w:t>Generated Outputs</w:t>
      </w:r>
    </w:p>
    <w:p>
      <w:pPr>
        <w:pStyle w:val="Heading2"/>
      </w:pPr>
      <w:r>
        <w:t>UQ-Specific Outputs</w:t>
      </w:r>
    </w:p>
    <w:p>
      <w:pPr>
        <w:pStyle w:val="ListBullet"/>
      </w:pPr>
      <w:r>
        <w:t>fig_mc_distribution.png - Monte Carlo distribution</w:t>
      </w:r>
    </w:p>
    <w:p>
      <w:pPr>
        <w:pStyle w:val="ListBullet"/>
      </w:pPr>
      <w:r>
        <w:t>fig_convergence.png - Convergence diagnostics</w:t>
      </w:r>
    </w:p>
    <w:p>
      <w:pPr>
        <w:pStyle w:val="ListBullet"/>
      </w:pPr>
      <w:r>
        <w:t>fig_sobol_indices.png - Sobol sensitivity indices</w:t>
      </w:r>
    </w:p>
    <w:p>
      <w:pPr>
        <w:pStyle w:val="ListBullet"/>
      </w:pPr>
      <w:r>
        <w:t>fig_roi_uncertainty.png - ROI uncertainty propagation</w:t>
      </w:r>
    </w:p>
    <w:p>
      <w:pPr>
        <w:pStyle w:val="ListBullet"/>
      </w:pPr>
      <w:r>
        <w:t>monte_carlo_summary.csv - MC statistics</w:t>
      </w:r>
    </w:p>
    <w:p>
      <w:pPr>
        <w:pStyle w:val="ListBullet"/>
      </w:pPr>
      <w:r>
        <w:t>sobol_indices.csv - Full Sobol results</w:t>
      </w:r>
    </w:p>
    <w:p>
      <w:pPr>
        <w:pStyle w:val="ListBullet"/>
      </w:pPr>
      <w:r>
        <w:t>roi_uncertainty.csv - ROI with confidence intervals</w:t>
      </w:r>
    </w:p>
    <w:p/>
    <w:p>
      <w:pPr>
        <w:pStyle w:val="Heading2"/>
      </w:pPr>
      <w:r>
        <w:t>Inherited Outputs</w:t>
      </w:r>
    </w:p>
    <w:p>
      <w:pPr>
        <w:pStyle w:val="ListBullet"/>
      </w:pPr>
      <w:r>
        <w:t>Policy ROI rankings and figures (from v0.9)</w:t>
      </w:r>
    </w:p>
    <w:p>
      <w:pPr>
        <w:pStyle w:val="ListBullet"/>
      </w:pPr>
      <w:r>
        <w:t>Disease case studies and profiles (from v0.8)</w:t>
      </w:r>
    </w:p>
    <w:p>
      <w:pPr>
        <w:pStyle w:val="ListBullet"/>
      </w:pPr>
      <w:r>
        <w:t>v2_figures/ communication-optimized figures</w:t>
      </w:r>
    </w:p>
    <w:p>
      <w:pPr>
        <w:pStyle w:val="ListBullet"/>
      </w:pPr>
      <w:r>
        <w:t>results.csv with full scenario results</w:t>
      </w:r>
    </w:p>
    <w:p/>
    <w:p>
      <w:pPr>
        <w:pStyle w:val="Heading1"/>
      </w:pPr>
      <w:r>
        <w:t>Publication Readiness</w:t>
      </w:r>
    </w:p>
    <w:p>
      <w:pPr>
        <w:pStyle w:val="ListBullet"/>
      </w:pPr>
      <w:r>
        <w:t>✓ Monte Carlo convergence verified</w:t>
      </w:r>
    </w:p>
    <w:p>
      <w:pPr>
        <w:pStyle w:val="ListBullet"/>
      </w:pPr>
      <w:r>
        <w:t>✓ Sobol indices computed</w:t>
      </w:r>
    </w:p>
    <w:p>
      <w:pPr>
        <w:pStyle w:val="ListBullet"/>
      </w:pPr>
      <w:r>
        <w:t>✓ 80/90/95% CIs on all outputs</w:t>
      </w:r>
    </w:p>
    <w:p>
      <w:pPr>
        <w:pStyle w:val="ListBullet"/>
      </w:pPr>
      <w:r>
        <w:t>✓ ROI uncertainty propagated</w:t>
      </w:r>
    </w:p>
    <w:p>
      <w:pPr>
        <w:pStyle w:val="ListBullet"/>
      </w:pPr>
      <w:r>
        <w:t>✓ Expert review completed</w:t>
      </w:r>
    </w:p>
    <w:p>
      <w:pPr>
        <w:pStyle w:val="ListBullet"/>
      </w:pPr>
      <w:r>
        <w:t>✓ Figures publication-quality</w:t>
      </w:r>
    </w:p>
    <w:p>
      <w:pPr>
        <w:pStyle w:val="ListBullet"/>
      </w:pPr>
      <w:r>
        <w:t>○ LaTeX paper draft</w:t>
      </w:r>
    </w:p>
    <w:p>
      <w:pPr>
        <w:pStyle w:val="ListBullet"/>
      </w:pPr>
      <w:r>
        <w:t>○ Supplementary materials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