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 xml:space="preserve">AI-Accelerated Scientific Research Model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Comprehensive Validation Report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Version 0.3.1 | January 2026 | 9 Case Studies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presents findings from validating the AI Research Acceleration Model against 9 real-world AI breakthroughs in biology and life sciences. The model successfully predicts acceleration patterns for efficiency-focused applications while identifying key limitations in capturing breakthrough capabilities.</w:t>
      </w:r>
    </w:p>
    <w:p>
      <w:pPr>
        <w:spacing w:before="200" w:after="100"/>
      </w:pPr>
      <w:r>
        <w:rPr>
          <w:b/>
          <w:bCs/>
        </w:rPr>
        <w:t xml:space="preserve">Key Findings: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Physical Bottleneck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Validated across all 9 cases. S4/S6 at 1.0-1.5x regardless of AI capability.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Cognitive Acceleration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Observed 10,000-9,000,000x for Type III shifts. Model updated from 100x to 100,000x M_max.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Drug 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Target-to-IND: 2-2.5x acceleration. Clinical trials (5-7 years) remain binding constraint.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II: 0.82-0.97 validation. Type III: requires shift-type-aware parameters.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Case Studies Overview</w:t>
      </w:r>
    </w:p>
    <w:p>
      <w:pPr>
        <w:spacing w:after="200"/>
      </w:pPr>
      <w:r>
        <w:t xml:space="preserve">Nine AI breakthroughs were analyzed across structural biology, drug discovery, protein design, genomics, and materials science. Each case study provides stage-level acceleration metrics, bottleneck identification, and validation against model predictions.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1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 Study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AlphaFold 2/3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Structural Biology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24.3x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 (Wet Lab)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Materials Science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1.0x*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 (Synthesis)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ESM-3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Protein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4.0x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 (Expression)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Recursion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Drug 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2.3x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S6 (Clinical)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Isomorphic 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Drug 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1.6x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S6 (Clinical)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Cradle Bio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Protein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2.1x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 (Wet Lab)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Insilico Medicine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Drug Discovery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2.5x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S6 (Clinical)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Genomics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3.2x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 (Synthesis)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AlphaMissense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Clinical Genomics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2.1x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 (Validation)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Shift Type Analysis</w:t>
      </w:r>
    </w:p>
    <w:p>
      <w:pPr>
        <w:pStyle w:val="Heading2"/>
      </w:pPr>
      <w:r>
        <w:t xml:space="preserve">Type I: Scale Shifts</w:t>
      </w:r>
    </w:p>
    <w:p>
      <w:pPr>
        <w:spacing w:after="100"/>
      </w:pPr>
      <w:r>
        <w:rPr>
          <w:b/>
          <w:bCs/>
        </w:rPr>
        <w:t xml:space="preserve">Examples: </w:t>
      </w:r>
      <w:r>
        <w:t xml:space="preserve">GNoME, Evo</w:t>
      </w:r>
    </w:p>
    <w:p>
      <w:pPr>
        <w:pStyle w:val="ListParagraph"/>
        <w:numPr>
          <w:ilvl w:val="0"/>
          <w:numId w:val="2"/>
        </w:numPr>
      </w:pPr>
      <w:r>
        <w:t xml:space="preserve">Massive generation capacity (100,000x+ for hypothesis stages)</w:t>
      </w:r>
    </w:p>
    <w:p>
      <w:pPr>
        <w:pStyle w:val="ListParagraph"/>
        <w:numPr>
          <w:ilvl w:val="0"/>
          <w:numId w:val="2"/>
        </w:numPr>
      </w:pPr>
      <w:r>
        <w:t xml:space="preserve">Creates validation backlog (GNoME: 2.2M candidates, 6,000+ year backlog)</w:t>
      </w:r>
    </w:p>
    <w:p>
      <w:pPr>
        <w:pStyle w:val="ListParagraph"/>
        <w:numPr>
          <w:ilvl w:val="0"/>
          <w:numId w:val="2"/>
        </w:numPr>
      </w:pPr>
      <w:r>
        <w:t xml:space="preserve">End-to-end acceleration limited to ~1-3x due to synthesis bottleneck</w:t>
      </w:r>
    </w:p>
    <w:p>
      <w:pPr>
        <w:pStyle w:val="Heading2"/>
      </w:pPr>
      <w:r>
        <w:t xml:space="preserve">Type II: Efficiency Shifts</w:t>
      </w:r>
    </w:p>
    <w:p>
      <w:pPr>
        <w:spacing w:after="100"/>
      </w:pPr>
      <w:r>
        <w:rPr>
          <w:b/>
          <w:bCs/>
        </w:rPr>
        <w:t xml:space="preserve">Examples: </w:t>
      </w:r>
      <w:r>
        <w:t xml:space="preserve">Recursion, Cradle Bio</w:t>
      </w:r>
    </w:p>
    <w:p>
      <w:pPr>
        <w:pStyle w:val="ListParagraph"/>
        <w:numPr>
          <w:ilvl w:val="0"/>
          <w:numId w:val="2"/>
        </w:numPr>
      </w:pPr>
      <w:r>
        <w:t xml:space="preserve">Moderate acceleration across computational stages (3-24x)</w:t>
      </w:r>
    </w:p>
    <w:p>
      <w:pPr>
        <w:pStyle w:val="ListParagraph"/>
        <w:numPr>
          <w:ilvl w:val="0"/>
          <w:numId w:val="2"/>
        </w:numPr>
      </w:pPr>
      <w:r>
        <w:t xml:space="preserve">Most predictable by current model (validation scores 0.82-0.97)</w:t>
      </w:r>
    </w:p>
    <w:p>
      <w:pPr>
        <w:pStyle w:val="ListParagraph"/>
        <w:numPr>
          <w:ilvl w:val="0"/>
          <w:numId w:val="2"/>
        </w:numPr>
      </w:pPr>
      <w:r>
        <w:t xml:space="preserve">End-to-end acceleration: 1.5-2.5x</w:t>
      </w:r>
    </w:p>
    <w:p>
      <w:pPr>
        <w:pStyle w:val="Heading2"/>
      </w:pPr>
      <w:r>
        <w:t xml:space="preserve">Type III: Capability Shifts</w:t>
      </w:r>
    </w:p>
    <w:p>
      <w:pPr>
        <w:spacing w:after="100"/>
      </w:pPr>
      <w:r>
        <w:rPr>
          <w:b/>
          <w:bCs/>
        </w:rPr>
        <w:t xml:space="preserve">Examples: </w:t>
      </w:r>
      <w:r>
        <w:t xml:space="preserve">AlphaFold, ESM-3, Isomorphic Labs, AlphaMissense</w:t>
      </w:r>
    </w:p>
    <w:p>
      <w:pPr>
        <w:pStyle w:val="ListParagraph"/>
        <w:numPr>
          <w:ilvl w:val="0"/>
          <w:numId w:val="2"/>
        </w:numPr>
      </w:pPr>
      <w:r>
        <w:t xml:space="preserve">Breakthrough acceleration in prediction stages (10,000-9,000,000x)</w:t>
      </w:r>
    </w:p>
    <w:p>
      <w:pPr>
        <w:pStyle w:val="ListParagraph"/>
        <w:numPr>
          <w:ilvl w:val="0"/>
          <w:numId w:val="2"/>
        </w:numPr>
      </w:pPr>
      <w:r>
        <w:t xml:space="preserve">Enables previously impossible tasks</w:t>
      </w:r>
    </w:p>
    <w:p>
      <w:pPr>
        <w:pStyle w:val="ListParagraph"/>
        <w:numPr>
          <w:ilvl w:val="0"/>
          <w:numId w:val="2"/>
        </w:numPr>
      </w:pPr>
      <w:r>
        <w:t xml:space="preserve">End-to-end acceleration varies widely: 1.6-24x depending on downstream bottlenecks</w:t>
      </w:r>
    </w:p>
    <w:p>
      <w:r>
        <w:br w:type="page"/>
      </w:r>
    </w:p>
    <w:p>
      <w:pPr>
        <w:pStyle w:val="Heading1"/>
      </w:pPr>
      <w:r>
        <w:t xml:space="preserve">Physical Bottleneck Hypothesis: Validated</w:t>
      </w:r>
    </w:p>
    <w:p>
      <w:pPr>
        <w:spacing w:after="200"/>
      </w:pPr>
      <w:r>
        <w:t xml:space="preserve">The core hypothesis that physical/biological stages limit end-to-end acceleration was validated across all 9 case studies. Wet lab execution (S4) and validation (S6) consistently showed 1.0-1.5x acceleration, regardless of AI capability in cognitive stages.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Observed Accel.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S1-S3 (Cognitive)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Literature, Design, Analysis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3x - 9,000,000x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9/9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S4 (Physical)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Wet Lab, Synthesis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1.0x - 1.5x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9/9 (BOTTLENECK)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S5 (Interpretation)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Results Analysis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1.5x - 15x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9/9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S6 (Validation)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Clinical Trials, Publication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1.0x - 2.0x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9/9 (BOTTLENECK)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Key Insight: </w:t>
      </w:r>
      <w:r>
        <w:t xml:space="preserve">Even with 36,500x acceleration in structure prediction (AlphaFold), or 9,000,000x in variant classification (AlphaMissense), end-to-end acceleration is capped at 2-25x because physical validation cannot be bypassed.</w:t>
      </w:r>
    </w:p>
    <w:p>
      <w:r>
        <w:br w:type="page"/>
      </w:r>
    </w:p>
    <w:p>
      <w:pPr>
        <w:pStyle w:val="Heading1"/>
      </w:pPr>
      <w:r>
        <w:t xml:space="preserve">Model Refinements (v0.3.1)</w:t>
      </w:r>
    </w:p>
    <w:p>
      <w:pPr>
        <w:spacing w:after="200"/>
      </w:pPr>
      <w:r>
        <w:t xml:space="preserve">Based on validation results, the following refinements were implemented:</w:t>
      </w:r>
    </w:p>
    <w:p>
      <w:pPr>
        <w:pStyle w:val="Heading3"/>
      </w:pPr>
      <w:r>
        <w:t xml:space="preserve">1. Shift-Type-Aware M_max Parameters</w:t>
      </w:r>
    </w:p>
    <w:p>
      <w:pPr>
        <w:pStyle w:val="ListParagraph"/>
        <w:numPr>
          <w:ilvl w:val="0"/>
          <w:numId w:val="2"/>
        </w:numPr>
      </w:pPr>
      <w:r>
        <w:t xml:space="preserve">Type III cognitive stages: M_max increased from 100x to 50,000-100,000x</w:t>
      </w:r>
    </w:p>
    <w:p>
      <w:pPr>
        <w:pStyle w:val="ListParagraph"/>
        <w:numPr>
          <w:ilvl w:val="0"/>
          <w:numId w:val="2"/>
        </w:numPr>
      </w:pPr>
      <w:r>
        <w:t xml:space="preserve">Physical stages: M_max reduced from 2.5x to 1.5x to match observed constraints</w:t>
      </w:r>
    </w:p>
    <w:p>
      <w:pPr>
        <w:pStyle w:val="Heading3"/>
      </w:pPr>
      <w:r>
        <w:t xml:space="preserve">2. Triage Overhead for Type I Shifts</w:t>
      </w:r>
    </w:p>
    <w:p>
      <w:pPr>
        <w:pStyle w:val="ListParagraph"/>
        <w:numPr>
          <w:ilvl w:val="0"/>
          <w:numId w:val="2"/>
        </w:numPr>
      </w:pPr>
      <w:r>
        <w:t xml:space="preserve">Added penalty factor for high-throughput generation creating selection bottleneck</w:t>
      </w:r>
    </w:p>
    <w:p>
      <w:pPr>
        <w:pStyle w:val="ListParagraph"/>
        <w:numPr>
          <w:ilvl w:val="0"/>
          <w:numId w:val="2"/>
        </w:numPr>
      </w:pPr>
      <w:r>
        <w:t xml:space="preserve">GNoME example: 2.2M candidates but only 350/year synthesizable</w:t>
      </w:r>
    </w:p>
    <w:p>
      <w:pPr>
        <w:pStyle w:val="Heading3"/>
      </w:pPr>
      <w:r>
        <w:t xml:space="preserve">3. Domain-Specific Constraints</w:t>
      </w:r>
    </w:p>
    <w:p>
      <w:pPr>
        <w:pStyle w:val="ListParagraph"/>
        <w:numPr>
          <w:ilvl w:val="0"/>
          <w:numId w:val="2"/>
        </w:numPr>
      </w:pPr>
      <w:r>
        <w:t xml:space="preserve">Drug discovery: Clinical trial bottleneck at S6 (5-7 years unchanged)</w:t>
      </w:r>
    </w:p>
    <w:p>
      <w:pPr>
        <w:pStyle w:val="ListParagraph"/>
        <w:numPr>
          <w:ilvl w:val="0"/>
          <w:numId w:val="2"/>
        </w:numPr>
      </w:pPr>
      <w:r>
        <w:t xml:space="preserve">Protein design: Expression bottleneck at S4 (1-2 months per cycle)</w:t>
      </w:r>
    </w:p>
    <w:p>
      <w:pPr>
        <w:pStyle w:val="ListParagraph"/>
        <w:numPr>
          <w:ilvl w:val="0"/>
          <w:numId w:val="2"/>
        </w:numPr>
      </w:pPr>
      <w:r>
        <w:t xml:space="preserve">Materials science: Synthesis bottleneck at S4 (~1 material/day)</w:t>
      </w:r>
    </w:p>
    <w:p>
      <w:r>
        <w:br w:type="page"/>
      </w:r>
    </w:p>
    <w:p>
      <w:pPr>
        <w:pStyle w:val="Heading1"/>
      </w:pPr>
      <w:r>
        <w:t xml:space="preserve">Implications for v0.5 Integrated Model</w:t>
      </w:r>
    </w:p>
    <w:p>
      <w:pPr>
        <w:spacing w:after="200"/>
      </w:pPr>
      <w:r>
        <w:t xml:space="preserve">The v0.5 model incorporates lab automation to address physical bottlenecks. Key insights from case study validation: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2030 Projection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2050 Projection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Automation (v0.4)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1.5-2x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2-3x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Baseline Automation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2-4x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5-10x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Breakthrough Automation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5-10x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20-50x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Critical Insight: </w:t>
      </w:r>
      <w:r>
        <w:t xml:space="preserve">Without lab automation, the model ceiling is ~3x by 2050. With breakthrough automation scenarios, 20-50x becomes achievable as the physical bottleneck is removed.</w:t>
      </w:r>
    </w:p>
    <w:p>
      <w:r>
        <w:br w:type="page"/>
      </w:r>
    </w:p>
    <w:p>
      <w:pPr>
        <w:pStyle w:val="Heading1"/>
      </w:pPr>
      <w:r>
        <w:t xml:space="preserve">Conclusions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Physical Bottleneck Validated: </w:t>
      </w:r>
      <w:r>
        <w:t xml:space="preserve">All 9 case studies confirm that biological/physical stages (S4, S6) limit end-to-end acceleration to 1.5-4x regardless of AI capability.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Cognitive Acceleration Underestimated: </w:t>
      </w:r>
      <w:r>
        <w:t xml:space="preserve">Original model predicted 100x max for cognitive stages; observed values range from 1,000x to 9,000,000x for Type III shifts.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Shift Type Determines Outcome: </w:t>
      </w:r>
      <w:r>
        <w:t xml:space="preserve">Type II (efficiency) shifts are most predictable; Type III (capability) shifts show high variance; Type I (scale) shifts create new bottlenecks.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 Automation Critical: </w:t>
      </w:r>
      <w:r>
        <w:t xml:space="preserve">The v0.5 model correctly identifies automation as the key unlock for achieving &gt;5x end-to-end acceleration.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Drug Discovery Pattern: </w:t>
      </w:r>
      <w:r>
        <w:t xml:space="preserve">AI accelerates Target-to-IND by 2-2.5x, but clinical trials (5-7 years) remain the binding constraint.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3"/>
        </w:numPr>
      </w:pPr>
      <w:r>
        <w:t xml:space="preserve">Jumper et al. (2021). Highly accurate protein structure prediction with AlphaFold. Nature.</w:t>
      </w:r>
    </w:p>
    <w:p>
      <w:pPr>
        <w:pStyle w:val="ListParagraph"/>
        <w:numPr>
          <w:ilvl w:val="0"/>
          <w:numId w:val="3"/>
        </w:numPr>
      </w:pPr>
      <w:r>
        <w:t xml:space="preserve">Merchant et al. (2023). Scaling deep learning for materials discovery. Nature.</w:t>
      </w:r>
    </w:p>
    <w:p>
      <w:pPr>
        <w:pStyle w:val="ListParagraph"/>
        <w:numPr>
          <w:ilvl w:val="0"/>
          <w:numId w:val="3"/>
        </w:numPr>
      </w:pPr>
      <w:r>
        <w:t xml:space="preserve">Hayes et al. (2024). Simulating 500 million years of evolution with a language model. bioRxiv.</w:t>
      </w:r>
    </w:p>
    <w:p>
      <w:pPr>
        <w:pStyle w:val="ListParagraph"/>
        <w:numPr>
          <w:ilvl w:val="0"/>
          <w:numId w:val="3"/>
        </w:numPr>
      </w:pPr>
      <w:r>
        <w:t xml:space="preserve">CNBC (Oct 2024). Recursion gets FDA approval for Phase I trials of AI-discovered drug.</w:t>
      </w:r>
    </w:p>
    <w:p>
      <w:pPr>
        <w:pStyle w:val="ListParagraph"/>
        <w:numPr>
          <w:ilvl w:val="0"/>
          <w:numId w:val="3"/>
        </w:numPr>
      </w:pPr>
      <w:r>
        <w:t xml:space="preserve">Abramson et al. (2024). Accurate structure prediction with AlphaFold 3. Nature.</w:t>
      </w:r>
    </w:p>
    <w:p>
      <w:pPr>
        <w:pStyle w:val="ListParagraph"/>
        <w:numPr>
          <w:ilvl w:val="0"/>
          <w:numId w:val="3"/>
        </w:numPr>
      </w:pPr>
      <w:r>
        <w:t xml:space="preserve">Cradle Bio (2024). Adaptyv Bio ML Competition: 8x EGFR binding improvement.</w:t>
      </w:r>
    </w:p>
    <w:p>
      <w:pPr>
        <w:pStyle w:val="ListParagraph"/>
        <w:numPr>
          <w:ilvl w:val="0"/>
          <w:numId w:val="3"/>
        </w:numPr>
      </w:pPr>
      <w:r>
        <w:t xml:space="preserve">Insilico Medicine (2024). Phase IIa results for ISM001-055. Nature Medicine.</w:t>
      </w:r>
    </w:p>
    <w:p>
      <w:pPr>
        <w:pStyle w:val="ListParagraph"/>
        <w:numPr>
          <w:ilvl w:val="0"/>
          <w:numId w:val="3"/>
        </w:numPr>
      </w:pPr>
      <w:r>
        <w:t xml:space="preserve">Nguyen et al. (2024). Sequence modeling from molecular to genome scale. Science.</w:t>
      </w:r>
    </w:p>
    <w:p>
      <w:pPr>
        <w:pStyle w:val="ListParagraph"/>
        <w:numPr>
          <w:ilvl w:val="0"/>
          <w:numId w:val="3"/>
        </w:numPr>
      </w:pPr>
      <w:r>
        <w:t xml:space="preserve">Cheng et al. (2023). Accurate proteome-wide missense variant effect prediction. Science.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AI Research Acceleration Model -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2026-01-14T06:01:42.409Z</dcterms:created>
  <dcterms:modified xsi:type="dcterms:W3CDTF">2026-01-14T06:01:42.409Z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