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BioTeam-AI</w:t>
      </w:r>
    </w:p>
    <w:p>
      <w:pPr>
        <w:spacing w:after="120"/>
        <w:jc w:val="center"/>
      </w:pPr>
      <w:r>
        <w:rPr>
          <w:rFonts w:ascii="Arial" w:cs="Arial" w:eastAsia="Arial" w:hAnsi="Arial"/>
          <w:color w:val="2E86C1"/>
          <w:sz w:val="32"/>
          <w:szCs w:val="32"/>
        </w:rPr>
        <w:t xml:space="preserve">Ambiguity-Aware Multi-Agent Architecture</w:t>
      </w:r>
    </w:p>
    <w:p>
      <w:pPr>
        <w:spacing w:after="600"/>
        <w:jc w:val="center"/>
      </w:pPr>
      <w:r>
        <w:rPr>
          <w:rFonts w:ascii="Arial" w:cs="Arial" w:eastAsia="Arial" w:hAnsi="Arial"/>
          <w:color w:val="2E86C1"/>
          <w:sz w:val="32"/>
          <w:szCs w:val="32"/>
        </w:rPr>
        <w:t xml:space="preserve">for Biological Research Discovery</w:t>
      </w:r>
    </w:p>
    <w:p>
      <w:pPr>
        <w:pBdr>
          <w:top w:val="single" w:color="2E86C1" w:sz="2" w:space="12"/>
        </w:pBdr>
        <w:spacing w:before="200" w:after="80"/>
        <w:jc w:val="center"/>
      </w:pPr>
      <w:r>
        <w:rPr>
          <w:rFonts w:ascii="Arial" w:cs="Arial" w:eastAsia="Arial" w:hAnsi="Arial"/>
          <w:color w:val="7F8C8D"/>
          <w:sz w:val="22"/>
          <w:szCs w:val="22"/>
        </w:rPr>
        <w:t xml:space="preserve">Working Paper &amp; System Design Specification</w:t>
      </w:r>
    </w:p>
    <w:p>
      <w:pPr>
        <w:spacing w:after="80"/>
        <w:jc w:val="center"/>
      </w:pPr>
      <w:r>
        <w:rPr>
          <w:rFonts w:ascii="Arial" w:cs="Arial" w:eastAsia="Arial" w:hAnsi="Arial"/>
          <w:b/>
          <w:bCs/>
          <w:color w:val="2C3E50"/>
          <w:sz w:val="24"/>
          <w:szCs w:val="24"/>
        </w:rPr>
        <w:t xml:space="preserve">JangKeun Kim</w:t>
      </w:r>
    </w:p>
    <w:p>
      <w:pPr>
        <w:spacing w:after="80"/>
        <w:jc w:val="center"/>
      </w:pPr>
      <w:r>
        <w:rPr>
          <w:rFonts w:ascii="Arial" w:cs="Arial" w:eastAsia="Arial" w:hAnsi="Arial"/>
          <w:color w:val="7F8C8D"/>
          <w:sz w:val="20"/>
          <w:szCs w:val="20"/>
        </w:rPr>
        <w:t xml:space="preserve">Institute for Computational Biomedicine, Weill Cornell Medicine</w:t>
      </w:r>
    </w:p>
    <w:p>
      <w:pPr>
        <w:spacing w:after="400"/>
        <w:jc w:val="center"/>
      </w:pPr>
      <w:r>
        <w:rPr>
          <w:rFonts w:ascii="Arial" w:cs="Arial" w:eastAsia="Arial" w:hAnsi="Arial"/>
          <w:color w:val="7F8C8D"/>
          <w:sz w:val="20"/>
          <w:szCs w:val="20"/>
        </w:rPr>
        <w:t xml:space="preserve">February 2026 — Draft v1.0</w:t>
      </w:r>
    </w:p>
    <w:p>
      <w:pPr>
        <w:spacing w:before="200"/>
        <w:jc w:val="center"/>
      </w:pPr>
      <w:r>
        <w:rPr>
          <w:rFonts w:ascii="Arial" w:cs="Arial" w:eastAsia="Arial" w:hAnsi="Arial"/>
          <w:b/>
          <w:bCs/>
          <w:color w:val="1B4F72"/>
          <w:sz w:val="20"/>
          <w:szCs w:val="20"/>
        </w:rPr>
        <w:t xml:space="preserve">ABSTRACT</w:t>
      </w:r>
    </w:p>
    <w:p>
      <w:pPr>
        <w:spacing w:after="200"/>
        <w:ind w:left="720" w:right="720"/>
      </w:pPr>
      <w:r>
        <w:rPr>
          <w:rFonts w:ascii="Arial" w:cs="Arial" w:eastAsia="Arial" w:hAnsi="Arial"/>
          <w:i/>
          <w:iCs/>
          <w:color w:val="2C3E50"/>
          <w:sz w:val="20"/>
          <w:szCs w:val="20"/>
        </w:rPr>
        <w:t xml:space="preserve">Current AI scientist systems (Sakana AI Scientist, Google AI Co-Scientist, Stanford Virtual Lab) implicitly assume a software engineering paradigm where scientific claims are binary and reproducible. This assumption fundamentally breaks in biology, where identical experiments yield contradictory results, negative findings remain unpublished, and interpretation depends on experimental context. We propose BioTeam-AI, a multi-agent architecture that introduces (1) an Ambiguity Resolution Engine with five-category contradiction taxonomy, (2) multi-dimensional Evidence Confidence Scoring replacing binary truth assessment, and (3) a Negative Results Integration Module that systematically mines the hidden dark matter of biological research. We demonstrate how this architecture addresses the unique epistemological challenges of life sciences research through a spaceflight biology case study.</w:t>
      </w:r>
    </w:p>
    <w:p>
      <w:r>
        <w:br w:type="page"/>
      </w:r>
    </w:p>
    <w:p>
      <w:pPr>
        <w:sectPr>
          <w:pgSz w:w="12240" w:h="15840" w:orient="portrait"/>
          <w:pgMar w:top="1440" w:right="1440" w:bottom="1440" w:left="1440" w:header="708" w:footer="708" w:gutter="0"/>
          <w:pgNumType/>
          <w:docGrid w:linePitch="360"/>
        </w:sectPr>
      </w:pPr>
    </w:p>
    <w:p>
      <w:pPr>
        <w:pStyle w:val="Heading1"/>
      </w:pPr>
      <w:r>
        <w:t xml:space="preserve">1. Problem Statement: Why Biology Breaks AI Scientist Systems</w:t>
      </w:r>
    </w:p>
    <w:p>
      <w:pPr>
        <w:spacing w:after="160"/>
      </w:pPr>
      <w:r>
        <w:rPr>
          <w:rFonts w:ascii="Arial" w:cs="Arial" w:eastAsia="Arial" w:hAnsi="Arial"/>
          <w:sz w:val="22"/>
          <w:szCs w:val="22"/>
        </w:rPr>
        <w:t xml:space="preserve">Existing AI scientist systems—Sakana’s AI Scientist (Lu et al., 2024), Google’s AI Co-Scientist (Gottweis &amp; Natarajan, 2025), and Stanford’s Virtual Lab (Swanson et al., 2025)—have demonstrated impressive capabilities in automated hypothesis generation, experiment execution, and manuscript writing. However, these systems share a critical blind spot: </w:t>
      </w:r>
      <w:r>
        <w:rPr>
          <w:rFonts w:ascii="Arial" w:cs="Arial" w:eastAsia="Arial" w:hAnsi="Arial"/>
          <w:b/>
          <w:bCs/>
          <w:sz w:val="22"/>
          <w:szCs w:val="22"/>
        </w:rPr>
        <w:t xml:space="preserve">they operate under an implicit software engineering (SWE) epistemological paradigm </w:t>
      </w:r>
      <w:r>
        <w:rPr>
          <w:rFonts w:ascii="Arial" w:cs="Arial" w:eastAsia="Arial" w:hAnsi="Arial"/>
          <w:sz w:val="22"/>
          <w:szCs w:val="22"/>
        </w:rPr>
        <w:t xml:space="preserve">that is fundamentally incompatible with how biological knowledge is structured, contested, and validated.</w:t>
      </w:r>
    </w:p>
    <w:p>
      <w:pPr>
        <w:pStyle w:val="Heading2"/>
      </w:pPr>
      <w:r>
        <w:t xml:space="preserve">1.1 The SWE-Biology Epistemological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SWE Paradigm</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Biology Paradigm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Truth Model</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Binary (pass/fail, works/broken)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Context-dependent, probabilistic, often contradictory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Reproducibility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Same input → deterministic same output</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Same protocol → variable outcomes (biological noise, batch effects)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Failure Mode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Bug = identifiable, fixable error</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Non-reproduction ≠ "wrong"; may reveal new biology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Evidence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Unit tests, benchmarks with ground truth</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Gradients of evidence strength across conditions, assays, species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Negative Results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Test failures are visible and tracked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85%+ literature is positive; failures hidden in file drawers (Fanelli, 2012)</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Interpretation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Objective (code works or it doesn’t)</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Frame-dependent (same data → "disease" vs "adaptive response")</w:t>
            </w:r>
          </w:p>
        </w:tc>
      </w:tr>
    </w:tbl>
    <w:p>
      <w:pPr>
        <w:spacing w:after="120"/>
        <w:jc w:val="center"/>
      </w:pPr>
      <w:r>
        <w:rPr>
          <w:rFonts w:ascii="Arial" w:cs="Arial" w:eastAsia="Arial" w:hAnsi="Arial"/>
          <w:i/>
          <w:iCs/>
          <w:color w:val="7F8C8D"/>
          <w:sz w:val="18"/>
          <w:szCs w:val="18"/>
        </w:rPr>
        <w:t xml:space="preserve">Table 1. Fundamental epistemological differences between SWE and biology paradigms.</w:t>
      </w:r>
    </w:p>
    <w:p>
      <w:pPr>
        <w:spacing w:after="160"/>
      </w:pPr>
      <w:r>
        <w:rPr>
          <w:rFonts w:ascii="Arial" w:cs="Arial" w:eastAsia="Arial" w:hAnsi="Arial"/>
          <w:sz w:val="22"/>
          <w:szCs w:val="22"/>
        </w:rPr>
        <w:t xml:space="preserve">This gap is not merely academic. When AI systems treat contradictory biological findings as errors to resolve rather than context-dependent truths to map, they produce dangerously oversimplified hypotheses. When they cannot access the ~85% of negative results that never reach publication (Fanelli, 2012), they generate hypotheses already disproven in unpublished experiments, wasting resources and misleading researchers.</w:t>
      </w:r>
    </w:p>
    <w:p>
      <w:pPr>
        <w:pStyle w:val="Heading2"/>
      </w:pPr>
      <w:r>
        <w:t xml:space="preserve">1.2 Taxonomy of Biological Ambiguity</w:t>
      </w:r>
    </w:p>
    <w:p>
      <w:pPr>
        <w:spacing w:after="160"/>
      </w:pPr>
      <w:r>
        <w:rPr>
          <w:rFonts w:ascii="Arial" w:cs="Arial" w:eastAsia="Arial" w:hAnsi="Arial"/>
          <w:sz w:val="22"/>
          <w:szCs w:val="22"/>
        </w:rPr>
        <w:t xml:space="preserve">Drawing from extensive experience in multi-omics spaceflight biology research across NASA Twins Study, Inspiration4, Polaris Dawn, Fram2, and Artemis I missions, we identify five distinct categories of ambiguity that any AI system for biology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00"/>
        <w:gridCol w:w="28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2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r>
              <w:rPr>
                <w:rFonts w:ascii="Arial" w:cs="Arial" w:eastAsia="Arial" w:hAnsi="Arial"/>
                <w:sz w:val="20"/>
                <w:szCs w:val="20"/>
              </w:rPr>
              <w:t xml:space="preserve">Type 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Conditional Truth</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Both results are correct but under different biological conditions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Spaceflight: immune suppression (6-mo ISS) vs. immune activation (Twins Study, 1-yr). Resolution: duration-dependent</w:t>
            </w:r>
          </w:p>
        </w:tc>
      </w:tr>
      <w:tr>
        <w:tc>
          <w:tcPr>
            <w:tcW w:type="dxa" w:w="12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r>
              <w:rPr>
                <w:rFonts w:ascii="Arial" w:cs="Arial" w:eastAsia="Arial" w:hAnsi="Arial"/>
                <w:sz w:val="20"/>
                <w:szCs w:val="20"/>
              </w:rPr>
              <w:t xml:space="preserve">Type 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Technical Artifact</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Differences arise from methodology, not biology</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DEG lists differ 30%+ between Salmon vs. STAR alignment; batch correction method choice reverses conclusions</w:t>
            </w:r>
          </w:p>
        </w:tc>
      </w:tr>
      <w:tr>
        <w:tc>
          <w:tcPr>
            <w:tcW w:type="dxa" w:w="12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r>
              <w:rPr>
                <w:rFonts w:ascii="Arial" w:cs="Arial" w:eastAsia="Arial" w:hAnsi="Arial"/>
                <w:sz w:val="20"/>
                <w:szCs w:val="20"/>
              </w:rPr>
              <w:t xml:space="preserve">Type 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Interpretive Framing</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Same phenomenon described through different conceptual lenses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Hemoglobin decrease: "space anemia" (pathological frame) vs. "adaptive erythropoietic regulation" (physiological frame)</w:t>
            </w:r>
          </w:p>
        </w:tc>
      </w:tr>
      <w:tr>
        <w:tc>
          <w:tcPr>
            <w:tcW w:type="dxa" w:w="12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r>
              <w:rPr>
                <w:rFonts w:ascii="Arial" w:cs="Arial" w:eastAsia="Arial" w:hAnsi="Arial"/>
                <w:sz w:val="20"/>
                <w:szCs w:val="20"/>
              </w:rPr>
              <w:t xml:space="preserve">Type 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Statistical Noise</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Small samples + high dimensionality create false positives/negatives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p=0.049 published vs. p=0.06 in file drawer; same real effect size, divergent publication fate</w:t>
            </w:r>
          </w:p>
        </w:tc>
      </w:tr>
      <w:tr>
        <w:tc>
          <w:tcPr>
            <w:tcW w:type="dxa" w:w="12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r>
              <w:rPr>
                <w:rFonts w:ascii="Arial" w:cs="Arial" w:eastAsia="Arial" w:hAnsi="Arial"/>
                <w:sz w:val="20"/>
                <w:szCs w:val="20"/>
              </w:rPr>
              <w:t xml:space="preserve">Type 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Temporal Dynamics</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Results change over time; snapshot timing determines conclusion</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Acute inflammation (day 1-3) → resolution (week 2) → chronic dysregulation (month 6). Opposite conclusions per timepoint</w:t>
            </w:r>
          </w:p>
        </w:tc>
      </w:tr>
    </w:tbl>
    <w:p>
      <w:pPr>
        <w:spacing w:after="160"/>
        <w:jc w:val="center"/>
      </w:pPr>
      <w:r>
        <w:rPr>
          <w:rFonts w:ascii="Arial" w:cs="Arial" w:eastAsia="Arial" w:hAnsi="Arial"/>
          <w:i/>
          <w:iCs/>
          <w:color w:val="7F8C8D"/>
          <w:sz w:val="18"/>
          <w:szCs w:val="18"/>
        </w:rPr>
        <w:t xml:space="preserve">Table 2. Five-category taxonomy of biological ambiguity with spaceflight biology examples.</w:t>
      </w:r>
    </w:p>
    <w:p>
      <w:r>
        <w:br w:type="page"/>
      </w:r>
    </w:p>
    <w:p>
      <w:pPr>
        <w:pStyle w:val="Heading1"/>
      </w:pPr>
      <w:r>
        <w:t xml:space="preserve">2. Limitations of Existing AI Scientist Systems for Biology</w:t>
      </w:r>
    </w:p>
    <w:p>
      <w:pPr>
        <w:pStyle w:val="Heading2"/>
      </w:pPr>
      <w:r>
        <w:t xml:space="preserve">2.1 Stanford Virtual Lab (Nature, 2025)</w:t>
      </w:r>
    </w:p>
    <w:p>
      <w:pPr>
        <w:spacing w:after="160"/>
      </w:pPr>
      <w:r>
        <w:rPr>
          <w:rFonts w:ascii="Arial" w:cs="Arial" w:eastAsia="Arial" w:hAnsi="Arial"/>
          <w:sz w:val="22"/>
          <w:szCs w:val="22"/>
        </w:rPr>
        <w:t xml:space="preserve">The Virtual Lab introduced a multi-agent structure with an AI PI guiding specialized scientist agents and a Scientific Critic. While this represents the most biology-relevant architecture to date, it has critical limitations. Role granularity is insufficient: “immunologist” and “computational biologist” do not reflect the specialized expertise needed for multi-omics integration, statistical rigor assessment, or experimental feasibility evaluation. The system operates as a </w:t>
      </w:r>
      <w:r>
        <w:rPr>
          <w:rFonts w:ascii="Arial" w:cs="Arial" w:eastAsia="Arial" w:hAnsi="Arial"/>
          <w:b/>
          <w:bCs/>
          <w:sz w:val="22"/>
          <w:szCs w:val="22"/>
        </w:rPr>
        <w:t xml:space="preserve">unidirectional pipeline </w:t>
      </w:r>
      <w:r>
        <w:rPr>
          <w:rFonts w:ascii="Arial" w:cs="Arial" w:eastAsia="Arial" w:hAnsi="Arial"/>
          <w:sz w:val="22"/>
          <w:szCs w:val="22"/>
        </w:rPr>
        <w:t xml:space="preserve">(computational design → wet-lab validation) without iterative feedback loops. It has no mechanism for detecting or resolving contradictions in the literature, and no access to negative results or failed experimental approaches.</w:t>
      </w:r>
    </w:p>
    <w:p>
      <w:pPr>
        <w:pStyle w:val="Heading2"/>
      </w:pPr>
      <w:r>
        <w:t xml:space="preserve">2.2 Google AI Co-Scientist (2025)</w:t>
      </w:r>
    </w:p>
    <w:p>
      <w:pPr>
        <w:spacing w:after="160"/>
      </w:pPr>
      <w:r>
        <w:rPr>
          <w:rFonts w:ascii="Arial" w:cs="Arial" w:eastAsia="Arial" w:hAnsi="Arial"/>
          <w:sz w:val="22"/>
          <w:szCs w:val="22"/>
        </w:rPr>
        <w:t xml:space="preserve">The generate-debate-evolve architecture with specialized agents (Generation, Reflection, Ranking, Evolution, Proximity, Meta-review) shows sophisticated hypothesis refinement. However, it operates at the </w:t>
      </w:r>
      <w:r>
        <w:rPr>
          <w:rFonts w:ascii="Arial" w:cs="Arial" w:eastAsia="Arial" w:hAnsi="Arial"/>
          <w:b/>
          <w:bCs/>
          <w:sz w:val="22"/>
          <w:szCs w:val="22"/>
        </w:rPr>
        <w:t xml:space="preserve">hypothesis level only</w:t>
      </w:r>
      <w:r>
        <w:rPr>
          <w:rFonts w:ascii="Arial" w:cs="Arial" w:eastAsia="Arial" w:hAnsi="Arial"/>
          <w:sz w:val="22"/>
          <w:szCs w:val="22"/>
        </w:rPr>
        <w:t xml:space="preserve">—it cannot analyze actual multi-omics datasets, evaluate experimental designs for statistical power or confounding variables, or assess the biological plausibility of results beyond what can be inferred from text. Its ranking system treats hypothesis quality as a single scalar, missing the multidimensional nature of biological evidence quality.</w:t>
      </w:r>
    </w:p>
    <w:p>
      <w:pPr>
        <w:pStyle w:val="Heading2"/>
      </w:pPr>
      <w:r>
        <w:t xml:space="preserve">2.3 Sakana AI Scientist v1/v2 (2024–2025)</w:t>
      </w:r>
    </w:p>
    <w:p>
      <w:pPr>
        <w:spacing w:after="160"/>
      </w:pPr>
      <w:r>
        <w:rPr>
          <w:rFonts w:ascii="Arial" w:cs="Arial" w:eastAsia="Arial" w:hAnsi="Arial"/>
          <w:sz w:val="22"/>
          <w:szCs w:val="22"/>
        </w:rPr>
        <w:t xml:space="preserve">Built for ML research, this system automates the full research lifecycle from idea generation through paper writing. Independent evaluation (Beel et al., 2025) revealed 42% experiment failure rates and poor novelty assessment. The system’s literature review relies on simplistic keyword search, leading to misclassification of established concepts as novel. It is </w:t>
      </w:r>
      <w:r>
        <w:rPr>
          <w:rFonts w:ascii="Arial" w:cs="Arial" w:eastAsia="Arial" w:hAnsi="Arial"/>
          <w:b/>
          <w:bCs/>
          <w:sz w:val="22"/>
          <w:szCs w:val="22"/>
        </w:rPr>
        <w:t xml:space="preserve">fundamentally unsuited for biology </w:t>
      </w:r>
      <w:r>
        <w:rPr>
          <w:rFonts w:ascii="Arial" w:cs="Arial" w:eastAsia="Arial" w:hAnsi="Arial"/>
          <w:sz w:val="22"/>
          <w:szCs w:val="22"/>
        </w:rPr>
        <w:t xml:space="preserve">because it assumes code-executable experiments, deterministic outcomes, and binary success metrics—the SWE paradigm at its purest.</w:t>
      </w:r>
    </w:p>
    <w:p>
      <w:pPr>
        <w:pBdr>
          <w:left w:val="single" w:color="2E86C1" w:sz="12" w:space="8"/>
        </w:pBdr>
        <w:shd w:fill="FDEDEC" w:val="clear"/>
        <w:spacing w:before="200" w:after="80"/>
      </w:pPr>
      <w:r>
        <w:rPr>
          <w:rFonts w:ascii="Arial" w:cs="Arial" w:eastAsia="Arial" w:hAnsi="Arial"/>
          <w:b/>
          <w:bCs/>
          <w:color w:val="1B4F72"/>
          <w:sz w:val="22"/>
          <w:szCs w:val="22"/>
        </w:rPr>
        <w:t xml:space="preserve">Key Insight</w:t>
      </w:r>
    </w:p>
    <w:p>
      <w:pPr>
        <w:pBdr>
          <w:left w:val="single" w:color="2E86C1" w:sz="12" w:space="8"/>
        </w:pBdr>
        <w:shd w:fill="FDEDEC" w:val="clear"/>
        <w:spacing w:after="200"/>
      </w:pPr>
      <w:r>
        <w:rPr>
          <w:rFonts w:ascii="Arial" w:cs="Arial" w:eastAsia="Arial" w:hAnsi="Arial"/>
          <w:sz w:val="21"/>
          <w:szCs w:val="21"/>
        </w:rPr>
        <w:t xml:space="preserve">All three systems share a common failure mode: they treat scientific knowledge as a binary knowledge graph (true/false nodes) rather than a probabilistic landscape where the same claim can be simultaneously true and false depending on context, and where the majority of the evidence landscape is invisible due to publication bias.</w:t>
      </w:r>
    </w:p>
    <w:p>
      <w:r>
        <w:br w:type="page"/>
      </w:r>
    </w:p>
    <w:p>
      <w:pPr>
        <w:pStyle w:val="Heading1"/>
      </w:pPr>
      <w:r>
        <w:t xml:space="preserve">3. BioTeam-AI: Proposed Architecture</w:t>
      </w:r>
    </w:p>
    <w:p>
      <w:pPr>
        <w:spacing w:after="160"/>
      </w:pPr>
      <w:r>
        <w:rPr>
          <w:rFonts w:ascii="Arial" w:cs="Arial" w:eastAsia="Arial" w:hAnsi="Arial"/>
          <w:sz w:val="22"/>
          <w:szCs w:val="22"/>
        </w:rPr>
        <w:t xml:space="preserve">We propose a three-tier multi-agent architecture designed specifically for the epistemological challenges of biological research. The architecture introduces three core innovations absent from all existing systems: (1) an Ambiguity Resolution Engine, (2) multi-dimensional Evidence Confidence Scoring, and (3) a Negative Results Integration Module.</w:t>
      </w:r>
    </w:p>
    <w:p>
      <w:pPr>
        <w:pStyle w:val="Heading2"/>
      </w:pPr>
      <w:r>
        <w:t xml:space="preserve">3.1 Architecture Overview: Three-Tier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Tier 1: Strategic</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Human Researcher + AI Research Director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Research question decomposition, sub-hypothesis generation, knowledge graph maintenance, agent workflow orchestration</w:t>
            </w:r>
          </w:p>
        </w:tc>
      </w:tr>
      <w:tr>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Tier 2: Domain Expert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Omics Analyst + Experimental Designer + Literature Synthesis + Integrative Biologist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analysis pipeline execution, protocol design with feasibility assessment, conceptual literature mapping, cross-omics mechanistic interpretation</w:t>
            </w:r>
          </w:p>
        </w:tc>
      </w:tr>
      <w:tr>
        <w:tc>
          <w:tcPr>
            <w:tcW w:type="dxa" w:w="1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tcPr>
          <w:p>
            <w:r>
              <w:rPr>
                <w:rFonts w:ascii="Arial" w:cs="Arial" w:eastAsia="Arial" w:hAnsi="Arial"/>
                <w:sz w:val="20"/>
                <w:szCs w:val="20"/>
              </w:rPr>
              <w:t xml:space="preserve">Tier 3: Quality Assurance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Statistical Rigor + Biological Plausibility + Reproducibility &amp; Standards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Multiple testing correction audit, artifact detection, biological mechanism validation, FAIR compliance, reporting standards</w:t>
            </w:r>
          </w:p>
        </w:tc>
      </w:tr>
    </w:tbl>
    <w:p>
      <w:pPr>
        <w:spacing w:after="120"/>
        <w:jc w:val="center"/>
      </w:pPr>
      <w:r>
        <w:rPr>
          <w:rFonts w:ascii="Arial" w:cs="Arial" w:eastAsia="Arial" w:hAnsi="Arial"/>
          <w:i/>
          <w:iCs/>
          <w:color w:val="7F8C8D"/>
          <w:sz w:val="18"/>
          <w:szCs w:val="18"/>
        </w:rPr>
        <w:t xml:space="preserve">Table 3. Three-tier architecture overview of BioTeam-AI.</w:t>
      </w:r>
    </w:p>
    <w:p>
      <w:pPr>
        <w:spacing w:after="160"/>
      </w:pPr>
      <w:r>
        <w:rPr>
          <w:rFonts w:ascii="Arial" w:cs="Arial" w:eastAsia="Arial" w:hAnsi="Arial"/>
          <w:sz w:val="22"/>
          <w:szCs w:val="22"/>
        </w:rPr>
        <w:t xml:space="preserve">The critical architectural innovation is the </w:t>
      </w:r>
      <w:r>
        <w:rPr>
          <w:rFonts w:ascii="Arial" w:cs="Arial" w:eastAsia="Arial" w:hAnsi="Arial"/>
          <w:b/>
          <w:bCs/>
          <w:sz w:val="22"/>
          <w:szCs w:val="22"/>
        </w:rPr>
        <w:t xml:space="preserve">bidirectional iterative loop</w:t>
      </w:r>
      <w:r>
        <w:rPr>
          <w:rFonts w:ascii="Arial" w:cs="Arial" w:eastAsia="Arial" w:hAnsi="Arial"/>
          <w:sz w:val="22"/>
          <w:szCs w:val="22"/>
        </w:rPr>
        <w:t xml:space="preserve"> connecting all tiers. Unlike existing systems’ unidirectional pipelines, each agent’s output feeds back to upstream agents, enabling hypothesis refinement based on data analysis results, experimental redesign based on QA findings, and literature re-search triggered by unexpected patterns.</w:t>
      </w:r>
    </w:p>
    <w:p>
      <w:pPr>
        <w:pStyle w:val="Heading2"/>
      </w:pPr>
      <w:r>
        <w:t xml:space="preserve">3.2 Tier 1: Strategic Layer</w:t>
      </w:r>
    </w:p>
    <w:p>
      <w:pPr>
        <w:pStyle w:val="Heading3"/>
      </w:pPr>
      <w:r>
        <w:t xml:space="preserve">3.2.1 Human Researcher</w:t>
      </w:r>
    </w:p>
    <w:p>
      <w:pPr>
        <w:spacing w:after="160"/>
      </w:pPr>
      <w:r>
        <w:rPr>
          <w:rFonts w:ascii="Arial" w:cs="Arial" w:eastAsia="Arial" w:hAnsi="Arial"/>
          <w:sz w:val="22"/>
          <w:szCs w:val="22"/>
        </w:rPr>
        <w:t xml:space="preserve">The human researcher provides high-level research direction, makes final interpretive decisions, and supplies domain expertise that cannot be automated. Critically, the human serves as the </w:t>
      </w:r>
      <w:r>
        <w:rPr>
          <w:rFonts w:ascii="Arial" w:cs="Arial" w:eastAsia="Arial" w:hAnsi="Arial"/>
          <w:b/>
          <w:bCs/>
          <w:sz w:val="22"/>
          <w:szCs w:val="22"/>
        </w:rPr>
        <w:t xml:space="preserve">ground truth calibrator</w:t>
      </w:r>
      <w:r>
        <w:rPr>
          <w:rFonts w:ascii="Arial" w:cs="Arial" w:eastAsia="Arial" w:hAnsi="Arial"/>
          <w:sz w:val="22"/>
          <w:szCs w:val="22"/>
        </w:rPr>
        <w:t xml:space="preserve"> for ambiguity resolution—when the AI system identifies a Type 3 (Interpretive Framing) ambiguity, the human decides which frame is most productive for the research program.</w:t>
      </w:r>
    </w:p>
    <w:p>
      <w:pPr>
        <w:pStyle w:val="Heading3"/>
      </w:pPr>
      <w:r>
        <w:t xml:space="preserve">3.2.2 AI Research Director Agent</w:t>
      </w:r>
    </w:p>
    <w:p>
      <w:pPr>
        <w:spacing w:after="160"/>
      </w:pPr>
      <w:r>
        <w:rPr>
          <w:rFonts w:ascii="Arial" w:cs="Arial" w:eastAsia="Arial" w:hAnsi="Arial"/>
          <w:sz w:val="22"/>
          <w:szCs w:val="22"/>
        </w:rPr>
        <w:t xml:space="preserve">An extension of the Virtual Lab’s PI agent, the Research Director maintains a </w:t>
      </w:r>
      <w:r>
        <w:rPr>
          <w:rFonts w:ascii="Arial" w:cs="Arial" w:eastAsia="Arial" w:hAnsi="Arial"/>
          <w:b/>
          <w:bCs/>
          <w:sz w:val="22"/>
          <w:szCs w:val="22"/>
        </w:rPr>
        <w:t xml:space="preserve">dynamic research state knowledge graph </w:t>
      </w:r>
      <w:r>
        <w:rPr>
          <w:rFonts w:ascii="Arial" w:cs="Arial" w:eastAsia="Arial" w:hAnsi="Arial"/>
          <w:sz w:val="22"/>
          <w:szCs w:val="22"/>
        </w:rPr>
        <w:t xml:space="preserve">that tracks: (a) active hypotheses with their current confidence scores, (b) agent task assignments and dependency chains, (c) identified contradictions and their resolution status, (d) negative results that constrain the hypothesis space. The Director decomposes research questions into testable sub-hypotheses and dynamically reallocates agent resources based on emerging findings.</w:t>
      </w:r>
    </w:p>
    <w:p>
      <w:pPr>
        <w:pStyle w:val="Heading2"/>
      </w:pPr>
      <w:r>
        <w:t xml:space="preserve">3.3 Tier 2: Domain Expert Layer</w:t>
      </w:r>
    </w:p>
    <w:p>
      <w:pPr>
        <w:spacing w:after="160"/>
      </w:pPr>
      <w:r>
        <w:rPr>
          <w:rFonts w:ascii="Arial" w:cs="Arial" w:eastAsia="Arial" w:hAnsi="Arial"/>
          <w:sz w:val="22"/>
          <w:szCs w:val="22"/>
        </w:rPr>
        <w:t xml:space="preserve">This tier replaces the generic role assignment of existing systems (e.g., “immunologist”) with agents aligned to </w:t>
      </w:r>
      <w:r>
        <w:rPr>
          <w:rFonts w:ascii="Arial" w:cs="Arial" w:eastAsia="Arial" w:hAnsi="Arial"/>
          <w:b/>
          <w:bCs/>
          <w:sz w:val="22"/>
          <w:szCs w:val="22"/>
        </w:rPr>
        <w:t xml:space="preserve">functional research activities </w:t>
      </w:r>
      <w:r>
        <w:rPr>
          <w:rFonts w:ascii="Arial" w:cs="Arial" w:eastAsia="Arial" w:hAnsi="Arial"/>
          <w:sz w:val="22"/>
          <w:szCs w:val="22"/>
        </w:rPr>
        <w:t xml:space="preserve">in biology:</w:t>
      </w:r>
    </w:p>
    <w:p>
      <w:pPr>
        <w:pStyle w:val="Heading3"/>
      </w:pPr>
      <w:r>
        <w:t xml:space="preserve">3.3.1 Omics Analyst Agent</w:t>
      </w:r>
    </w:p>
    <w:p>
      <w:pPr>
        <w:spacing w:after="160"/>
      </w:pPr>
      <w:r>
        <w:rPr>
          <w:rFonts w:ascii="Arial" w:cs="Arial" w:eastAsia="Arial" w:hAnsi="Arial"/>
          <w:sz w:val="22"/>
          <w:szCs w:val="22"/>
        </w:rPr>
        <w:t xml:space="preserve">This agent fills the most critical gap in existing systems: the ability to interact with actual biological data. Capabilities include computational pipeline design and execution (scRNA-seq via Scanpy/Seurat, bulk RNA-seq via DESeq2, ATAC-seq via ArchR, proteomics via MaxQuant), quality control assessment (library complexity, doublet detection, ambient RNA estimation), batch effect identification and correction strategy selection (Harmony, scVI, ComBat), and differential analysis with appropriate multiple testing correction. The agent outputs not just results but </w:t>
      </w:r>
      <w:r>
        <w:rPr>
          <w:rFonts w:ascii="Arial" w:cs="Arial" w:eastAsia="Arial" w:hAnsi="Arial"/>
          <w:b/>
          <w:bCs/>
          <w:sz w:val="22"/>
          <w:szCs w:val="22"/>
        </w:rPr>
        <w:t xml:space="preserve">analysis provenance</w:t>
      </w:r>
      <w:r>
        <w:rPr>
          <w:rFonts w:ascii="Arial" w:cs="Arial" w:eastAsia="Arial" w:hAnsi="Arial"/>
          <w:sz w:val="22"/>
          <w:szCs w:val="22"/>
        </w:rPr>
        <w:t xml:space="preserve">—a complete record of parameters, software versions, and decision points that enables reproducibility auditing by Tier 3 agents.</w:t>
      </w:r>
    </w:p>
    <w:p>
      <w:pPr>
        <w:pStyle w:val="Heading3"/>
      </w:pPr>
      <w:r>
        <w:t xml:space="preserve">3.3.2 Experimental Designer Agent</w:t>
      </w:r>
    </w:p>
    <w:p>
      <w:pPr>
        <w:spacing w:after="160"/>
      </w:pPr>
      <w:r>
        <w:rPr>
          <w:rFonts w:ascii="Arial" w:cs="Arial" w:eastAsia="Arial" w:hAnsi="Arial"/>
          <w:sz w:val="22"/>
          <w:szCs w:val="22"/>
        </w:rPr>
        <w:t xml:space="preserve">Existing AI scientist systems entirely lack experimental design capability. This agent provides: statistical power analysis for sample size determination given expected effect sizes, control design (positive, negative, vehicle, isotype) appropriate to the assay type, confounding variable identification (age, sex, batch, collection time, operator, instrument) and mitigation strategies, protocol specification (reagent concentrations, incubation times, instrument settings) with feasibility assessment, and timeline and cost estimation with logistics planning (sample shipping, storage conditions).</w:t>
      </w:r>
    </w:p>
    <w:p>
      <w:pPr>
        <w:pStyle w:val="Heading3"/>
      </w:pPr>
      <w:r>
        <w:t xml:space="preserve">3.3.3 Literature Synthesis Agent</w:t>
      </w:r>
    </w:p>
    <w:p>
      <w:pPr>
        <w:spacing w:after="160"/>
      </w:pPr>
      <w:r>
        <w:rPr>
          <w:rFonts w:ascii="Arial" w:cs="Arial" w:eastAsia="Arial" w:hAnsi="Arial"/>
          <w:sz w:val="22"/>
          <w:szCs w:val="22"/>
        </w:rPr>
        <w:t xml:space="preserve">Fundamentally re-engineered from the keyword-search approach of existing systems. Instead of retrieving documents matching search terms, this agent performs </w:t>
      </w:r>
      <w:r>
        <w:rPr>
          <w:rFonts w:ascii="Arial" w:cs="Arial" w:eastAsia="Arial" w:hAnsi="Arial"/>
          <w:b/>
          <w:bCs/>
          <w:sz w:val="22"/>
          <w:szCs w:val="22"/>
        </w:rPr>
        <w:t xml:space="preserve">conceptual mapping</w:t>
      </w:r>
      <w:r>
        <w:rPr>
          <w:rFonts w:ascii="Arial" w:cs="Arial" w:eastAsia="Arial" w:hAnsi="Arial"/>
          <w:sz w:val="22"/>
          <w:szCs w:val="22"/>
        </w:rPr>
        <w:t xml:space="preserve">: given a biological claim, it constructs a structured evidence landscape showing supporting evidence (with condition specificity), contradicting evidence (with contradiction type classification per our taxonomy), evidence gaps (what conditions remain untested), and evidence trajectory (how the consensus has shifted over time). The agent maintains awareness of </w:t>
      </w:r>
      <w:r>
        <w:rPr>
          <w:rFonts w:ascii="Arial" w:cs="Arial" w:eastAsia="Arial" w:hAnsi="Arial"/>
          <w:b/>
          <w:bCs/>
          <w:sz w:val="22"/>
          <w:szCs w:val="22"/>
        </w:rPr>
        <w:t xml:space="preserve">evidence provenance quality </w:t>
      </w:r>
      <w:r>
        <w:rPr>
          <w:rFonts w:ascii="Arial" w:cs="Arial" w:eastAsia="Arial" w:hAnsi="Arial"/>
          <w:sz w:val="22"/>
          <w:szCs w:val="22"/>
        </w:rPr>
        <w:t xml:space="preserve">distinguishing in vitro from in vivo from clinical data, single-lab from multi-lab confirmation, and small-n from adequately powered studies.</w:t>
      </w:r>
    </w:p>
    <w:p>
      <w:pPr>
        <w:pStyle w:val="Heading3"/>
      </w:pPr>
      <w:r>
        <w:t xml:space="preserve">3.3.4 Integrative Biologist Agent</w:t>
      </w:r>
    </w:p>
    <w:p>
      <w:pPr>
        <w:spacing w:after="160"/>
      </w:pPr>
      <w:r>
        <w:rPr>
          <w:rFonts w:ascii="Arial" w:cs="Arial" w:eastAsia="Arial" w:hAnsi="Arial"/>
          <w:sz w:val="22"/>
          <w:szCs w:val="22"/>
        </w:rPr>
        <w:t xml:space="preserve">Unique to BioTeam-AI and essential for modern multi-omics research. This agent interprets cross-omics patterns: does the DNA methylation change at a locus correlate with gene expression change? Does the transcript-level change translate to protein-level change? Do functional assay results align with molecular-level observations? When cross-omics signals </w:t>
      </w:r>
      <w:r>
        <w:rPr>
          <w:rFonts w:ascii="Arial" w:cs="Arial" w:eastAsia="Arial" w:hAnsi="Arial"/>
          <w:b/>
          <w:bCs/>
          <w:sz w:val="22"/>
          <w:szCs w:val="22"/>
        </w:rPr>
        <w:t xml:space="preserve">don’t align</w:t>
      </w:r>
      <w:r>
        <w:rPr>
          <w:rFonts w:ascii="Arial" w:cs="Arial" w:eastAsia="Arial" w:hAnsi="Arial"/>
          <w:sz w:val="22"/>
          <w:szCs w:val="22"/>
        </w:rPr>
        <w:t xml:space="preserve"> (which is common and informative), the agent generates mechanistic hypotheses for the discordance (post-transcriptional regulation, protein stability, compensatory mechanisms).</w:t>
      </w:r>
    </w:p>
    <w:p>
      <w:r>
        <w:br w:type="page"/>
      </w:r>
    </w:p>
    <w:p>
      <w:pPr>
        <w:pStyle w:val="Heading2"/>
      </w:pPr>
      <w:r>
        <w:t xml:space="preserve">3.4 Tier 3: Quality Assurance Layer</w:t>
      </w:r>
    </w:p>
    <w:p>
      <w:pPr>
        <w:spacing w:after="160"/>
      </w:pPr>
      <w:r>
        <w:rPr>
          <w:rFonts w:ascii="Arial" w:cs="Arial" w:eastAsia="Arial" w:hAnsi="Arial"/>
          <w:sz w:val="22"/>
          <w:szCs w:val="22"/>
        </w:rPr>
        <w:t xml:space="preserve">Existing systems use a single “critic” agent. Biology requires specialized, independent QA perspectives:</w:t>
      </w:r>
    </w:p>
    <w:p>
      <w:pPr>
        <w:pStyle w:val="Heading3"/>
      </w:pPr>
      <w:r>
        <w:t xml:space="preserve">3.4.1 Statistical Rigor Agent</w:t>
      </w:r>
    </w:p>
    <w:p>
      <w:pPr>
        <w:spacing w:after="160"/>
      </w:pPr>
      <w:r>
        <w:rPr>
          <w:rFonts w:ascii="Arial" w:cs="Arial" w:eastAsia="Arial" w:hAnsi="Arial"/>
          <w:sz w:val="22"/>
          <w:szCs w:val="22"/>
        </w:rPr>
        <w:t xml:space="preserve">Audits all quantitative claims for: appropriate multiple testing correction (Bonferroni, BH FDR) given the number of comparisons, effect size assessment alongside statistical significance (a p=0.001 with fold-change of 1.05 may be statistically significant but biologically meaningless), overfitting risk (particularly in small-n, high-dimensional omics data common in spaceflight biology), and pseudoreplication detection (technical vs. biological replicates).</w:t>
      </w:r>
    </w:p>
    <w:p>
      <w:pPr>
        <w:pStyle w:val="Heading3"/>
      </w:pPr>
      <w:r>
        <w:t xml:space="preserve">3.4.2 Biological Plausibility Agent</w:t>
      </w:r>
    </w:p>
    <w:p>
      <w:pPr>
        <w:spacing w:after="160"/>
      </w:pPr>
      <w:r>
        <w:rPr>
          <w:rFonts w:ascii="Arial" w:cs="Arial" w:eastAsia="Arial" w:hAnsi="Arial"/>
          <w:sz w:val="22"/>
          <w:szCs w:val="22"/>
        </w:rPr>
        <w:t xml:space="preserve">Evaluates whether results align with known biology: pathway connectivity (does a proposed regulatory relationship have known intermediate steps?), evolutionary conservation (is a finding in mouse cells plausible for human biology?), mechanism feasibility (can the proposed effect size be achieved through the hypothesized mechanism?), and artifact detection (doublets, index hopping, ambient RNA, cell-free DNA contamination, reagent lot effects).</w:t>
      </w:r>
    </w:p>
    <w:p>
      <w:pPr>
        <w:pStyle w:val="Heading3"/>
      </w:pPr>
      <w:r>
        <w:t xml:space="preserve">3.4.3 Reproducibility &amp; Standards Agent</w:t>
      </w:r>
    </w:p>
    <w:p>
      <w:pPr>
        <w:spacing w:after="160"/>
      </w:pPr>
      <w:r>
        <w:rPr>
          <w:rFonts w:ascii="Arial" w:cs="Arial" w:eastAsia="Arial" w:hAnsi="Arial"/>
          <w:sz w:val="22"/>
          <w:szCs w:val="22"/>
        </w:rPr>
        <w:t xml:space="preserve">Ensures outputs meet community standards: FAIR data principles compliance, field-specific reporting standards (MIAME for microarrays, MINSEQE for sequencing, MIFlowCyt for flow cytometry), figure generation standards (color-blind accessible palettes, appropriate statistical visualizations, avoiding misleading axis truncation), and methods section completeness for independent reproduction.</w:t>
      </w:r>
    </w:p>
    <w:p>
      <w:r>
        <w:br w:type="page"/>
      </w:r>
    </w:p>
    <w:p>
      <w:pPr>
        <w:pStyle w:val="Heading1"/>
      </w:pPr>
      <w:r>
        <w:t xml:space="preserve">4. Core Innovation I: Ambiguity Resolution Engine</w:t>
      </w:r>
    </w:p>
    <w:p>
      <w:pPr>
        <w:spacing w:after="160"/>
      </w:pPr>
      <w:r>
        <w:rPr>
          <w:rFonts w:ascii="Arial" w:cs="Arial" w:eastAsia="Arial" w:hAnsi="Arial"/>
          <w:sz w:val="22"/>
          <w:szCs w:val="22"/>
        </w:rPr>
        <w:t xml:space="preserve">This is the primary novel contribution of BioTeam-AI. No existing AI scientist system has a mechanism for systematically detecting, classifying, and resolving the contradictions that pervade biological literature. The engine operates through three components:</w:t>
      </w:r>
    </w:p>
    <w:p>
      <w:pPr>
        <w:pStyle w:val="Heading2"/>
      </w:pPr>
      <w:r>
        <w:t xml:space="preserve">4.1 Contradiction Mapper Agent</w:t>
      </w:r>
    </w:p>
    <w:p>
      <w:pPr>
        <w:spacing w:after="160"/>
      </w:pPr>
      <w:r>
        <w:rPr>
          <w:rFonts w:ascii="Arial" w:cs="Arial" w:eastAsia="Arial" w:hAnsi="Arial"/>
          <w:sz w:val="22"/>
          <w:szCs w:val="22"/>
        </w:rPr>
        <w:t xml:space="preserve">For any biological claim under investigation, the Contradiction Mapper: (a) identifies all published evidence both supporting and contradicting the claim, (b) extracts metadata from each study (organism, cell type, exposure conditions, sample size, sequencing platform, analysis pipeline, statistical methods), (c) classifies the contradiction type using our five-category taxonomy (Table 2), and (d) </w:t>
      </w:r>
      <w:r>
        <w:rPr>
          <w:rFonts w:ascii="Arial" w:cs="Arial" w:eastAsia="Arial" w:hAnsi="Arial"/>
          <w:b/>
          <w:bCs/>
          <w:sz w:val="22"/>
          <w:szCs w:val="22"/>
        </w:rPr>
        <w:t xml:space="preserve">generates resolution hypotheses </w:t>
      </w:r>
      <w:r>
        <w:rPr>
          <w:rFonts w:ascii="Arial" w:cs="Arial" w:eastAsia="Arial" w:hAnsi="Arial"/>
          <w:sz w:val="22"/>
          <w:szCs w:val="22"/>
        </w:rPr>
        <w:t xml:space="preserve">identifying which variable(s) most likely explain the discordance.</w:t>
      </w:r>
    </w:p>
    <w:p>
      <w:pPr>
        <w:pBdr>
          <w:left w:val="single" w:color="2E86C1" w:sz="12" w:space="8"/>
        </w:pBdr>
        <w:shd w:fill="FEF5E7" w:val="clear"/>
        <w:spacing w:before="200" w:after="80"/>
      </w:pPr>
      <w:r>
        <w:rPr>
          <w:rFonts w:ascii="Arial" w:cs="Arial" w:eastAsia="Arial" w:hAnsi="Arial"/>
          <w:b/>
          <w:bCs/>
          <w:color w:val="1B4F72"/>
          <w:sz w:val="22"/>
          <w:szCs w:val="22"/>
        </w:rPr>
        <w:t xml:space="preserve">Example: Contradiction Matrix for "Spaceflight causes immune suppression"</w:t>
      </w:r>
    </w:p>
    <w:p>
      <w:pPr>
        <w:pBdr>
          <w:left w:val="single" w:color="2E86C1" w:sz="12" w:space="8"/>
        </w:pBdr>
        <w:shd w:fill="FEF5E7" w:val="clear"/>
        <w:spacing w:after="200"/>
      </w:pPr>
      <w:r>
        <w:rPr>
          <w:rFonts w:ascii="Arial" w:cs="Arial" w:eastAsia="Arial" w:hAnsi="Arial"/>
          <w:sz w:val="21"/>
          <w:szCs w:val="21"/>
        </w:rPr>
        <w:t xml:space="preserve">SUPPORTING: Crucian et al. (ISS, 6-mo, n=8, PBMC, flow cytometry) → T cell function ↓
CONTRADICTING: Garrett-Bakelman et al. (Twins Study, 1-yr, n=1 pair, multi-omics) → selective immune activation
RESOLUTION VARIABLES IDENTIFIED:
• Type 5 (Temporal): 6-month vs. 12-month duration → possible biphasic response
• Type 2 (Technical): PBMC flow cytometry vs. whole-blood transcriptomics
• Type 4 (Statistical): n=8 vs. n=1 pair
• Type 3 (Framing): "suppression" measures functional output; "activation" measures gene expression
AUTO-GENERATED HYPOTHESIS: Spaceflight immune response is biphasic (suppression &lt;6mo, adaptive remodeling &gt;6mo) with measurement-dependent apparent direction. Recommended: time-series multi-modal immune profiling across multiple mission durations.</w:t>
      </w:r>
    </w:p>
    <w:p>
      <w:pPr>
        <w:pStyle w:val="Heading2"/>
      </w:pPr>
      <w:r>
        <w:t xml:space="preserve">4.2 Multi-Dimensional Evidence Confidence Scoring</w:t>
      </w:r>
    </w:p>
    <w:p>
      <w:pPr>
        <w:spacing w:after="160"/>
      </w:pPr>
      <w:r>
        <w:rPr>
          <w:rFonts w:ascii="Arial" w:cs="Arial" w:eastAsia="Arial" w:hAnsi="Arial"/>
          <w:sz w:val="22"/>
          <w:szCs w:val="22"/>
        </w:rPr>
        <w:t xml:space="preserve">Replacing the binary true/false assessment of existing systems, each biological claim receives a five-axis confidence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Axis</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Measures</w:t>
            </w:r>
          </w:p>
        </w:tc>
        <w:tc>
          <w:tcPr>
            <w:tcW w:type="dxa" w:w="24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High Score</w:t>
            </w:r>
          </w:p>
        </w:tc>
        <w:tc>
          <w:tcPr>
            <w:tcW w:type="dxa" w:w="24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Low Score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Reproducibility (R)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Independent replications by distinct groups</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 independent labs confirmed</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Single lab, single study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Condition Specificity (C)</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How broadly the claim generalizes</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Confirmed across species, cell types, conditions</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Only in one cell line under one condition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Methodological Robustness (M)</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Study design quality</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Blinded, powered, appropriate controls + stats</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n&lt;5, no blinding, no correction for multiple testing</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Cross-Omics Consistency (X)</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Agreement across molecular layers</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mRNA ↑ + protein ↑ + functional assay ↑</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mRNA ↑ but protein unchanged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Temporal Stability (T)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Stability of evidence over time and scrutiny</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Consistent across decades of investigation</w:t>
            </w:r>
          </w:p>
        </w:tc>
        <w:tc>
          <w:tcPr>
            <w:tcW w:type="dxa" w:w="243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Recent single finding, not yet replicated</w:t>
            </w:r>
          </w:p>
        </w:tc>
      </w:tr>
    </w:tbl>
    <w:p>
      <w:pPr>
        <w:spacing w:after="120"/>
        <w:jc w:val="center"/>
      </w:pPr>
      <w:r>
        <w:rPr>
          <w:rFonts w:ascii="Arial" w:cs="Arial" w:eastAsia="Arial" w:hAnsi="Arial"/>
          <w:i/>
          <w:iCs/>
          <w:color w:val="7F8C8D"/>
          <w:sz w:val="18"/>
          <w:szCs w:val="18"/>
        </w:rPr>
        <w:t xml:space="preserve">Table 4. Five-axis Evidence Confidence Scoring system (RCMXT).</w:t>
      </w:r>
    </w:p>
    <w:p>
      <w:pPr>
        <w:spacing w:after="160"/>
      </w:pPr>
      <w:r>
        <w:rPr>
          <w:rFonts w:ascii="Arial" w:cs="Arial" w:eastAsia="Arial" w:hAnsi="Arial"/>
          <w:sz w:val="22"/>
          <w:szCs w:val="22"/>
        </w:rPr>
        <w:t xml:space="preserve">Each axis is scored 0.0–1.0, producing a confidence profile vector [R, C, M, X, T]. Example: “Gene X is upregulated in spaceflight” → [0.7, 0.4, 0.6, 0.8, 0.5] indicates moderate reproducibility, low generalizability (LEO short-duration only), moderate study quality, strong multi-omics agreement, but recent finding. This vector provides </w:t>
      </w:r>
      <w:r>
        <w:rPr>
          <w:rFonts w:ascii="Arial" w:cs="Arial" w:eastAsia="Arial" w:hAnsi="Arial"/>
          <w:b/>
          <w:bCs/>
          <w:sz w:val="22"/>
          <w:szCs w:val="22"/>
        </w:rPr>
        <w:t xml:space="preserve">actionable intelligence</w:t>
      </w:r>
      <w:r>
        <w:rPr>
          <w:rFonts w:ascii="Arial" w:cs="Arial" w:eastAsia="Arial" w:hAnsi="Arial"/>
          <w:sz w:val="22"/>
          <w:szCs w:val="22"/>
        </w:rPr>
        <w:t xml:space="preserve"> for the Research Director: the low C score suggests the next experiment should test whether the effect holds in different mission profiles; the low T score suggests waiting for replication before building downstream hypotheses.</w:t>
      </w:r>
    </w:p>
    <w:p>
      <w:r>
        <w:br w:type="page"/>
      </w:r>
    </w:p>
    <w:p>
      <w:pPr>
        <w:pStyle w:val="Heading1"/>
      </w:pPr>
      <w:r>
        <w:t xml:space="preserve">5. Core Innovation II: Negative Results Integration Module</w:t>
      </w:r>
    </w:p>
    <w:p>
      <w:pPr>
        <w:spacing w:after="160"/>
      </w:pPr>
      <w:r>
        <w:rPr>
          <w:rFonts w:ascii="Arial" w:cs="Arial" w:eastAsia="Arial" w:hAnsi="Arial"/>
          <w:sz w:val="22"/>
          <w:szCs w:val="22"/>
        </w:rPr>
        <w:t xml:space="preserve">Publication bias creates an enormous blind spot in biological research. Positive results are 3x more likely to be published, and by 2007, 85.9% of published findings reported positive results (Fanelli, 2012). This means AI systems trained on published literature operate with a severely distorted view of reality. The Negative Results Integration Module addresses this through four data sources:</w:t>
      </w:r>
    </w:p>
    <w:p>
      <w:pPr>
        <w:pStyle w:val="Heading2"/>
      </w:pPr>
      <w:r>
        <w:t xml:space="preserve">5.1 Shadow Literature Mining</w:t>
      </w:r>
    </w:p>
    <w:p>
      <w:pPr>
        <w:spacing w:after="160"/>
      </w:pPr>
      <w:r>
        <w:rPr>
          <w:rFonts w:ascii="Arial" w:cs="Arial" w:eastAsia="Arial" w:hAnsi="Arial"/>
          <w:sz w:val="22"/>
          <w:szCs w:val="22"/>
        </w:rPr>
        <w:t xml:space="preserve">Published papers contain implicit negative results buried in methods sections and supplementary materials. Researchers frequently write “We initially attempted X but found Y, so we switched to Z.” These throwaway mentions represent highly valuable negative data. The module systematically extracts these implicit negative results using NLP patterns targeting: failed conditions (“did not work,” “was unsuccessful,” “failed to reproduce”), protocol pivots (“switched to,” “optimized by changing,” “after initial attempts”), troubleshooting notes in supplementary protocols, and retracted findings with retraction reasons.</w:t>
      </w:r>
    </w:p>
    <w:p>
      <w:pPr>
        <w:pStyle w:val="Heading2"/>
      </w:pPr>
      <w:r>
        <w:t xml:space="preserve">5.2 Preprint-Publication Delta Analysis</w:t>
      </w:r>
    </w:p>
    <w:p>
      <w:pPr>
        <w:spacing w:after="160"/>
      </w:pPr>
      <w:r>
        <w:rPr>
          <w:rFonts w:ascii="Arial" w:cs="Arial" w:eastAsia="Arial" w:hAnsi="Arial"/>
          <w:sz w:val="22"/>
          <w:szCs w:val="22"/>
        </w:rPr>
        <w:t xml:space="preserve">Comparing preprint versions (bioRxiv/medRxiv) with final published versions reveals what was removed during peer review. Figures dropped between preprint and publication, conclusions softened or reversed, entire experimental arms removed, and supplementary data available in preprints but absent from final publications. These deltas often represent negative or inconclusive results that reviewers or editors pressured authors to remove.</w:t>
      </w:r>
    </w:p>
    <w:p>
      <w:pPr>
        <w:pStyle w:val="Heading2"/>
      </w:pPr>
      <w:r>
        <w:t xml:space="preserve">5.3 Clinical Trial Failure Mining</w:t>
      </w:r>
    </w:p>
    <w:p>
      <w:pPr>
        <w:spacing w:after="160"/>
      </w:pPr>
      <w:r>
        <w:rPr>
          <w:rFonts w:ascii="Arial" w:cs="Arial" w:eastAsia="Arial" w:hAnsi="Arial"/>
          <w:sz w:val="22"/>
          <w:szCs w:val="22"/>
        </w:rPr>
        <w:t xml:space="preserve">ClinicalTrials.gov mandates registration of clinical trials. Terminated and completed-without-publication trials represent a rich source of structured negative data. The module extracts: trial termination reasons (futility, toxicity, enrollment failure, sponsor decision), primary endpoints not met in completed trials, adverse events documented in safety reports, and subgroup analyses showing differential response.</w:t>
      </w:r>
    </w:p>
    <w:p>
      <w:pPr>
        <w:pStyle w:val="Heading2"/>
      </w:pPr>
      <w:r>
        <w:t xml:space="preserve">5.4 Internal Lab Knowledge Base</w:t>
      </w:r>
    </w:p>
    <w:p>
      <w:pPr>
        <w:spacing w:after="160"/>
      </w:pPr>
      <w:r>
        <w:rPr>
          <w:rFonts w:ascii="Arial" w:cs="Arial" w:eastAsia="Arial" w:hAnsi="Arial"/>
          <w:sz w:val="22"/>
          <w:szCs w:val="22"/>
        </w:rPr>
        <w:t xml:space="preserve">The module accepts structured input from the research team’s own experimental history—the “file drawer” that every lab maintains informally. This includes: protocols that failed with specific conditions, reagent lots or vendor-specific issues, instrument settings that did not produce usable data, and analysis approaches that yielded artifacts or uninterpretable results.</w:t>
      </w:r>
    </w:p>
    <w:p>
      <w:pPr>
        <w:pBdr>
          <w:left w:val="single" w:color="2E86C1" w:sz="12" w:space="8"/>
        </w:pBdr>
        <w:shd w:fill="E8F8F5" w:val="clear"/>
        <w:spacing w:before="200" w:after="80"/>
      </w:pPr>
      <w:r>
        <w:rPr>
          <w:rFonts w:ascii="Arial" w:cs="Arial" w:eastAsia="Arial" w:hAnsi="Arial"/>
          <w:b/>
          <w:bCs/>
          <w:color w:val="1B4F72"/>
          <w:sz w:val="22"/>
          <w:szCs w:val="22"/>
        </w:rPr>
        <w:t xml:space="preserve">Example: Negative Results Knowledge Graph Node</w:t>
      </w:r>
    </w:p>
    <w:p>
      <w:pPr>
        <w:pBdr>
          <w:left w:val="single" w:color="2E86C1" w:sz="12" w:space="8"/>
        </w:pBdr>
        <w:shd w:fill="E8F8F5" w:val="clear"/>
        <w:spacing w:after="200"/>
      </w:pPr>
      <w:r>
        <w:rPr>
          <w:rFonts w:ascii="Arial" w:cs="Arial" w:eastAsia="Arial" w:hAnsi="Arial"/>
          <w:sz w:val="21"/>
          <w:szCs w:val="21"/>
        </w:rPr>
        <w:t xml:space="preserve">NODE: DOGMA-seq on cryopreserved PBMCs
FAILED WHEN: freeze-thaw cycles &gt; 2 | Reason: membrane integrity loss → low ATAC quality | Source: internal lab note, 2024-03 | Confidence: high (n=5 attempts)
FAILED WHEN: thaw temperature &gt; 39°C | Reason: protein denaturation → poor surface protein staining | Source: internal lab note, 2024-05 | Confidence: medium (n=2 attempts)
SUCCEEDED WHEN: slow freeze (-1°C/min), single thaw at 37°C, processing within 30 min | Source: 10x Genomics protocol + lab optimization
This node prevents the Experimental Designer Agent from proposing protocols that have already been shown to fail under specific conditions.</w:t>
      </w:r>
    </w:p>
    <w:p>
      <w:r>
        <w:br w:type="page"/>
      </w:r>
    </w:p>
    <w:p>
      <w:pPr>
        <w:pStyle w:val="Heading1"/>
      </w:pPr>
      <w:r>
        <w:t xml:space="preserve">6. Systematic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950"/>
        <w:gridCol w:w="1660"/>
        <w:gridCol w:w="1950"/>
      </w:tblGrid>
      <w:tr>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Virtual Lab</w:t>
            </w:r>
          </w:p>
        </w:tc>
        <w:tc>
          <w:tcPr>
            <w:tcW w:type="dxa" w:w="195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 Co-Scientist</w:t>
            </w:r>
          </w:p>
        </w:tc>
        <w:tc>
          <w:tcPr>
            <w:tcW w:type="dxa" w:w="1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 Scientist</w:t>
            </w:r>
          </w:p>
        </w:tc>
        <w:tc>
          <w:tcPr>
            <w:tcW w:type="dxa" w:w="195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BioTeam-AI</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Agent role granularity</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3–4 generic</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 (process-based)</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(monolithic)</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7+ (biology function-based)</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Actual data analysis</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Computational tools only</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ML code execution</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Full omics pipelines</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Experimental design</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Dedicated agent</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QA structure</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critic</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Ranking agent</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Automated review</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3 specialized QA agents</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Contradiction handling</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Debate mechanism</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5-type taxonomy + resolution</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Evidence scoring</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Elo rating (scalar)</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Peer review score</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5-axis RCMXT profile</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Negative results</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4-source integration</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Feedback loop</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Unidirectional</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Evolutionary iteration</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Open-ended loop (ML)</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Bidirectional iterative</w:t>
            </w:r>
          </w:p>
        </w:tc>
      </w:tr>
      <w:tr>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Multi-omics integration</w:t>
            </w:r>
          </w:p>
        </w:tc>
        <w:tc>
          <w:tcPr>
            <w:tcW w:type="dxa" w:w="1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5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sz w:val="20"/>
                <w:szCs w:val="20"/>
              </w:rPr>
              <w:t xml:space="preserve">Dedicated agent</w:t>
            </w:r>
          </w:p>
        </w:tc>
      </w:tr>
    </w:tbl>
    <w:p>
      <w:pPr>
        <w:spacing w:after="120"/>
        <w:jc w:val="center"/>
      </w:pPr>
      <w:r>
        <w:rPr>
          <w:rFonts w:ascii="Arial" w:cs="Arial" w:eastAsia="Arial" w:hAnsi="Arial"/>
          <w:i/>
          <w:iCs/>
          <w:color w:val="7F8C8D"/>
          <w:sz w:val="18"/>
          <w:szCs w:val="18"/>
        </w:rPr>
        <w:t xml:space="preserve">Table 5. Feature comparison: BioTeam-AI vs. existing AI scientist systems.</w:t>
      </w:r>
    </w:p>
    <w:p>
      <w:r>
        <w:br w:type="page"/>
      </w:r>
    </w:p>
    <w:p>
      <w:pPr>
        <w:pStyle w:val="Heading1"/>
      </w:pPr>
      <w:r>
        <w:t xml:space="preserve">7. Illustrative Case Study: Space Anemia</w:t>
      </w:r>
    </w:p>
    <w:p>
      <w:pPr>
        <w:spacing w:after="160"/>
      </w:pPr>
      <w:r>
        <w:rPr>
          <w:rFonts w:ascii="Arial" w:cs="Arial" w:eastAsia="Arial" w:hAnsi="Arial"/>
          <w:sz w:val="22"/>
          <w:szCs w:val="22"/>
        </w:rPr>
        <w:t xml:space="preserve">To demonstrate the practical impact of BioTeam-AI’s ambiguity-aware architecture, we trace how the system would process a real research question from spaceflight biology: </w:t>
      </w:r>
      <w:r>
        <w:rPr>
          <w:rFonts w:ascii="Arial" w:cs="Arial" w:eastAsia="Arial" w:hAnsi="Arial"/>
          <w:b/>
          <w:bCs/>
          <w:sz w:val="22"/>
          <w:szCs w:val="22"/>
        </w:rPr>
        <w:t xml:space="preserve">“What is the mechanism of spaceflight-induced anemia and how can it be mitigated?”</w:t>
      </w:r>
    </w:p>
    <w:p>
      <w:pPr>
        <w:pStyle w:val="Heading2"/>
      </w:pPr>
      <w:r>
        <w:t xml:space="preserve">7.1 Step 1: Research Director Decomposes Question</w:t>
      </w:r>
    </w:p>
    <w:p>
      <w:pPr>
        <w:spacing w:after="160"/>
      </w:pPr>
      <w:r>
        <w:rPr>
          <w:rFonts w:ascii="Arial" w:cs="Arial" w:eastAsia="Arial" w:hAnsi="Arial"/>
          <w:sz w:val="22"/>
          <w:szCs w:val="22"/>
        </w:rPr>
        <w:t xml:space="preserve">The Director generates sub-hypotheses: (H1) Spaceflight anemia is caused by neocytolysis (selective destruction of young RBCs). (H2) Spaceflight anemia is caused by bone marrow suppression via radiation. (H3) Spaceflight anemia is an adaptive response to fluid redistribution (headward shift reduces plasma volume, triggering proportional RBC reduction). (H4) Spaceflight anemia involves altered hemoglobin regulation at the epigenetic level.</w:t>
      </w:r>
    </w:p>
    <w:p>
      <w:pPr>
        <w:pStyle w:val="Heading2"/>
      </w:pPr>
      <w:r>
        <w:t xml:space="preserve">7.2 Step 2: Literature Synthesis Agent Maps Contradictions</w:t>
      </w:r>
    </w:p>
    <w:p>
      <w:pPr>
        <w:spacing w:after="160"/>
      </w:pPr>
      <w:r>
        <w:rPr>
          <w:rFonts w:ascii="Arial" w:cs="Arial" w:eastAsia="Arial" w:hAnsi="Arial"/>
          <w:sz w:val="22"/>
          <w:szCs w:val="22"/>
        </w:rPr>
        <w:t xml:space="preserve">The Contradiction Mapper identifies: Trudel et al. (2022, Nature Medicine) reports 54% increase in RBC destruction → supports H1. Meanwhile, Garrett-Bakelman et al. (2019, Science) shows altered erythropoietin signaling → supports H2/H3. The agent classifies this as Type 1 (Conditional Truth): both mechanisms may operate simultaneously, with relative contribution depending on mission duration and individual variation.</w:t>
      </w:r>
    </w:p>
    <w:p>
      <w:pPr>
        <w:pStyle w:val="Heading2"/>
      </w:pPr>
      <w:r>
        <w:t xml:space="preserve">7.3 Step 3: Negative Results Module Constrains Hypothesis Space</w:t>
      </w:r>
    </w:p>
    <w:p>
      <w:pPr>
        <w:spacing w:after="160"/>
      </w:pPr>
      <w:r>
        <w:rPr>
          <w:rFonts w:ascii="Arial" w:cs="Arial" w:eastAsia="Arial" w:hAnsi="Arial"/>
          <w:sz w:val="22"/>
          <w:szCs w:val="22"/>
        </w:rPr>
        <w:t xml:space="preserve">Shadow literature mining reveals: two unpublished studies attempted EPO supplementation as countermeasure with no significant improvement (extracted from NASA Technical Reports). A terminated clinical trial for EPO analog in simulated microgravity showed dose-limiting side effects. This </w:t>
      </w:r>
      <w:r>
        <w:rPr>
          <w:rFonts w:ascii="Arial" w:cs="Arial" w:eastAsia="Arial" w:hAnsi="Arial"/>
          <w:b/>
          <w:bCs/>
          <w:sz w:val="22"/>
          <w:szCs w:val="22"/>
        </w:rPr>
        <w:t xml:space="preserve">eliminates simple EPO supplementation as a viable intervention </w:t>
      </w:r>
      <w:r>
        <w:rPr>
          <w:rFonts w:ascii="Arial" w:cs="Arial" w:eastAsia="Arial" w:hAnsi="Arial"/>
          <w:sz w:val="22"/>
          <w:szCs w:val="22"/>
        </w:rPr>
        <w:t xml:space="preserve">before the team wastes resources exploring it, and shifts focus toward H4 (epigenetic regulation) as a novel direction.</w:t>
      </w:r>
    </w:p>
    <w:p>
      <w:pPr>
        <w:pStyle w:val="Heading2"/>
      </w:pPr>
      <w:r>
        <w:t xml:space="preserve">7.4 Step 4: Omics Analyst Executes Multi-Omics Analysis</w:t>
      </w:r>
    </w:p>
    <w:p>
      <w:pPr>
        <w:spacing w:after="160"/>
      </w:pPr>
      <w:r>
        <w:rPr>
          <w:rFonts w:ascii="Arial" w:cs="Arial" w:eastAsia="Arial" w:hAnsi="Arial"/>
          <w:sz w:val="22"/>
          <w:szCs w:val="22"/>
        </w:rPr>
        <w:t xml:space="preserve">The agent analyzes available multi-omics data from Polaris Dawn and Fram2 missions: DOGMA-seq analysis of PBMCs reveals erythroid progenitor-specific changes in chromatin accessibility at hemoglobin gene loci. RNA-seq shows altered expression of HIF pathway genes. The Integrative Biologist Agent connects these findings: chromatin changes at ATAC-seq level align with gene expression changes, suggesting a coordinated epigenetic mechanism (high Cross-Omics Consistency score: X=0.85).</w:t>
      </w:r>
    </w:p>
    <w:p>
      <w:pPr>
        <w:pStyle w:val="Heading2"/>
      </w:pPr>
      <w:r>
        <w:t xml:space="preserve">7.5 Step 5: QA Layer Validates</w:t>
      </w:r>
    </w:p>
    <w:p>
      <w:pPr>
        <w:spacing w:after="160"/>
      </w:pPr>
      <w:r>
        <w:rPr>
          <w:rFonts w:ascii="Arial" w:cs="Arial" w:eastAsia="Arial" w:hAnsi="Arial"/>
          <w:sz w:val="22"/>
          <w:szCs w:val="22"/>
        </w:rPr>
        <w:t xml:space="preserve">The Statistical Rigor Agent flags that n=4 (Polaris Dawn) limits statistical power for DEG analysis; recommends integration with Fram2 data. The Biological Plausibility Agent confirms that HIF-pathway-mediated hemoglobin regulation is mechanistically plausible in altered oxygen environments. The Reproducibility Agent notes that the finding needs confirmation in an independent mission dataset (Artemis I).</w:t>
      </w:r>
    </w:p>
    <w:p>
      <w:pPr>
        <w:pStyle w:val="Heading2"/>
      </w:pPr>
      <w:r>
        <w:t xml:space="preserve">7.6 Step 6: Bidirectional Loop</w:t>
      </w:r>
    </w:p>
    <w:p>
      <w:pPr>
        <w:spacing w:after="160"/>
      </w:pPr>
      <w:r>
        <w:rPr>
          <w:rFonts w:ascii="Arial" w:cs="Arial" w:eastAsia="Arial" w:hAnsi="Arial"/>
          <w:sz w:val="22"/>
          <w:szCs w:val="22"/>
        </w:rPr>
        <w:t xml:space="preserve">Based on QA feedback, the system iterates: the Research Director refines H4 to be more specific (epigenetic regulation of hemoglobin via HIF pathway in erythroid progenitors). The Experimental Designer proposes a follow-up: CRISPRi targeting of identified regulatory elements in CD34+ cells under simulated microgravity conditions, with power analysis requiring n=6 biological replicates. The Literature Agent re-searches for HIF-pathway inhibitors already in clinical use, identifying potential repurposing candidates.</w:t>
      </w:r>
    </w:p>
    <w:p>
      <w:r>
        <w:br w:type="page"/>
      </w:r>
    </w:p>
    <w:p>
      <w:pPr>
        <w:pStyle w:val="Heading1"/>
      </w:pPr>
      <w:r>
        <w:t xml:space="preserve">8. Proposed Evaluation Framework</w:t>
      </w:r>
    </w:p>
    <w:p>
      <w:pPr>
        <w:spacing w:after="160"/>
      </w:pPr>
      <w:r>
        <w:rPr>
          <w:rFonts w:ascii="Arial" w:cs="Arial" w:eastAsia="Arial" w:hAnsi="Arial"/>
          <w:sz w:val="22"/>
          <w:szCs w:val="22"/>
        </w:rPr>
        <w:t xml:space="preserve">Standard AI scientist evaluations focus on paper quality scores or hypothesis novelty. These metrics are insufficient for assessing an ambiguity-aware system. We propose the following evaluation dimensions:</w:t>
      </w:r>
    </w:p>
    <w:p>
      <w:pPr>
        <w:pStyle w:val="Heading2"/>
      </w:pPr>
      <w:r>
        <w:t xml:space="preserve">8.1 Ambiguity Detection Accuracy</w:t>
      </w:r>
    </w:p>
    <w:p>
      <w:pPr>
        <w:spacing w:after="160"/>
      </w:pPr>
      <w:r>
        <w:rPr>
          <w:rFonts w:ascii="Arial" w:cs="Arial" w:eastAsia="Arial" w:hAnsi="Arial"/>
          <w:sz w:val="22"/>
          <w:szCs w:val="22"/>
        </w:rPr>
        <w:t xml:space="preserve">Given a curated set of known contradictions in biological literature (ground truth constructed by domain experts), measure: precision and recall of contradiction detection, accuracy of five-type taxonomy classification, quality of auto-generated resolution hypotheses (evaluated by domain experts on a 1-5 relevance scale).</w:t>
      </w:r>
    </w:p>
    <w:p>
      <w:pPr>
        <w:pStyle w:val="Heading2"/>
      </w:pPr>
      <w:r>
        <w:t xml:space="preserve">8.2 Evidence Scoring Calibration</w:t>
      </w:r>
    </w:p>
    <w:p>
      <w:pPr>
        <w:spacing w:after="160"/>
      </w:pPr>
      <w:r>
        <w:rPr>
          <w:rFonts w:ascii="Arial" w:cs="Arial" w:eastAsia="Arial" w:hAnsi="Arial"/>
          <w:sz w:val="22"/>
          <w:szCs w:val="22"/>
        </w:rPr>
        <w:t xml:space="preserve">Compare RCMXT scores assigned by the system to expert-assigned scores for a set of well-characterized biological claims. Measure correlation per axis and overall calibration (do claims with higher scores prove more robust in subsequent validation studies?).</w:t>
      </w:r>
    </w:p>
    <w:p>
      <w:pPr>
        <w:pStyle w:val="Heading2"/>
      </w:pPr>
      <w:r>
        <w:t xml:space="preserve">8.3 Negative Results Impact Assessment</w:t>
      </w:r>
    </w:p>
    <w:p>
      <w:pPr>
        <w:spacing w:after="160"/>
      </w:pPr>
      <w:r>
        <w:rPr>
          <w:rFonts w:ascii="Arial" w:cs="Arial" w:eastAsia="Arial" w:hAnsi="Arial"/>
          <w:sz w:val="22"/>
          <w:szCs w:val="22"/>
        </w:rPr>
        <w:t xml:space="preserve">Run the system with and without the Negative Results Module on the same research questions. Measure: how many proposed experiments are already known to fail (waste prevention rate), whether hypothesis quality improves when negative results are included (expert blind evaluation), and time-to-productive-hypothesis comparison.</w:t>
      </w:r>
    </w:p>
    <w:p>
      <w:pPr>
        <w:pStyle w:val="Heading2"/>
      </w:pPr>
      <w:r>
        <w:t xml:space="preserve">8.4 Spaceflight Biology Benchmark Suite</w:t>
      </w:r>
    </w:p>
    <w:p>
      <w:pPr>
        <w:spacing w:after="160"/>
      </w:pPr>
      <w:r>
        <w:rPr>
          <w:rFonts w:ascii="Arial" w:cs="Arial" w:eastAsia="Arial" w:hAnsi="Arial"/>
          <w:sz w:val="22"/>
          <w:szCs w:val="22"/>
        </w:rPr>
        <w:t xml:space="preserve">A domain-specific benchmark using spaceflight biology’s unique properties (small sample sizes, rare access to samples, highly contradictory literature, multi-mission data integration challenges). The benchmark includes: 20 known contradictions with expert-curated resolution variables, 15 negative results extracted from NASA Technical Reports, 10 multi-omics integration tasks with expected cross-omics consistency patterns, and 5 end-to-end research question scenarios with expert-evaluated output quality.</w:t>
      </w:r>
    </w:p>
    <w:p>
      <w:r>
        <w:br w:type="page"/>
      </w:r>
    </w:p>
    <w:p>
      <w:pPr>
        <w:pStyle w:val="Heading1"/>
      </w:pPr>
      <w: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60"/>
        <w:gridCol w:w="30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Venue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Q1–Q2 2026</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Ambiguity Resolution Engine prototype: Contradiction Mapper + RCMXT scoring on spaceflight literature corpus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ICML 2026 Workshop / NeurIPS 2026</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Q2–Q3 2026</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Negative Results Module: shadow mining + preprint delta analysis pipeline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Nature Methods / Bioinformatics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Q3–Q4 2026</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BioTeam-AI integration with multi-agent orchestration; benchmark evaluation on spaceflight biology suite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Nature / Science (perspective or full article)</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Phase 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2027</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Open-source release with documentation; generalization to other biology domains (cancer, immunology, neuroscience)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Community adoption + follow-up studies</w:t>
            </w:r>
          </w:p>
        </w:tc>
      </w:tr>
    </w:tbl>
    <w:p>
      <w:pPr>
        <w:spacing w:after="120"/>
        <w:jc w:val="center"/>
      </w:pPr>
      <w:r>
        <w:rPr>
          <w:rFonts w:ascii="Arial" w:cs="Arial" w:eastAsia="Arial" w:hAnsi="Arial"/>
          <w:i/>
          <w:iCs/>
          <w:color w:val="7F8C8D"/>
          <w:sz w:val="18"/>
          <w:szCs w:val="18"/>
        </w:rPr>
        <w:t xml:space="preserve">Table 6. Phased implementation roadmap.</w:t>
      </w:r>
    </w:p>
    <w:p>
      <w:r>
        <w:br w:type="page"/>
      </w:r>
    </w:p>
    <w:p>
      <w:pPr>
        <w:pStyle w:val="Heading1"/>
      </w:pPr>
      <w:r>
        <w:t xml:space="preserve">10. Key References</w:t>
      </w:r>
    </w:p>
    <w:p>
      <w:pPr>
        <w:spacing w:after="160"/>
      </w:pPr>
      <w:r>
        <w:rPr>
          <w:rFonts w:ascii="Arial" w:cs="Arial" w:eastAsia="Arial" w:hAnsi="Arial"/>
          <w:i/>
          <w:iCs/>
          <w:color w:val="1B4F72"/>
          <w:sz w:val="22"/>
          <w:szCs w:val="22"/>
        </w:rPr>
        <w:t xml:space="preserve">Multi-Agent AI for Science:</w:t>
      </w:r>
    </w:p>
    <w:p>
      <w:pPr>
        <w:spacing w:after="160"/>
      </w:pPr>
      <w:r>
        <w:rPr>
          <w:rFonts w:ascii="Arial" w:cs="Arial" w:eastAsia="Arial" w:hAnsi="Arial"/>
          <w:sz w:val="20"/>
          <w:szCs w:val="20"/>
        </w:rPr>
        <w:t xml:space="preserve">Swanson, K. et al. (2025). The Virtual Lab of AI agents designs new SARS-CoV-2 nanobodies. Nature.</w:t>
      </w:r>
    </w:p>
    <w:p>
      <w:pPr>
        <w:spacing w:after="160"/>
      </w:pPr>
      <w:r>
        <w:rPr>
          <w:rFonts w:ascii="Arial" w:cs="Arial" w:eastAsia="Arial" w:hAnsi="Arial"/>
          <w:sz w:val="20"/>
          <w:szCs w:val="20"/>
        </w:rPr>
        <w:t xml:space="preserve">Gottweis, J. &amp; Natarajan, V. (2025). Towards an AI co-scientist. arXiv:2502.18864. Google Research.</w:t>
      </w:r>
    </w:p>
    <w:p>
      <w:pPr>
        <w:spacing w:after="160"/>
      </w:pPr>
      <w:r>
        <w:rPr>
          <w:rFonts w:ascii="Arial" w:cs="Arial" w:eastAsia="Arial" w:hAnsi="Arial"/>
          <w:sz w:val="20"/>
          <w:szCs w:val="20"/>
        </w:rPr>
        <w:t xml:space="preserve">Lu, C. et al. (2024). The AI Scientist: Towards fully automated open-ended scientific discovery. arXiv:2408.06292. Sakana AI.</w:t>
      </w:r>
    </w:p>
    <w:p>
      <w:pPr>
        <w:spacing w:after="160"/>
      </w:pPr>
      <w:r>
        <w:rPr>
          <w:rFonts w:ascii="Arial" w:cs="Arial" w:eastAsia="Arial" w:hAnsi="Arial"/>
          <w:sz w:val="20"/>
          <w:szCs w:val="20"/>
        </w:rPr>
        <w:t xml:space="preserve">Yamada, Y. et al. (2025). The AI Scientist-v2: Workshop-level automated scientific discovery via agentic tree search. arXiv:2504.08066.</w:t>
      </w:r>
    </w:p>
    <w:p>
      <w:pPr>
        <w:spacing w:after="160"/>
      </w:pPr>
      <w:r>
        <w:rPr>
          <w:rFonts w:ascii="Arial" w:cs="Arial" w:eastAsia="Arial" w:hAnsi="Arial"/>
          <w:sz w:val="20"/>
          <w:szCs w:val="20"/>
        </w:rPr>
        <w:t xml:space="preserve">Schmidgall, S. et al. (2025). Agent Laboratory: Using LLM agents as research assistants. arXiv.</w:t>
      </w:r>
    </w:p>
    <w:p>
      <w:pPr>
        <w:spacing w:after="160"/>
      </w:pPr>
      <w:r>
        <w:rPr>
          <w:rFonts w:ascii="Arial" w:cs="Arial" w:eastAsia="Arial" w:hAnsi="Arial"/>
          <w:i/>
          <w:iCs/>
          <w:color w:val="1B4F72"/>
          <w:sz w:val="22"/>
          <w:szCs w:val="22"/>
        </w:rPr>
        <w:t xml:space="preserve">Publication Bias and Negative Results:</w:t>
      </w:r>
    </w:p>
    <w:p>
      <w:pPr>
        <w:spacing w:after="160"/>
      </w:pPr>
      <w:r>
        <w:rPr>
          <w:rFonts w:ascii="Arial" w:cs="Arial" w:eastAsia="Arial" w:hAnsi="Arial"/>
          <w:sz w:val="20"/>
          <w:szCs w:val="20"/>
        </w:rPr>
        <w:t xml:space="preserve">Fanelli, D. (2012). Negative results are disappearing from most disciplines and countries. Scientometrics, 90, 891–904.</w:t>
      </w:r>
    </w:p>
    <w:p>
      <w:pPr>
        <w:spacing w:after="160"/>
      </w:pPr>
      <w:r>
        <w:rPr>
          <w:rFonts w:ascii="Arial" w:cs="Arial" w:eastAsia="Arial" w:hAnsi="Arial"/>
          <w:sz w:val="20"/>
          <w:szCs w:val="20"/>
        </w:rPr>
        <w:t xml:space="preserve">Ioannidis, J.P.A. (2005). Why most published research findings are false. PLoS Medicine, 2(8), e124.</w:t>
      </w:r>
    </w:p>
    <w:p>
      <w:pPr>
        <w:spacing w:after="160"/>
      </w:pPr>
      <w:r>
        <w:rPr>
          <w:rFonts w:ascii="Arial" w:cs="Arial" w:eastAsia="Arial" w:hAnsi="Arial"/>
          <w:sz w:val="20"/>
          <w:szCs w:val="20"/>
        </w:rPr>
        <w:t xml:space="preserve">Sena, E.S. et al. (2010). Publication bias in reports of animal stroke studies. PLoS Biology, 8(3), e1000344.</w:t>
      </w:r>
    </w:p>
    <w:p>
      <w:pPr>
        <w:spacing w:after="160"/>
      </w:pPr>
      <w:r>
        <w:rPr>
          <w:rFonts w:ascii="Arial" w:cs="Arial" w:eastAsia="Arial" w:hAnsi="Arial"/>
          <w:i/>
          <w:iCs/>
          <w:color w:val="1B4F72"/>
          <w:sz w:val="22"/>
          <w:szCs w:val="22"/>
        </w:rPr>
        <w:t xml:space="preserve">Spaceflight Biology:</w:t>
      </w:r>
    </w:p>
    <w:p>
      <w:pPr>
        <w:spacing w:after="160"/>
      </w:pPr>
      <w:r>
        <w:rPr>
          <w:rFonts w:ascii="Arial" w:cs="Arial" w:eastAsia="Arial" w:hAnsi="Arial"/>
          <w:sz w:val="20"/>
          <w:szCs w:val="20"/>
        </w:rPr>
        <w:t xml:space="preserve">Garrett-Bakelman, F.E. et al. (2019). The NASA Twins Study: A multidimensional analysis of a year-long human spaceflight. Science, 364(6436), eaau8650.</w:t>
      </w:r>
    </w:p>
    <w:p>
      <w:pPr>
        <w:spacing w:after="160"/>
      </w:pPr>
      <w:r>
        <w:rPr>
          <w:rFonts w:ascii="Arial" w:cs="Arial" w:eastAsia="Arial" w:hAnsi="Arial"/>
          <w:sz w:val="20"/>
          <w:szCs w:val="20"/>
        </w:rPr>
        <w:t xml:space="preserve">Trudel, G. et al. (2022). Hemolysis contributes to anemia during long-duration space flight. Nature Medicine, 28, 59–62.</w:t>
      </w:r>
    </w:p>
    <w:p>
      <w:pPr>
        <w:spacing w:after="160"/>
      </w:pPr>
      <w:r>
        <w:rPr>
          <w:rFonts w:ascii="Arial" w:cs="Arial" w:eastAsia="Arial" w:hAnsi="Arial"/>
          <w:sz w:val="20"/>
          <w:szCs w:val="20"/>
        </w:rPr>
        <w:t xml:space="preserve">Kim, J. et al. (2024). Single-cell multi-ome and immune profiles of the Inspiration4 crew reveal cell-type and sex-specific responses to spaceflight. Nature Communications.</w:t>
      </w:r>
    </w:p>
    <w:p>
      <w:pPr>
        <w:spacing w:before="600"/>
      </w:pPr>
    </w:p>
    <w:p>
      <w:pPr>
        <w:pBdr>
          <w:top w:val="single" w:color="BDC3C7" w:sz="1" w:space="12"/>
        </w:pBdr>
        <w:spacing w:before="200"/>
        <w:jc w:val="center"/>
      </w:pPr>
      <w:r>
        <w:rPr>
          <w:rFonts w:ascii="Arial" w:cs="Arial" w:eastAsia="Arial" w:hAnsi="Arial"/>
          <w:i/>
          <w:iCs/>
          <w:color w:val="7F8C8D"/>
          <w:sz w:val="18"/>
          <w:szCs w:val="18"/>
        </w:rPr>
        <w:t xml:space="preserve">This document is a working draft for internal development. Version 1.0 — February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BioTeam-AI: Ambiguity-Aware Multi-Agent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2026-02-17T01:59:45.248Z</dcterms:created>
  <dcterms:modified xsi:type="dcterms:W3CDTF">2026-02-17T01:59:45.248Z</dcterms:modified>
</cp:coreProperties>
</file>

<file path=docProps/custom.xml><?xml version="1.0" encoding="utf-8"?>
<Properties xmlns="http://schemas.openxmlformats.org/officeDocument/2006/custom-properties" xmlns:vt="http://schemas.openxmlformats.org/officeDocument/2006/docPropsVTypes"/>
</file>