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표 병합 시험 (합성 데이터)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가로병합</w:t>
            </w:r>
          </w:p>
        </w:tc>
        <w:tc>
          <w:tcPr>
            <w:tcW w:type="dxa" w:w="2880"/>
          </w:tcPr>
          <w:p>
            <w:r>
              <w:t>칸02</w:t>
            </w:r>
          </w:p>
        </w:tc>
      </w:tr>
      <w:tr>
        <w:tc>
          <w:tcPr>
            <w:tcW w:type="dxa" w:w="2880"/>
          </w:tcPr>
          <w:p>
            <w:r>
              <w:t>칸10</w:t>
            </w:r>
          </w:p>
        </w:tc>
        <w:tc>
          <w:tcPr>
            <w:tcW w:type="dxa" w:w="2880"/>
          </w:tcPr>
          <w:p>
            <w:r>
              <w:t>칸11</w:t>
            </w:r>
          </w:p>
        </w:tc>
        <w:tc>
          <w:tcPr>
            <w:tcW w:type="dxa" w:w="2880"/>
            <w:vMerge w:val="restart"/>
          </w:tcPr>
          <w:p>
            <w:r>
              <w:t>세로병합</w:t>
            </w:r>
          </w:p>
        </w:tc>
      </w:tr>
      <w:tr>
        <w:tc>
          <w:tcPr>
            <w:tcW w:type="dxa" w:w="2880"/>
          </w:tcPr>
          <w:p>
            <w:r>
              <w:t>칸20</w:t>
            </w:r>
          </w:p>
        </w:tc>
        <w:tc>
          <w:tcPr>
            <w:tcW w:type="dxa" w:w="2880"/>
          </w:tcPr>
          <w:p>
            <w:r>
              <w:t>칸21</w:t>
            </w:r>
          </w:p>
        </w:tc>
        <w:tc>
          <w:tcPr>
            <w:tcW w:type="dxa" w:w="2880"/>
            <w:vMerge/>
          </w:tcPr>
          <w:p/>
        </w:tc>
      </w:tr>
    </w:tbl>
    <w:p>
      <w:r>
        <w:t>표 뒤 문단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