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9F16" w14:textId="77777777" w:rsidR="00AD060B" w:rsidRPr="0028687D" w:rsidRDefault="00AD060B" w:rsidP="00AD060B">
      <w:pPr>
        <w:pStyle w:val="Title"/>
        <w:ind w:left="0"/>
        <w:jc w:val="left"/>
        <w:rPr>
          <w:rFonts w:asciiTheme="minorHAnsi" w:eastAsia="Times New Roman" w:hAnsiTheme="minorHAnsi" w:cstheme="minorHAnsi"/>
          <w:lang w:eastAsia="en-CA"/>
        </w:rPr>
      </w:pPr>
      <w:r w:rsidRPr="0028687D">
        <w:rPr>
          <w:rFonts w:asciiTheme="minorHAnsi" w:eastAsia="Times New Roman" w:hAnsiTheme="minorHAnsi" w:cstheme="minorHAnsi"/>
          <w:lang w:eastAsia="en-CA"/>
        </w:rPr>
        <w:t>Construction Mitigation Yearly Report: How-to-read</w:t>
      </w:r>
    </w:p>
    <w:p w14:paraId="6EEDDA71" w14:textId="77777777" w:rsidR="00AD060B" w:rsidRPr="0028687D" w:rsidRDefault="00AD060B" w:rsidP="00AD060B">
      <w:pPr>
        <w:spacing w:line="240" w:lineRule="auto"/>
        <w:outlineLvl w:val="1"/>
        <w:rPr>
          <w:rFonts w:eastAsia="Times New Roman" w:cstheme="minorHAnsi"/>
          <w:color w:val="0E101A"/>
          <w:lang w:eastAsia="en-CA"/>
        </w:rPr>
      </w:pPr>
    </w:p>
    <w:p w14:paraId="35E21DE2" w14:textId="77777777" w:rsidR="00AD060B" w:rsidRPr="00223667" w:rsidRDefault="00AD060B" w:rsidP="00AD060B">
      <w:pPr>
        <w:pStyle w:val="Subtitle"/>
        <w:rPr>
          <w:rFonts w:eastAsia="Times New Roman"/>
          <w:b/>
          <w:bCs/>
          <w:color w:val="2F5496" w:themeColor="accent1" w:themeShade="BF"/>
          <w:sz w:val="24"/>
          <w:szCs w:val="24"/>
          <w:lang w:eastAsia="en-CA"/>
        </w:rPr>
      </w:pPr>
      <w:r w:rsidRPr="00223667">
        <w:rPr>
          <w:rFonts w:eastAsia="Times New Roman"/>
          <w:b/>
          <w:bCs/>
          <w:color w:val="2F5496" w:themeColor="accent1" w:themeShade="BF"/>
          <w:sz w:val="24"/>
          <w:szCs w:val="24"/>
          <w:lang w:eastAsia="en-CA"/>
        </w:rPr>
        <w:t>Introduction</w:t>
      </w:r>
    </w:p>
    <w:p w14:paraId="3EA13241"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 xml:space="preserve">The </w:t>
      </w:r>
      <w:r>
        <w:rPr>
          <w:rFonts w:eastAsia="Times New Roman" w:cstheme="minorHAnsi"/>
          <w:color w:val="0E101A"/>
          <w:lang w:eastAsia="en-CA"/>
        </w:rPr>
        <w:t>yearly</w:t>
      </w:r>
      <w:r w:rsidRPr="00602E87">
        <w:rPr>
          <w:rFonts w:eastAsia="Times New Roman" w:cstheme="minorHAnsi"/>
          <w:color w:val="0E101A"/>
          <w:lang w:eastAsia="en-CA"/>
        </w:rPr>
        <w:t xml:space="preserve"> </w:t>
      </w:r>
      <w:r>
        <w:rPr>
          <w:rFonts w:eastAsia="Times New Roman" w:cstheme="minorHAnsi"/>
          <w:color w:val="0E101A"/>
          <w:lang w:eastAsia="en-CA"/>
        </w:rPr>
        <w:t>report</w:t>
      </w:r>
      <w:r w:rsidRPr="00602E87">
        <w:rPr>
          <w:rFonts w:eastAsia="Times New Roman" w:cstheme="minorHAnsi"/>
          <w:color w:val="0E101A"/>
          <w:lang w:eastAsia="en-CA"/>
        </w:rPr>
        <w:t xml:space="preserve"> is an in-depth</w:t>
      </w:r>
      <w:r>
        <w:rPr>
          <w:rFonts w:eastAsia="Times New Roman" w:cstheme="minorHAnsi"/>
          <w:color w:val="0E101A"/>
          <w:lang w:eastAsia="en-CA"/>
        </w:rPr>
        <w:t xml:space="preserve"> look at the community’s</w:t>
      </w:r>
      <w:r w:rsidRPr="00602E87">
        <w:rPr>
          <w:rFonts w:eastAsia="Times New Roman" w:cstheme="minorHAnsi"/>
          <w:color w:val="0E101A"/>
          <w:lang w:eastAsia="en-CA"/>
        </w:rPr>
        <w:t xml:space="preserve"> overall urban form, infrastructure, demographics,</w:t>
      </w:r>
      <w:r>
        <w:rPr>
          <w:rFonts w:eastAsia="Times New Roman" w:cstheme="minorHAnsi"/>
          <w:color w:val="0E101A"/>
          <w:lang w:eastAsia="en-CA"/>
        </w:rPr>
        <w:t xml:space="preserve"> </w:t>
      </w:r>
      <w:r w:rsidRPr="00602E87">
        <w:rPr>
          <w:rFonts w:eastAsia="Times New Roman" w:cstheme="minorHAnsi"/>
          <w:color w:val="0E101A"/>
          <w:lang w:eastAsia="en-CA"/>
        </w:rPr>
        <w:t>and visitor patterns, all compared to a spatial or temporal benchmark. In this document, we explain the data and methodology behind the</w:t>
      </w:r>
      <w:r>
        <w:rPr>
          <w:rFonts w:eastAsia="Times New Roman" w:cstheme="minorHAnsi"/>
          <w:color w:val="0E101A"/>
          <w:lang w:eastAsia="en-CA"/>
        </w:rPr>
        <w:t xml:space="preserve"> report output</w:t>
      </w:r>
      <w:r w:rsidRPr="00602E87">
        <w:rPr>
          <w:rFonts w:eastAsia="Times New Roman" w:cstheme="minorHAnsi"/>
          <w:color w:val="0E101A"/>
          <w:lang w:eastAsia="en-CA"/>
        </w:rPr>
        <w:t xml:space="preserve"> and how to interpret the results of the metrics and </w:t>
      </w:r>
      <w:r>
        <w:rPr>
          <w:rFonts w:eastAsia="Times New Roman" w:cstheme="minorHAnsi"/>
          <w:color w:val="0E101A"/>
          <w:lang w:eastAsia="en-CA"/>
        </w:rPr>
        <w:t xml:space="preserve">data </w:t>
      </w:r>
      <w:r w:rsidRPr="00602E87">
        <w:rPr>
          <w:rFonts w:eastAsia="Times New Roman" w:cstheme="minorHAnsi"/>
          <w:color w:val="0E101A"/>
          <w:lang w:eastAsia="en-CA"/>
        </w:rPr>
        <w:t>visualizations.</w:t>
      </w:r>
    </w:p>
    <w:p w14:paraId="4911C892" w14:textId="77777777" w:rsidR="00AD060B" w:rsidRPr="00602E87" w:rsidRDefault="00AD060B" w:rsidP="00AD060B">
      <w:pPr>
        <w:spacing w:line="240" w:lineRule="auto"/>
        <w:rPr>
          <w:rFonts w:eastAsia="Times New Roman" w:cstheme="minorHAnsi"/>
          <w:color w:val="0E101A"/>
          <w:lang w:eastAsia="en-CA"/>
        </w:rPr>
      </w:pPr>
    </w:p>
    <w:p w14:paraId="4A486487" w14:textId="77777777" w:rsidR="00AD060B" w:rsidRPr="00EB7E4A" w:rsidRDefault="00AD060B" w:rsidP="00AD060B">
      <w:pPr>
        <w:pStyle w:val="Subtitle"/>
        <w:rPr>
          <w:rFonts w:eastAsia="Times New Roman"/>
          <w:b/>
          <w:bCs/>
          <w:color w:val="2F5496" w:themeColor="accent1" w:themeShade="BF"/>
          <w:sz w:val="24"/>
          <w:szCs w:val="24"/>
          <w:lang w:eastAsia="en-CA"/>
        </w:rPr>
      </w:pPr>
      <w:r w:rsidRPr="00EB7E4A">
        <w:rPr>
          <w:rFonts w:eastAsia="Times New Roman"/>
          <w:b/>
          <w:bCs/>
          <w:color w:val="2F5496" w:themeColor="accent1" w:themeShade="BF"/>
          <w:sz w:val="24"/>
          <w:szCs w:val="24"/>
          <w:lang w:eastAsia="en-CA"/>
        </w:rPr>
        <w:t>Data</w:t>
      </w:r>
    </w:p>
    <w:p w14:paraId="56456090"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Business and Civic Location Data</w:t>
      </w:r>
    </w:p>
    <w:p w14:paraId="3E966621" w14:textId="2EDEDC7D" w:rsidR="00AD060B" w:rsidRDefault="00AD060B" w:rsidP="00AD060B">
      <w:pPr>
        <w:spacing w:line="240" w:lineRule="auto"/>
        <w:rPr>
          <w:rFonts w:eastAsia="Times New Roman" w:cstheme="minorHAnsi"/>
          <w:color w:val="0E101A"/>
          <w:lang w:eastAsia="en-CA"/>
        </w:rPr>
      </w:pPr>
      <w:r>
        <w:rPr>
          <w:rFonts w:eastAsia="Times New Roman" w:cstheme="minorHAnsi"/>
          <w:color w:val="0E101A"/>
          <w:lang w:eastAsia="en-CA"/>
        </w:rPr>
        <w:t>Business and civic location data from</w:t>
      </w:r>
      <w:r w:rsidRPr="00602E87">
        <w:rPr>
          <w:rFonts w:eastAsia="Times New Roman" w:cstheme="minorHAnsi"/>
          <w:color w:val="0E101A"/>
          <w:lang w:eastAsia="en-CA"/>
        </w:rPr>
        <w:t xml:space="preserve"> Environics Analytics provides the </w:t>
      </w:r>
      <w:r>
        <w:rPr>
          <w:rFonts w:eastAsia="Times New Roman" w:cstheme="minorHAnsi"/>
          <w:color w:val="0E101A"/>
          <w:lang w:eastAsia="en-CA"/>
        </w:rPr>
        <w:t>spatial location</w:t>
      </w:r>
      <w:r w:rsidRPr="00602E87">
        <w:rPr>
          <w:rFonts w:eastAsia="Times New Roman" w:cstheme="minorHAnsi"/>
          <w:color w:val="0E101A"/>
          <w:lang w:eastAsia="en-CA"/>
        </w:rPr>
        <w:t xml:space="preserve"> of all business</w:t>
      </w:r>
      <w:r>
        <w:rPr>
          <w:rFonts w:eastAsia="Times New Roman" w:cstheme="minorHAnsi"/>
          <w:color w:val="0E101A"/>
          <w:lang w:eastAsia="en-CA"/>
        </w:rPr>
        <w:t xml:space="preserve"> and civic</w:t>
      </w:r>
      <w:r w:rsidRPr="00602E87">
        <w:rPr>
          <w:rFonts w:eastAsia="Times New Roman" w:cstheme="minorHAnsi"/>
          <w:color w:val="0E101A"/>
          <w:lang w:eastAsia="en-CA"/>
        </w:rPr>
        <w:t xml:space="preserve"> infrastructure tracked by InfoCanada. The data includes the name, address, NAICS code and a unique identifier for over 1.1 million businesses. The business data is used to deriv</w:t>
      </w:r>
      <w:r>
        <w:rPr>
          <w:rFonts w:eastAsia="Times New Roman" w:cstheme="minorHAnsi"/>
          <w:color w:val="0E101A"/>
          <w:lang w:eastAsia="en-CA"/>
        </w:rPr>
        <w:t xml:space="preserve">e </w:t>
      </w:r>
      <w:r w:rsidRPr="00602E87">
        <w:rPr>
          <w:rFonts w:eastAsia="Times New Roman" w:cstheme="minorHAnsi"/>
          <w:color w:val="0E101A"/>
          <w:lang w:eastAsia="en-CA"/>
        </w:rPr>
        <w:t>the presence and composition of two primary infrastructure types</w:t>
      </w:r>
      <w:r>
        <w:rPr>
          <w:rFonts w:eastAsia="Times New Roman" w:cstheme="minorHAnsi"/>
          <w:color w:val="0E101A"/>
          <w:lang w:eastAsia="en-CA"/>
        </w:rPr>
        <w:t xml:space="preserve">, using their respective four and </w:t>
      </w:r>
      <w:r w:rsidR="00485BE3">
        <w:rPr>
          <w:rFonts w:eastAsia="Times New Roman" w:cstheme="minorHAnsi"/>
          <w:color w:val="0E101A"/>
          <w:lang w:eastAsia="en-CA"/>
        </w:rPr>
        <w:t>six-digit</w:t>
      </w:r>
      <w:r>
        <w:rPr>
          <w:rFonts w:eastAsia="Times New Roman" w:cstheme="minorHAnsi"/>
          <w:color w:val="0E101A"/>
          <w:lang w:eastAsia="en-CA"/>
        </w:rPr>
        <w:t xml:space="preserve"> NAICS code</w:t>
      </w:r>
      <w:r w:rsidR="00B17739">
        <w:rPr>
          <w:rFonts w:eastAsia="Times New Roman" w:cstheme="minorHAnsi"/>
          <w:color w:val="0E101A"/>
          <w:lang w:eastAsia="en-CA"/>
        </w:rPr>
        <w:t>s</w:t>
      </w:r>
      <w:r w:rsidRPr="00602E87">
        <w:rPr>
          <w:rFonts w:eastAsia="Times New Roman" w:cstheme="minorHAnsi"/>
          <w:color w:val="0E101A"/>
          <w:lang w:eastAsia="en-CA"/>
        </w:rPr>
        <w:t>:</w:t>
      </w:r>
    </w:p>
    <w:p w14:paraId="2AD8D675" w14:textId="77777777" w:rsidR="00AD060B" w:rsidRDefault="00AD060B" w:rsidP="00AD060B">
      <w:pPr>
        <w:pStyle w:val="ListParagraph"/>
        <w:numPr>
          <w:ilvl w:val="0"/>
          <w:numId w:val="23"/>
        </w:numPr>
        <w:spacing w:after="0" w:line="240" w:lineRule="auto"/>
        <w:rPr>
          <w:rFonts w:eastAsia="Times New Roman" w:cstheme="minorHAnsi"/>
          <w:color w:val="0E101A"/>
          <w:lang w:eastAsia="en-CA"/>
        </w:rPr>
      </w:pPr>
      <w:r>
        <w:rPr>
          <w:rFonts w:eastAsia="Times New Roman" w:cstheme="minorHAnsi"/>
          <w:color w:val="0E101A"/>
          <w:lang w:eastAsia="en-CA"/>
        </w:rPr>
        <w:t>Main Street</w:t>
      </w:r>
      <w:r w:rsidRPr="0028687D">
        <w:rPr>
          <w:rFonts w:eastAsia="Times New Roman" w:cstheme="minorHAnsi"/>
          <w:color w:val="0E101A"/>
          <w:lang w:eastAsia="en-CA"/>
        </w:rPr>
        <w:t xml:space="preserve"> businesses</w:t>
      </w:r>
    </w:p>
    <w:p w14:paraId="5BA81181" w14:textId="77777777" w:rsidR="00AD060B"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R</w:t>
      </w:r>
      <w:r w:rsidRPr="0028687D">
        <w:rPr>
          <w:rFonts w:eastAsia="Times New Roman" w:cstheme="minorHAnsi"/>
          <w:color w:val="0E101A"/>
          <w:lang w:eastAsia="en-CA"/>
        </w:rPr>
        <w:t>etail</w:t>
      </w:r>
    </w:p>
    <w:p w14:paraId="59B47B3F" w14:textId="77777777" w:rsidR="00AD060B"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F</w:t>
      </w:r>
      <w:r w:rsidRPr="0028687D">
        <w:rPr>
          <w:rFonts w:eastAsia="Times New Roman" w:cstheme="minorHAnsi"/>
          <w:color w:val="0E101A"/>
          <w:lang w:eastAsia="en-CA"/>
        </w:rPr>
        <w:t>ood and drink</w:t>
      </w:r>
    </w:p>
    <w:p w14:paraId="7BE9039D" w14:textId="77777777" w:rsidR="00AD060B" w:rsidRPr="0028687D"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L</w:t>
      </w:r>
      <w:r w:rsidRPr="0028687D">
        <w:rPr>
          <w:rFonts w:eastAsia="Times New Roman" w:cstheme="minorHAnsi"/>
          <w:color w:val="0E101A"/>
          <w:lang w:eastAsia="en-CA"/>
        </w:rPr>
        <w:t>ocal services, i.e. post office, barber shop, etc.</w:t>
      </w:r>
    </w:p>
    <w:p w14:paraId="353C952C" w14:textId="77777777" w:rsidR="00AD060B" w:rsidRDefault="00AD060B" w:rsidP="00AD060B">
      <w:pPr>
        <w:pStyle w:val="ListParagraph"/>
        <w:numPr>
          <w:ilvl w:val="0"/>
          <w:numId w:val="23"/>
        </w:numPr>
        <w:spacing w:after="0" w:line="240" w:lineRule="auto"/>
        <w:rPr>
          <w:rFonts w:eastAsia="Times New Roman"/>
          <w:color w:val="0E101A"/>
          <w:lang w:eastAsia="en-CA"/>
        </w:rPr>
      </w:pPr>
      <w:r w:rsidRPr="3866BB65">
        <w:rPr>
          <w:rFonts w:eastAsia="Times New Roman" w:cstheme="minorBidi"/>
          <w:color w:val="0E101A"/>
          <w:lang w:eastAsia="en-CA"/>
        </w:rPr>
        <w:t>Civic Infrastructure</w:t>
      </w:r>
    </w:p>
    <w:p w14:paraId="70338BA1" w14:textId="77777777" w:rsidR="00AD060B"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A</w:t>
      </w:r>
      <w:r w:rsidRPr="0028687D">
        <w:rPr>
          <w:rFonts w:eastAsia="Times New Roman" w:cstheme="minorHAnsi"/>
          <w:color w:val="0E101A"/>
          <w:lang w:eastAsia="en-CA"/>
        </w:rPr>
        <w:t>rts and culture</w:t>
      </w:r>
    </w:p>
    <w:p w14:paraId="048086BE" w14:textId="77777777" w:rsidR="00AD060B"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E</w:t>
      </w:r>
      <w:r w:rsidRPr="0028687D">
        <w:rPr>
          <w:rFonts w:eastAsia="Times New Roman" w:cstheme="minorHAnsi"/>
          <w:color w:val="0E101A"/>
          <w:lang w:eastAsia="en-CA"/>
        </w:rPr>
        <w:t>ducation</w:t>
      </w:r>
    </w:p>
    <w:p w14:paraId="51BDE630" w14:textId="77777777" w:rsidR="00AD060B"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G</w:t>
      </w:r>
      <w:r w:rsidRPr="0028687D">
        <w:rPr>
          <w:rFonts w:eastAsia="Times New Roman" w:cstheme="minorHAnsi"/>
          <w:color w:val="0E101A"/>
          <w:lang w:eastAsia="en-CA"/>
        </w:rPr>
        <w:t>overnment and community services</w:t>
      </w:r>
    </w:p>
    <w:p w14:paraId="7D349DFE" w14:textId="77777777" w:rsidR="00AD060B"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H</w:t>
      </w:r>
      <w:r w:rsidRPr="0028687D">
        <w:rPr>
          <w:rFonts w:eastAsia="Times New Roman" w:cstheme="minorHAnsi"/>
          <w:color w:val="0E101A"/>
          <w:lang w:eastAsia="en-CA"/>
        </w:rPr>
        <w:t>ealthcare</w:t>
      </w:r>
    </w:p>
    <w:p w14:paraId="669E2251" w14:textId="77777777" w:rsidR="00AD060B" w:rsidRDefault="00AD060B" w:rsidP="00AD060B">
      <w:pPr>
        <w:pStyle w:val="ListParagraph"/>
        <w:numPr>
          <w:ilvl w:val="1"/>
          <w:numId w:val="23"/>
        </w:numPr>
        <w:spacing w:after="0" w:line="240" w:lineRule="auto"/>
        <w:rPr>
          <w:rFonts w:eastAsia="Times New Roman" w:cstheme="minorHAnsi"/>
          <w:color w:val="0E101A"/>
          <w:lang w:eastAsia="en-CA"/>
        </w:rPr>
      </w:pPr>
      <w:r>
        <w:rPr>
          <w:rFonts w:eastAsia="Times New Roman" w:cstheme="minorHAnsi"/>
          <w:color w:val="0E101A"/>
          <w:lang w:eastAsia="en-CA"/>
        </w:rPr>
        <w:t>R</w:t>
      </w:r>
      <w:r w:rsidRPr="0028687D">
        <w:rPr>
          <w:rFonts w:eastAsia="Times New Roman" w:cstheme="minorHAnsi"/>
          <w:color w:val="0E101A"/>
          <w:lang w:eastAsia="en-CA"/>
        </w:rPr>
        <w:t>ecreation facilities.</w:t>
      </w:r>
    </w:p>
    <w:p w14:paraId="5B975FCE" w14:textId="77777777" w:rsidR="00AD060B" w:rsidRPr="00602E87" w:rsidRDefault="00AD060B" w:rsidP="00AD060B">
      <w:pPr>
        <w:spacing w:line="240" w:lineRule="auto"/>
        <w:rPr>
          <w:rFonts w:eastAsia="Times New Roman" w:cstheme="minorHAnsi"/>
          <w:color w:val="0E101A"/>
          <w:lang w:eastAsia="en-CA"/>
        </w:rPr>
      </w:pPr>
      <w:r w:rsidRPr="0028687D">
        <w:rPr>
          <w:rFonts w:eastAsia="Times New Roman" w:cstheme="minorHAnsi"/>
          <w:color w:val="0E101A"/>
          <w:lang w:eastAsia="en-CA"/>
        </w:rPr>
        <w:t xml:space="preserve">The business and civic data is used in three </w:t>
      </w:r>
      <w:r>
        <w:rPr>
          <w:rFonts w:eastAsia="Times New Roman" w:cstheme="minorHAnsi"/>
          <w:color w:val="0E101A"/>
          <w:lang w:eastAsia="en-CA"/>
        </w:rPr>
        <w:t>different</w:t>
      </w:r>
      <w:r w:rsidRPr="0028687D">
        <w:rPr>
          <w:rFonts w:eastAsia="Times New Roman" w:cstheme="minorHAnsi"/>
          <w:color w:val="0E101A"/>
          <w:lang w:eastAsia="en-CA"/>
        </w:rPr>
        <w:t xml:space="preserve"> scales within the case study to provide a relative analysis: the </w:t>
      </w:r>
      <w:r>
        <w:rPr>
          <w:rFonts w:eastAsia="Times New Roman" w:cstheme="minorHAnsi"/>
          <w:color w:val="0E101A"/>
          <w:lang w:eastAsia="en-CA"/>
        </w:rPr>
        <w:t xml:space="preserve">defined </w:t>
      </w:r>
      <w:r w:rsidRPr="0028687D">
        <w:rPr>
          <w:rFonts w:eastAsia="Times New Roman" w:cstheme="minorHAnsi"/>
          <w:color w:val="0E101A"/>
          <w:lang w:eastAsia="en-CA"/>
        </w:rPr>
        <w:t xml:space="preserve">study area, </w:t>
      </w:r>
      <w:r>
        <w:rPr>
          <w:rFonts w:eastAsia="Times New Roman" w:cstheme="minorHAnsi"/>
          <w:color w:val="0E101A"/>
          <w:lang w:eastAsia="en-CA"/>
        </w:rPr>
        <w:t>a</w:t>
      </w:r>
      <w:r w:rsidRPr="0028687D">
        <w:rPr>
          <w:rFonts w:eastAsia="Times New Roman" w:cstheme="minorHAnsi"/>
          <w:color w:val="0E101A"/>
          <w:lang w:eastAsia="en-CA"/>
        </w:rPr>
        <w:t xml:space="preserve"> ten-minute walk</w:t>
      </w:r>
      <w:r>
        <w:rPr>
          <w:rFonts w:eastAsia="Times New Roman" w:cstheme="minorHAnsi"/>
          <w:color w:val="0E101A"/>
          <w:lang w:eastAsia="en-CA"/>
        </w:rPr>
        <w:t>shed</w:t>
      </w:r>
      <w:r w:rsidRPr="0028687D">
        <w:rPr>
          <w:rFonts w:eastAsia="Times New Roman" w:cstheme="minorHAnsi"/>
          <w:color w:val="0E101A"/>
          <w:lang w:eastAsia="en-CA"/>
        </w:rPr>
        <w:t xml:space="preserve"> </w:t>
      </w:r>
      <w:r>
        <w:rPr>
          <w:rFonts w:eastAsia="Times New Roman" w:cstheme="minorHAnsi"/>
          <w:color w:val="0E101A"/>
          <w:lang w:eastAsia="en-CA"/>
        </w:rPr>
        <w:t>around the study area</w:t>
      </w:r>
      <w:r w:rsidRPr="0028687D">
        <w:rPr>
          <w:rFonts w:eastAsia="Times New Roman" w:cstheme="minorHAnsi"/>
          <w:color w:val="0E101A"/>
          <w:lang w:eastAsia="en-CA"/>
        </w:rPr>
        <w:t xml:space="preserve">, and the </w:t>
      </w:r>
      <w:r>
        <w:rPr>
          <w:rFonts w:eastAsia="Times New Roman" w:cstheme="minorHAnsi"/>
          <w:color w:val="0E101A"/>
          <w:lang w:eastAsia="en-CA"/>
        </w:rPr>
        <w:t>city</w:t>
      </w:r>
      <w:r w:rsidRPr="0028687D">
        <w:rPr>
          <w:rFonts w:eastAsia="Times New Roman" w:cstheme="minorHAnsi"/>
          <w:color w:val="0E101A"/>
          <w:lang w:eastAsia="en-CA"/>
        </w:rPr>
        <w:t xml:space="preserve"> average, which serves as the primary control. </w:t>
      </w:r>
    </w:p>
    <w:p w14:paraId="59434EA1" w14:textId="77777777" w:rsidR="00AD060B" w:rsidRPr="00602E87" w:rsidRDefault="00AD060B" w:rsidP="00AD060B">
      <w:pPr>
        <w:spacing w:line="240" w:lineRule="auto"/>
        <w:rPr>
          <w:rFonts w:eastAsia="Times New Roman" w:cstheme="minorHAnsi"/>
          <w:color w:val="0E101A"/>
          <w:lang w:eastAsia="en-CA"/>
        </w:rPr>
      </w:pPr>
    </w:p>
    <w:p w14:paraId="062C6CCE"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Demographic Data</w:t>
      </w:r>
    </w:p>
    <w:p w14:paraId="7156C70A"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The demographic data combines proprietary data from Environics Analytics demostats that are updated yearly and open-source data from the 2021 census where the equivalent Environics Data is unavailable. This data is used in the housing and demographic outlook of the case study. The demographic</w:t>
      </w:r>
      <w:r>
        <w:rPr>
          <w:rFonts w:eastAsia="Times New Roman" w:cstheme="minorHAnsi"/>
          <w:color w:val="0E101A"/>
          <w:lang w:eastAsia="en-CA"/>
        </w:rPr>
        <w:t xml:space="preserve"> data</w:t>
      </w:r>
      <w:r w:rsidRPr="00602E87">
        <w:rPr>
          <w:rFonts w:eastAsia="Times New Roman" w:cstheme="minorHAnsi"/>
          <w:color w:val="0E101A"/>
          <w:lang w:eastAsia="en-CA"/>
        </w:rPr>
        <w:t xml:space="preserve"> used for the case study is the weighted average of all Dissemination Areas, the lowest scale of census data, within 1 kilometre of the study area.</w:t>
      </w:r>
    </w:p>
    <w:p w14:paraId="291ED148" w14:textId="77777777" w:rsidR="00AD060B" w:rsidRPr="00602E87" w:rsidRDefault="00AD060B" w:rsidP="00AD060B">
      <w:pPr>
        <w:spacing w:line="240" w:lineRule="auto"/>
        <w:rPr>
          <w:rFonts w:eastAsia="Times New Roman" w:cstheme="minorHAnsi"/>
          <w:color w:val="0E101A"/>
          <w:lang w:eastAsia="en-CA"/>
        </w:rPr>
      </w:pPr>
    </w:p>
    <w:p w14:paraId="1E4F7A5F" w14:textId="77777777" w:rsidR="00AD060B" w:rsidRPr="00602E87" w:rsidRDefault="00AD060B" w:rsidP="00AD060B">
      <w:pPr>
        <w:spacing w:line="240" w:lineRule="auto"/>
        <w:rPr>
          <w:rFonts w:eastAsia="Times New Roman" w:cstheme="minorHAnsi"/>
          <w:color w:val="0E101A"/>
          <w:lang w:eastAsia="en-CA"/>
        </w:rPr>
      </w:pPr>
      <w:r>
        <w:rPr>
          <w:rFonts w:eastAsia="Times New Roman" w:cstheme="minorHAnsi"/>
          <w:b/>
          <w:bCs/>
          <w:color w:val="0E101A"/>
          <w:lang w:eastAsia="en-CA"/>
        </w:rPr>
        <w:t>Mobile Foot Traffic</w:t>
      </w:r>
      <w:r w:rsidRPr="00602E87">
        <w:rPr>
          <w:rFonts w:eastAsia="Times New Roman" w:cstheme="minorHAnsi"/>
          <w:b/>
          <w:bCs/>
          <w:color w:val="0E101A"/>
          <w:lang w:eastAsia="en-CA"/>
        </w:rPr>
        <w:t xml:space="preserve"> Data</w:t>
      </w:r>
    </w:p>
    <w:p w14:paraId="6A163F5D" w14:textId="77777777" w:rsidR="00AD060B"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 xml:space="preserve">Foot traffic data </w:t>
      </w:r>
      <w:r>
        <w:rPr>
          <w:rFonts w:eastAsia="Times New Roman" w:cstheme="minorHAnsi"/>
          <w:color w:val="0E101A"/>
          <w:lang w:eastAsia="en-CA"/>
        </w:rPr>
        <w:t>is</w:t>
      </w:r>
      <w:r w:rsidRPr="00602E87">
        <w:rPr>
          <w:rFonts w:eastAsia="Times New Roman" w:cstheme="minorHAnsi"/>
          <w:color w:val="0E101A"/>
          <w:lang w:eastAsia="en-CA"/>
        </w:rPr>
        <w:t xml:space="preserve"> derived using Environics Analytics Mobilescapes data, a mobile movement database developed from permission-based data collected using location-enabled mobile applications. The mobilescapes data is only taken for the buildings within the study area, providing accurate visitor numbers for the time of day, day of the week and month. In addition, the mobile data also provides visitors' Common daytime (work) and evening (home) locations to analyze visitor types, distances, and changes in spatial patterns over time.</w:t>
      </w:r>
      <w:r>
        <w:rPr>
          <w:rFonts w:eastAsia="Times New Roman" w:cstheme="minorHAnsi"/>
          <w:color w:val="0E101A"/>
          <w:lang w:eastAsia="en-CA"/>
        </w:rPr>
        <w:t xml:space="preserve"> The mobilescapes data for the purpose of our analysis is defined in two ways.</w:t>
      </w:r>
    </w:p>
    <w:p w14:paraId="7289BD1B" w14:textId="77777777" w:rsidR="00AD060B" w:rsidRDefault="00AD060B" w:rsidP="00AD060B">
      <w:pPr>
        <w:pStyle w:val="ListParagraph"/>
        <w:numPr>
          <w:ilvl w:val="0"/>
          <w:numId w:val="24"/>
        </w:numPr>
        <w:spacing w:after="0" w:line="240" w:lineRule="auto"/>
        <w:rPr>
          <w:rFonts w:eastAsia="Times New Roman" w:cstheme="minorHAnsi"/>
          <w:b/>
          <w:bCs/>
          <w:color w:val="0E101A"/>
          <w:lang w:eastAsia="en-CA"/>
        </w:rPr>
      </w:pPr>
      <w:r w:rsidRPr="001C7CA6">
        <w:rPr>
          <w:rFonts w:eastAsia="Times New Roman" w:cstheme="minorHAnsi"/>
          <w:b/>
          <w:bCs/>
          <w:color w:val="0E101A"/>
          <w:lang w:eastAsia="en-CA"/>
        </w:rPr>
        <w:t xml:space="preserve">Visits – Anytime an individual </w:t>
      </w:r>
      <w:r>
        <w:rPr>
          <w:rFonts w:eastAsia="Times New Roman" w:cstheme="minorHAnsi"/>
          <w:b/>
          <w:bCs/>
          <w:color w:val="0E101A"/>
          <w:lang w:eastAsia="en-CA"/>
        </w:rPr>
        <w:t>enters</w:t>
      </w:r>
      <w:r w:rsidRPr="001C7CA6">
        <w:rPr>
          <w:rFonts w:eastAsia="Times New Roman" w:cstheme="minorHAnsi"/>
          <w:b/>
          <w:bCs/>
          <w:color w:val="0E101A"/>
          <w:lang w:eastAsia="en-CA"/>
        </w:rPr>
        <w:t xml:space="preserve"> a building within the study area</w:t>
      </w:r>
      <w:r>
        <w:rPr>
          <w:rFonts w:eastAsia="Times New Roman" w:cstheme="minorHAnsi"/>
          <w:b/>
          <w:bCs/>
          <w:color w:val="0E101A"/>
          <w:lang w:eastAsia="en-CA"/>
        </w:rPr>
        <w:t>, they can</w:t>
      </w:r>
      <w:r w:rsidRPr="001C7CA6">
        <w:rPr>
          <w:rFonts w:eastAsia="Times New Roman" w:cstheme="minorHAnsi"/>
          <w:b/>
          <w:bCs/>
          <w:color w:val="0E101A"/>
          <w:lang w:eastAsia="en-CA"/>
        </w:rPr>
        <w:t xml:space="preserve"> be counted more than once.</w:t>
      </w:r>
    </w:p>
    <w:p w14:paraId="26B12439" w14:textId="524B135A" w:rsidR="00AD060B" w:rsidRDefault="00AD060B" w:rsidP="00AD060B">
      <w:pPr>
        <w:pStyle w:val="ListParagraph"/>
        <w:numPr>
          <w:ilvl w:val="0"/>
          <w:numId w:val="24"/>
        </w:numPr>
        <w:spacing w:after="0" w:line="240" w:lineRule="auto"/>
        <w:rPr>
          <w:rFonts w:eastAsia="Times New Roman" w:cstheme="minorHAnsi"/>
          <w:b/>
          <w:bCs/>
          <w:color w:val="0E101A"/>
          <w:lang w:eastAsia="en-CA"/>
        </w:rPr>
      </w:pPr>
      <w:r w:rsidRPr="001C7CA6">
        <w:rPr>
          <w:rFonts w:eastAsia="Times New Roman" w:cstheme="minorHAnsi"/>
          <w:b/>
          <w:bCs/>
          <w:color w:val="0E101A"/>
          <w:lang w:eastAsia="en-CA"/>
        </w:rPr>
        <w:t xml:space="preserve">Visitor – A unique individual entering any </w:t>
      </w:r>
      <w:r>
        <w:rPr>
          <w:rFonts w:eastAsia="Times New Roman" w:cstheme="minorHAnsi"/>
          <w:b/>
          <w:bCs/>
          <w:color w:val="0E101A"/>
          <w:lang w:eastAsia="en-CA"/>
        </w:rPr>
        <w:t>building within the study area. Can only be counted once.</w:t>
      </w:r>
    </w:p>
    <w:p w14:paraId="253255E3" w14:textId="0E6635C6" w:rsidR="00AD060B" w:rsidRDefault="00AD060B" w:rsidP="00AD060B">
      <w:pPr>
        <w:spacing w:line="240" w:lineRule="auto"/>
        <w:rPr>
          <w:rFonts w:eastAsia="Times New Roman" w:cstheme="minorHAnsi"/>
          <w:b/>
          <w:bCs/>
          <w:color w:val="0E101A"/>
          <w:lang w:eastAsia="en-CA"/>
        </w:rPr>
      </w:pPr>
    </w:p>
    <w:p w14:paraId="02299F49" w14:textId="11D06965" w:rsidR="00AD060B" w:rsidRDefault="00AD060B" w:rsidP="00AD060B">
      <w:pPr>
        <w:spacing w:line="240" w:lineRule="auto"/>
        <w:rPr>
          <w:rFonts w:eastAsia="Times New Roman" w:cstheme="minorHAnsi"/>
          <w:b/>
          <w:bCs/>
          <w:color w:val="0E101A"/>
          <w:lang w:eastAsia="en-CA"/>
        </w:rPr>
      </w:pPr>
    </w:p>
    <w:p w14:paraId="0368122D" w14:textId="4A8E0198" w:rsidR="00AD060B" w:rsidRDefault="00AD060B" w:rsidP="00AD060B">
      <w:pPr>
        <w:spacing w:line="240" w:lineRule="auto"/>
        <w:rPr>
          <w:rFonts w:eastAsia="Times New Roman" w:cstheme="minorHAnsi"/>
          <w:b/>
          <w:bCs/>
          <w:color w:val="0E101A"/>
          <w:lang w:eastAsia="en-CA"/>
        </w:rPr>
      </w:pPr>
    </w:p>
    <w:p w14:paraId="44DFF55E" w14:textId="5ED4E61F" w:rsidR="00AD060B" w:rsidRDefault="00AD060B" w:rsidP="00AD060B">
      <w:pPr>
        <w:spacing w:line="240" w:lineRule="auto"/>
        <w:rPr>
          <w:rFonts w:eastAsia="Times New Roman" w:cstheme="minorHAnsi"/>
          <w:b/>
          <w:bCs/>
          <w:color w:val="0E101A"/>
          <w:lang w:eastAsia="en-CA"/>
        </w:rPr>
      </w:pPr>
    </w:p>
    <w:p w14:paraId="288D1E56" w14:textId="48D1925F" w:rsidR="00AD060B" w:rsidRDefault="00AD060B" w:rsidP="00AD060B">
      <w:pPr>
        <w:spacing w:line="240" w:lineRule="auto"/>
        <w:rPr>
          <w:rFonts w:eastAsia="Times New Roman" w:cstheme="minorHAnsi"/>
          <w:b/>
          <w:bCs/>
          <w:color w:val="0E101A"/>
          <w:lang w:eastAsia="en-CA"/>
        </w:rPr>
      </w:pPr>
    </w:p>
    <w:p w14:paraId="2AE92B24" w14:textId="4E28DBBE" w:rsidR="00AD060B" w:rsidRDefault="00AD060B" w:rsidP="00AD060B">
      <w:pPr>
        <w:spacing w:line="240" w:lineRule="auto"/>
        <w:rPr>
          <w:rFonts w:eastAsia="Times New Roman" w:cstheme="minorHAnsi"/>
          <w:b/>
          <w:bCs/>
          <w:color w:val="0E101A"/>
          <w:lang w:eastAsia="en-CA"/>
        </w:rPr>
      </w:pPr>
    </w:p>
    <w:p w14:paraId="1082F5CC" w14:textId="77777777" w:rsidR="00AD060B" w:rsidRPr="00AD060B" w:rsidRDefault="00AD060B" w:rsidP="00AD060B">
      <w:pPr>
        <w:spacing w:line="240" w:lineRule="auto"/>
        <w:rPr>
          <w:rFonts w:eastAsia="Times New Roman" w:cstheme="minorHAnsi"/>
          <w:b/>
          <w:bCs/>
          <w:color w:val="0E101A"/>
          <w:lang w:eastAsia="en-CA"/>
        </w:rPr>
      </w:pPr>
    </w:p>
    <w:p w14:paraId="74C77399" w14:textId="77777777" w:rsidR="00AD060B" w:rsidRPr="001C7CA6" w:rsidRDefault="00AD060B" w:rsidP="00AD060B">
      <w:pPr>
        <w:spacing w:line="240" w:lineRule="auto"/>
        <w:rPr>
          <w:rFonts w:eastAsia="Times New Roman" w:cstheme="minorHAnsi"/>
          <w:color w:val="0E101A"/>
          <w:lang w:eastAsia="en-CA"/>
        </w:rPr>
      </w:pPr>
    </w:p>
    <w:p w14:paraId="22AAAD12" w14:textId="77777777" w:rsidR="00AD060B" w:rsidRPr="001C7CA6" w:rsidRDefault="00AD060B" w:rsidP="00AD060B">
      <w:pPr>
        <w:spacing w:line="240" w:lineRule="auto"/>
        <w:rPr>
          <w:rFonts w:eastAsia="Times New Roman" w:cstheme="minorHAnsi"/>
          <w:color w:val="0E101A"/>
          <w:lang w:eastAsia="en-CA"/>
        </w:rPr>
      </w:pPr>
    </w:p>
    <w:p w14:paraId="08BE4204" w14:textId="77777777" w:rsidR="00AD060B" w:rsidRPr="0065193A" w:rsidRDefault="00AD060B" w:rsidP="00AD060B">
      <w:pPr>
        <w:pStyle w:val="Subtitle"/>
        <w:rPr>
          <w:rFonts w:eastAsia="Times New Roman"/>
          <w:b/>
          <w:bCs/>
          <w:color w:val="2F5496" w:themeColor="accent1" w:themeShade="BF"/>
          <w:sz w:val="24"/>
          <w:szCs w:val="24"/>
          <w:lang w:eastAsia="en-CA"/>
        </w:rPr>
      </w:pPr>
      <w:r w:rsidRPr="0065193A">
        <w:rPr>
          <w:rFonts w:eastAsia="Times New Roman"/>
          <w:b/>
          <w:bCs/>
          <w:color w:val="2F5496" w:themeColor="accent1" w:themeShade="BF"/>
          <w:sz w:val="24"/>
          <w:szCs w:val="24"/>
          <w:lang w:eastAsia="en-CA"/>
        </w:rPr>
        <w:lastRenderedPageBreak/>
        <w:t>Reading the Case Study</w:t>
      </w:r>
    </w:p>
    <w:p w14:paraId="05F748F5"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Section 1: Summary</w:t>
      </w:r>
    </w:p>
    <w:p w14:paraId="7AB686A3"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 xml:space="preserve">The </w:t>
      </w:r>
      <w:r>
        <w:rPr>
          <w:rFonts w:eastAsia="Times New Roman" w:cstheme="minorHAnsi"/>
          <w:color w:val="0E101A"/>
          <w:lang w:eastAsia="en-CA"/>
        </w:rPr>
        <w:t xml:space="preserve">section 1 </w:t>
      </w:r>
      <w:r w:rsidRPr="00602E87">
        <w:rPr>
          <w:rFonts w:eastAsia="Times New Roman" w:cstheme="minorHAnsi"/>
          <w:color w:val="0E101A"/>
          <w:lang w:eastAsia="en-CA"/>
        </w:rPr>
        <w:t xml:space="preserve">acts as a high-level overview of the </w:t>
      </w:r>
      <w:r>
        <w:rPr>
          <w:rFonts w:eastAsia="Times New Roman" w:cstheme="minorHAnsi"/>
          <w:color w:val="0E101A"/>
          <w:lang w:eastAsia="en-CA"/>
        </w:rPr>
        <w:t>study area</w:t>
      </w:r>
      <w:r w:rsidRPr="00602E87">
        <w:rPr>
          <w:rFonts w:eastAsia="Times New Roman" w:cstheme="minorHAnsi"/>
          <w:color w:val="0E101A"/>
          <w:lang w:eastAsia="en-CA"/>
        </w:rPr>
        <w:t>. The slide is broken up into four primary components.</w:t>
      </w:r>
    </w:p>
    <w:p w14:paraId="47581ECA" w14:textId="77777777" w:rsidR="00AD060B" w:rsidRDefault="00AD060B" w:rsidP="00AD060B">
      <w:pPr>
        <w:numPr>
          <w:ilvl w:val="0"/>
          <w:numId w:val="25"/>
        </w:numPr>
        <w:spacing w:line="240" w:lineRule="auto"/>
        <w:rPr>
          <w:rFonts w:eastAsia="Times New Roman" w:cstheme="minorHAnsi"/>
          <w:color w:val="0E101A"/>
          <w:lang w:eastAsia="en-CA"/>
        </w:rPr>
      </w:pPr>
      <w:r w:rsidRPr="00602E87">
        <w:rPr>
          <w:rFonts w:eastAsia="Times New Roman" w:cstheme="minorHAnsi"/>
          <w:color w:val="0E101A"/>
          <w:lang w:eastAsia="en-CA"/>
        </w:rPr>
        <w:t>A general map of the study area.</w:t>
      </w:r>
    </w:p>
    <w:p w14:paraId="1AA203BA" w14:textId="77777777" w:rsidR="00AD060B" w:rsidRPr="00602E87" w:rsidRDefault="00AD060B" w:rsidP="00AD060B">
      <w:pPr>
        <w:spacing w:line="240" w:lineRule="auto"/>
        <w:ind w:left="720"/>
        <w:rPr>
          <w:rFonts w:eastAsia="Times New Roman" w:cstheme="minorHAnsi"/>
          <w:color w:val="0E101A"/>
          <w:lang w:eastAsia="en-CA"/>
        </w:rPr>
      </w:pPr>
    </w:p>
    <w:p w14:paraId="5475AFF7" w14:textId="77777777" w:rsidR="00AD060B" w:rsidRDefault="00AD060B" w:rsidP="00AD060B">
      <w:pPr>
        <w:numPr>
          <w:ilvl w:val="0"/>
          <w:numId w:val="25"/>
        </w:numPr>
        <w:spacing w:line="240" w:lineRule="auto"/>
        <w:rPr>
          <w:rFonts w:eastAsia="Times New Roman" w:cstheme="minorHAnsi"/>
          <w:color w:val="0E101A"/>
          <w:lang w:eastAsia="en-CA"/>
        </w:rPr>
      </w:pPr>
      <w:r w:rsidRPr="00602E87">
        <w:rPr>
          <w:rFonts w:eastAsia="Times New Roman" w:cstheme="minorHAnsi"/>
          <w:color w:val="0E101A"/>
          <w:lang w:eastAsia="en-CA"/>
        </w:rPr>
        <w:t xml:space="preserve">A high-level summary of the study area's demographics (number of residents, dwellings, and employees), infrastructure </w:t>
      </w:r>
      <w:r>
        <w:rPr>
          <w:rFonts w:eastAsia="Times New Roman" w:cstheme="minorHAnsi"/>
          <w:color w:val="0E101A"/>
          <w:lang w:eastAsia="en-CA"/>
        </w:rPr>
        <w:t>(</w:t>
      </w:r>
      <w:r w:rsidRPr="00602E87">
        <w:rPr>
          <w:rFonts w:eastAsia="Times New Roman" w:cstheme="minorHAnsi"/>
          <w:color w:val="0E101A"/>
          <w:lang w:eastAsia="en-CA"/>
        </w:rPr>
        <w:t>the density of the main street businesses and civic infrastructure defined earlier) and commuting mode share.</w:t>
      </w:r>
    </w:p>
    <w:p w14:paraId="41EC75D1" w14:textId="77777777" w:rsidR="00AD060B" w:rsidRPr="00602E87" w:rsidRDefault="00AD060B" w:rsidP="00AD060B">
      <w:pPr>
        <w:spacing w:line="240" w:lineRule="auto"/>
        <w:rPr>
          <w:rFonts w:eastAsia="Times New Roman" w:cstheme="minorHAnsi"/>
          <w:color w:val="0E101A"/>
          <w:lang w:eastAsia="en-CA"/>
        </w:rPr>
      </w:pPr>
    </w:p>
    <w:p w14:paraId="277099A9" w14:textId="77777777" w:rsidR="00AD060B" w:rsidRDefault="00AD060B" w:rsidP="00AD060B">
      <w:pPr>
        <w:numPr>
          <w:ilvl w:val="0"/>
          <w:numId w:val="25"/>
        </w:numPr>
        <w:spacing w:line="240" w:lineRule="auto"/>
        <w:rPr>
          <w:rFonts w:eastAsia="Times New Roman" w:cstheme="minorHAnsi"/>
          <w:color w:val="0E101A"/>
          <w:lang w:eastAsia="en-CA"/>
        </w:rPr>
      </w:pPr>
      <w:r w:rsidRPr="00602E87">
        <w:rPr>
          <w:rFonts w:eastAsia="Times New Roman" w:cstheme="minorHAnsi"/>
          <w:b/>
          <w:bCs/>
          <w:color w:val="0E101A"/>
          <w:lang w:eastAsia="en-CA"/>
        </w:rPr>
        <w:t>Main Street Composition:</w:t>
      </w:r>
      <w:r w:rsidRPr="00602E87">
        <w:rPr>
          <w:rFonts w:eastAsia="Times New Roman" w:cstheme="minorHAnsi"/>
          <w:color w:val="0E101A"/>
          <w:lang w:eastAsia="en-CA"/>
        </w:rPr>
        <w:t xml:space="preserve"> The p</w:t>
      </w:r>
      <w:r>
        <w:rPr>
          <w:rFonts w:eastAsia="Times New Roman" w:cstheme="minorHAnsi"/>
          <w:color w:val="0E101A"/>
          <w:lang w:eastAsia="en-CA"/>
        </w:rPr>
        <w:t>ercentage difference,</w:t>
      </w:r>
      <w:r w:rsidRPr="00602E87">
        <w:rPr>
          <w:rFonts w:eastAsia="Times New Roman" w:cstheme="minorHAnsi"/>
          <w:color w:val="0E101A"/>
          <w:lang w:eastAsia="en-CA"/>
        </w:rPr>
        <w:t xml:space="preserve"> </w:t>
      </w:r>
      <w:r>
        <w:rPr>
          <w:rFonts w:eastAsia="Times New Roman" w:cstheme="minorHAnsi"/>
          <w:color w:val="0E101A"/>
          <w:lang w:eastAsia="en-CA"/>
        </w:rPr>
        <w:t>between</w:t>
      </w:r>
      <w:r w:rsidRPr="00602E87">
        <w:rPr>
          <w:rFonts w:eastAsia="Times New Roman" w:cstheme="minorHAnsi"/>
          <w:color w:val="0E101A"/>
          <w:lang w:eastAsia="en-CA"/>
        </w:rPr>
        <w:t xml:space="preserve"> </w:t>
      </w:r>
      <w:r>
        <w:rPr>
          <w:rFonts w:eastAsia="Times New Roman" w:cstheme="minorHAnsi"/>
          <w:color w:val="0E101A"/>
          <w:lang w:eastAsia="en-CA"/>
        </w:rPr>
        <w:t>m</w:t>
      </w:r>
      <w:r w:rsidRPr="00602E87">
        <w:rPr>
          <w:rFonts w:eastAsia="Times New Roman" w:cstheme="minorHAnsi"/>
          <w:color w:val="0E101A"/>
          <w:lang w:eastAsia="en-CA"/>
        </w:rPr>
        <w:t xml:space="preserve">ain </w:t>
      </w:r>
      <w:r>
        <w:rPr>
          <w:rFonts w:eastAsia="Times New Roman" w:cstheme="minorHAnsi"/>
          <w:color w:val="0E101A"/>
          <w:lang w:eastAsia="en-CA"/>
        </w:rPr>
        <w:t>s</w:t>
      </w:r>
      <w:r w:rsidRPr="00602E87">
        <w:rPr>
          <w:rFonts w:eastAsia="Times New Roman" w:cstheme="minorHAnsi"/>
          <w:color w:val="0E101A"/>
          <w:lang w:eastAsia="en-CA"/>
        </w:rPr>
        <w:t xml:space="preserve">treet businesses and civic infrastructure relative to the </w:t>
      </w:r>
      <w:r>
        <w:rPr>
          <w:rFonts w:eastAsia="Times New Roman" w:cstheme="minorHAnsi"/>
          <w:color w:val="0E101A"/>
          <w:lang w:eastAsia="en-CA"/>
        </w:rPr>
        <w:t>city</w:t>
      </w:r>
      <w:r w:rsidRPr="00602E87">
        <w:rPr>
          <w:rFonts w:eastAsia="Times New Roman" w:cstheme="minorHAnsi"/>
          <w:color w:val="0E101A"/>
          <w:lang w:eastAsia="en-CA"/>
        </w:rPr>
        <w:t xml:space="preserve"> average. </w:t>
      </w:r>
      <w:r>
        <w:rPr>
          <w:rFonts w:eastAsia="Times New Roman" w:cstheme="minorHAnsi"/>
          <w:color w:val="0E101A"/>
          <w:lang w:eastAsia="en-CA"/>
        </w:rPr>
        <w:t>B</w:t>
      </w:r>
      <w:r w:rsidRPr="00602E87">
        <w:rPr>
          <w:rFonts w:eastAsia="Times New Roman" w:cstheme="minorHAnsi"/>
          <w:color w:val="0E101A"/>
          <w:lang w:eastAsia="en-CA"/>
        </w:rPr>
        <w:t>ars to the right</w:t>
      </w:r>
      <w:r>
        <w:rPr>
          <w:rFonts w:eastAsia="Times New Roman" w:cstheme="minorHAnsi"/>
          <w:color w:val="0E101A"/>
          <w:lang w:eastAsia="en-CA"/>
        </w:rPr>
        <w:t xml:space="preserve"> indicate that the study area</w:t>
      </w:r>
      <w:r w:rsidRPr="00602E87">
        <w:rPr>
          <w:rFonts w:eastAsia="Times New Roman" w:cstheme="minorHAnsi"/>
          <w:color w:val="0E101A"/>
          <w:lang w:eastAsia="en-CA"/>
        </w:rPr>
        <w:t xml:space="preserve"> ha</w:t>
      </w:r>
      <w:r>
        <w:rPr>
          <w:rFonts w:eastAsia="Times New Roman" w:cstheme="minorHAnsi"/>
          <w:color w:val="0E101A"/>
          <w:lang w:eastAsia="en-CA"/>
        </w:rPr>
        <w:t>s</w:t>
      </w:r>
      <w:r w:rsidRPr="00602E87">
        <w:rPr>
          <w:rFonts w:eastAsia="Times New Roman" w:cstheme="minorHAnsi"/>
          <w:color w:val="0E101A"/>
          <w:lang w:eastAsia="en-CA"/>
        </w:rPr>
        <w:t xml:space="preserve"> more of this type of infrastructure than the </w:t>
      </w:r>
      <w:r>
        <w:rPr>
          <w:rFonts w:eastAsia="Times New Roman" w:cstheme="minorHAnsi"/>
          <w:color w:val="0E101A"/>
          <w:lang w:eastAsia="en-CA"/>
        </w:rPr>
        <w:t>city average</w:t>
      </w:r>
      <w:r w:rsidRPr="00602E87">
        <w:rPr>
          <w:rFonts w:eastAsia="Times New Roman" w:cstheme="minorHAnsi"/>
          <w:color w:val="0E101A"/>
          <w:lang w:eastAsia="en-CA"/>
        </w:rPr>
        <w:t>,</w:t>
      </w:r>
      <w:r>
        <w:rPr>
          <w:rFonts w:eastAsia="Times New Roman" w:cstheme="minorHAnsi"/>
          <w:color w:val="0E101A"/>
          <w:lang w:eastAsia="en-CA"/>
        </w:rPr>
        <w:t xml:space="preserve"> while</w:t>
      </w:r>
      <w:r w:rsidRPr="00602E87">
        <w:rPr>
          <w:rFonts w:eastAsia="Times New Roman" w:cstheme="minorHAnsi"/>
          <w:color w:val="0E101A"/>
          <w:lang w:eastAsia="en-CA"/>
        </w:rPr>
        <w:t xml:space="preserve"> bars to the left indicate th</w:t>
      </w:r>
      <w:r>
        <w:rPr>
          <w:rFonts w:eastAsia="Times New Roman" w:cstheme="minorHAnsi"/>
          <w:color w:val="0E101A"/>
          <w:lang w:eastAsia="en-CA"/>
        </w:rPr>
        <w:t xml:space="preserve">e </w:t>
      </w:r>
      <w:r w:rsidRPr="00602E87">
        <w:rPr>
          <w:rFonts w:eastAsia="Times New Roman" w:cstheme="minorHAnsi"/>
          <w:color w:val="0E101A"/>
          <w:lang w:eastAsia="en-CA"/>
        </w:rPr>
        <w:t xml:space="preserve">study </w:t>
      </w:r>
      <w:r>
        <w:rPr>
          <w:rFonts w:eastAsia="Times New Roman" w:cstheme="minorHAnsi"/>
          <w:color w:val="0E101A"/>
          <w:lang w:eastAsia="en-CA"/>
        </w:rPr>
        <w:t xml:space="preserve">area </w:t>
      </w:r>
      <w:r w:rsidRPr="00602E87">
        <w:rPr>
          <w:rFonts w:eastAsia="Times New Roman" w:cstheme="minorHAnsi"/>
          <w:color w:val="0E101A"/>
          <w:lang w:eastAsia="en-CA"/>
        </w:rPr>
        <w:t xml:space="preserve">has less of this infrastructure than the </w:t>
      </w:r>
      <w:r>
        <w:rPr>
          <w:rFonts w:eastAsia="Times New Roman" w:cstheme="minorHAnsi"/>
          <w:color w:val="0E101A"/>
          <w:lang w:eastAsia="en-CA"/>
        </w:rPr>
        <w:t>city average</w:t>
      </w:r>
      <w:r w:rsidRPr="00602E87">
        <w:rPr>
          <w:rFonts w:eastAsia="Times New Roman" w:cstheme="minorHAnsi"/>
          <w:color w:val="0E101A"/>
          <w:lang w:eastAsia="en-CA"/>
        </w:rPr>
        <w:t>.</w:t>
      </w:r>
    </w:p>
    <w:p w14:paraId="25C3ADDB" w14:textId="77777777" w:rsidR="00AD060B" w:rsidRPr="00602E87" w:rsidRDefault="00AD060B" w:rsidP="00AD060B">
      <w:pPr>
        <w:spacing w:line="240" w:lineRule="auto"/>
        <w:rPr>
          <w:rFonts w:eastAsia="Times New Roman" w:cstheme="minorHAnsi"/>
          <w:color w:val="0E101A"/>
          <w:lang w:eastAsia="en-CA"/>
        </w:rPr>
      </w:pPr>
    </w:p>
    <w:p w14:paraId="5EF16CA5" w14:textId="77777777" w:rsidR="00AD060B" w:rsidRDefault="00AD060B" w:rsidP="00AD060B">
      <w:pPr>
        <w:numPr>
          <w:ilvl w:val="0"/>
          <w:numId w:val="25"/>
        </w:numPr>
        <w:spacing w:line="240" w:lineRule="auto"/>
        <w:rPr>
          <w:rFonts w:eastAsia="Times New Roman" w:cstheme="minorHAnsi"/>
          <w:color w:val="0E101A"/>
          <w:lang w:eastAsia="en-CA"/>
        </w:rPr>
      </w:pPr>
      <w:r>
        <w:rPr>
          <w:rFonts w:eastAsia="Times New Roman" w:cstheme="minorHAnsi"/>
          <w:b/>
          <w:bCs/>
          <w:color w:val="0E101A"/>
          <w:lang w:eastAsia="en-CA"/>
        </w:rPr>
        <w:t xml:space="preserve">Yearly Foot Traffic: </w:t>
      </w:r>
      <w:r>
        <w:rPr>
          <w:rFonts w:eastAsia="Times New Roman" w:cstheme="minorHAnsi"/>
          <w:color w:val="0E101A"/>
          <w:lang w:eastAsia="en-CA"/>
        </w:rPr>
        <w:t>T</w:t>
      </w:r>
      <w:r w:rsidRPr="00602E87">
        <w:rPr>
          <w:rFonts w:eastAsia="Times New Roman" w:cstheme="minorHAnsi"/>
          <w:color w:val="0E101A"/>
          <w:lang w:eastAsia="en-CA"/>
        </w:rPr>
        <w:t>he percentage of yearly total visit</w:t>
      </w:r>
      <w:r>
        <w:rPr>
          <w:rFonts w:eastAsia="Times New Roman" w:cstheme="minorHAnsi"/>
          <w:color w:val="0E101A"/>
          <w:lang w:eastAsia="en-CA"/>
        </w:rPr>
        <w:t>s</w:t>
      </w:r>
      <w:r w:rsidRPr="00602E87">
        <w:rPr>
          <w:rFonts w:eastAsia="Times New Roman" w:cstheme="minorHAnsi"/>
          <w:color w:val="0E101A"/>
          <w:lang w:eastAsia="en-CA"/>
        </w:rPr>
        <w:t xml:space="preserve"> relative to 2019.</w:t>
      </w:r>
    </w:p>
    <w:p w14:paraId="6EE1D7B8" w14:textId="77777777" w:rsidR="00AD060B" w:rsidRDefault="00AD060B" w:rsidP="00AD060B">
      <w:pPr>
        <w:spacing w:line="240" w:lineRule="auto"/>
        <w:rPr>
          <w:rFonts w:eastAsia="Times New Roman" w:cstheme="minorHAnsi"/>
          <w:color w:val="0E101A"/>
          <w:lang w:eastAsia="en-CA"/>
        </w:rPr>
      </w:pPr>
    </w:p>
    <w:p w14:paraId="691DAF9E"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 xml:space="preserve">Section </w:t>
      </w:r>
      <w:r>
        <w:rPr>
          <w:rFonts w:eastAsia="Times New Roman" w:cstheme="minorHAnsi"/>
          <w:b/>
          <w:bCs/>
          <w:color w:val="0E101A"/>
          <w:lang w:eastAsia="en-CA"/>
        </w:rPr>
        <w:t>2</w:t>
      </w:r>
      <w:r w:rsidRPr="00602E87">
        <w:rPr>
          <w:rFonts w:eastAsia="Times New Roman" w:cstheme="minorHAnsi"/>
          <w:b/>
          <w:bCs/>
          <w:color w:val="0E101A"/>
          <w:lang w:eastAsia="en-CA"/>
        </w:rPr>
        <w:t>: Local Business Profile</w:t>
      </w:r>
    </w:p>
    <w:p w14:paraId="32E73151"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 xml:space="preserve">Section </w:t>
      </w:r>
      <w:r>
        <w:rPr>
          <w:rFonts w:eastAsia="Times New Roman" w:cstheme="minorHAnsi"/>
          <w:color w:val="0E101A"/>
          <w:lang w:eastAsia="en-CA"/>
        </w:rPr>
        <w:t>2</w:t>
      </w:r>
      <w:r w:rsidRPr="00602E87">
        <w:rPr>
          <w:rFonts w:eastAsia="Times New Roman" w:cstheme="minorHAnsi"/>
          <w:color w:val="0E101A"/>
          <w:lang w:eastAsia="en-CA"/>
        </w:rPr>
        <w:t xml:space="preserve"> </w:t>
      </w:r>
      <w:r>
        <w:rPr>
          <w:rFonts w:eastAsia="Times New Roman" w:cstheme="minorHAnsi"/>
          <w:color w:val="0E101A"/>
          <w:lang w:eastAsia="en-CA"/>
        </w:rPr>
        <w:t>provides</w:t>
      </w:r>
      <w:r w:rsidRPr="00602E87">
        <w:rPr>
          <w:rFonts w:eastAsia="Times New Roman" w:cstheme="minorHAnsi"/>
          <w:color w:val="0E101A"/>
          <w:lang w:eastAsia="en-CA"/>
        </w:rPr>
        <w:t xml:space="preserve"> the spatial location</w:t>
      </w:r>
      <w:r>
        <w:rPr>
          <w:rFonts w:eastAsia="Times New Roman" w:cstheme="minorHAnsi"/>
          <w:color w:val="0E101A"/>
          <w:lang w:eastAsia="en-CA"/>
        </w:rPr>
        <w:t xml:space="preserve"> </w:t>
      </w:r>
      <w:r w:rsidRPr="00602E87">
        <w:rPr>
          <w:rFonts w:eastAsia="Times New Roman" w:cstheme="minorHAnsi"/>
          <w:color w:val="0E101A"/>
          <w:lang w:eastAsia="en-CA"/>
        </w:rPr>
        <w:t>of local main street businesses such as retail, food and drink and local services</w:t>
      </w:r>
      <w:r>
        <w:rPr>
          <w:rFonts w:eastAsia="Times New Roman" w:cstheme="minorHAnsi"/>
          <w:color w:val="0E101A"/>
          <w:lang w:eastAsia="en-CA"/>
        </w:rPr>
        <w:t xml:space="preserve"> as defined earlier</w:t>
      </w:r>
      <w:r w:rsidRPr="00602E87">
        <w:rPr>
          <w:rFonts w:eastAsia="Times New Roman" w:cstheme="minorHAnsi"/>
          <w:color w:val="0E101A"/>
          <w:lang w:eastAsia="en-CA"/>
        </w:rPr>
        <w:t xml:space="preserve"> and </w:t>
      </w:r>
      <w:r>
        <w:rPr>
          <w:rFonts w:eastAsia="Times New Roman" w:cstheme="minorHAnsi"/>
          <w:color w:val="0E101A"/>
          <w:lang w:eastAsia="en-CA"/>
        </w:rPr>
        <w:t xml:space="preserve">the </w:t>
      </w:r>
      <w:r w:rsidRPr="00602E87">
        <w:rPr>
          <w:rFonts w:eastAsia="Times New Roman" w:cstheme="minorHAnsi"/>
          <w:color w:val="0E101A"/>
          <w:lang w:eastAsia="en-CA"/>
        </w:rPr>
        <w:t xml:space="preserve">percentage </w:t>
      </w:r>
      <w:r>
        <w:rPr>
          <w:rFonts w:eastAsia="Times New Roman" w:cstheme="minorHAnsi"/>
          <w:color w:val="0E101A"/>
          <w:lang w:eastAsia="en-CA"/>
        </w:rPr>
        <w:t>breakdown of these businesses</w:t>
      </w:r>
      <w:r w:rsidRPr="00602E87">
        <w:rPr>
          <w:rFonts w:eastAsia="Times New Roman" w:cstheme="minorHAnsi"/>
          <w:color w:val="0E101A"/>
          <w:lang w:eastAsia="en-CA"/>
        </w:rPr>
        <w:t xml:space="preserve"> compared to the ten-minute walkshed and </w:t>
      </w:r>
      <w:r>
        <w:rPr>
          <w:rFonts w:eastAsia="Times New Roman" w:cstheme="minorHAnsi"/>
          <w:color w:val="0E101A"/>
          <w:lang w:eastAsia="en-CA"/>
        </w:rPr>
        <w:t>city</w:t>
      </w:r>
      <w:r w:rsidRPr="00602E87">
        <w:rPr>
          <w:rFonts w:eastAsia="Times New Roman" w:cstheme="minorHAnsi"/>
          <w:color w:val="0E101A"/>
          <w:lang w:eastAsia="en-CA"/>
        </w:rPr>
        <w:t xml:space="preserve"> average.</w:t>
      </w:r>
    </w:p>
    <w:p w14:paraId="6A5BBFFF" w14:textId="77777777" w:rsidR="00AD060B" w:rsidRPr="00602E87" w:rsidRDefault="00AD060B" w:rsidP="00AD060B">
      <w:pPr>
        <w:spacing w:line="240" w:lineRule="auto"/>
        <w:rPr>
          <w:rFonts w:eastAsia="Times New Roman" w:cstheme="minorHAnsi"/>
          <w:color w:val="0E101A"/>
          <w:lang w:eastAsia="en-CA"/>
        </w:rPr>
      </w:pPr>
    </w:p>
    <w:p w14:paraId="5CE19617"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Section 3: Civic Infrastructure</w:t>
      </w:r>
    </w:p>
    <w:p w14:paraId="5547E53E"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 xml:space="preserve">Section three provides a map of the spatial location of civic infrastructure identified earlier (arts and culture, education, government and community services, healthcare, and recreation facilities). Section 3 also contains the percentage of each type of civic infrastructure in the study area, compared to the ten-minute walkshed and </w:t>
      </w:r>
      <w:r>
        <w:rPr>
          <w:rFonts w:eastAsia="Times New Roman" w:cstheme="minorHAnsi"/>
          <w:color w:val="0E101A"/>
          <w:lang w:eastAsia="en-CA"/>
        </w:rPr>
        <w:t>city</w:t>
      </w:r>
      <w:r w:rsidRPr="00602E87">
        <w:rPr>
          <w:rFonts w:eastAsia="Times New Roman" w:cstheme="minorHAnsi"/>
          <w:color w:val="0E101A"/>
          <w:lang w:eastAsia="en-CA"/>
        </w:rPr>
        <w:t xml:space="preserve"> average</w:t>
      </w:r>
      <w:r>
        <w:rPr>
          <w:rFonts w:eastAsia="Times New Roman" w:cstheme="minorHAnsi"/>
          <w:color w:val="0E101A"/>
          <w:lang w:eastAsia="en-CA"/>
        </w:rPr>
        <w:t>.</w:t>
      </w:r>
      <w:r w:rsidRPr="00602E87">
        <w:rPr>
          <w:rFonts w:eastAsia="Times New Roman" w:cstheme="minorHAnsi"/>
          <w:color w:val="0E101A"/>
          <w:lang w:eastAsia="en-CA"/>
        </w:rPr>
        <w:t xml:space="preserve"> </w:t>
      </w:r>
    </w:p>
    <w:p w14:paraId="42326326" w14:textId="77777777" w:rsidR="00AD060B" w:rsidRPr="00602E87" w:rsidRDefault="00AD060B" w:rsidP="00AD060B">
      <w:pPr>
        <w:spacing w:line="240" w:lineRule="auto"/>
        <w:rPr>
          <w:rFonts w:eastAsia="Times New Roman" w:cstheme="minorHAnsi"/>
          <w:color w:val="0E101A"/>
          <w:lang w:eastAsia="en-CA"/>
        </w:rPr>
      </w:pPr>
    </w:p>
    <w:p w14:paraId="22128AAA"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Section 4: Housing</w:t>
      </w:r>
    </w:p>
    <w:p w14:paraId="3C5E57C7"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 xml:space="preserve">Section four provides an overview of housing in the study area based on annual demostats and census data, all compared to the </w:t>
      </w:r>
      <w:r>
        <w:rPr>
          <w:rFonts w:eastAsia="Times New Roman" w:cstheme="minorHAnsi"/>
          <w:color w:val="0E101A"/>
          <w:lang w:eastAsia="en-CA"/>
        </w:rPr>
        <w:t>city</w:t>
      </w:r>
      <w:r w:rsidRPr="00602E87">
        <w:rPr>
          <w:rFonts w:eastAsia="Times New Roman" w:cstheme="minorHAnsi"/>
          <w:color w:val="0E101A"/>
          <w:lang w:eastAsia="en-CA"/>
        </w:rPr>
        <w:t xml:space="preserve"> average.</w:t>
      </w:r>
    </w:p>
    <w:p w14:paraId="0A5A33BB" w14:textId="77777777" w:rsidR="00AD060B" w:rsidRDefault="00AD060B" w:rsidP="00AD060B">
      <w:pPr>
        <w:numPr>
          <w:ilvl w:val="0"/>
          <w:numId w:val="26"/>
        </w:numPr>
        <w:spacing w:line="240" w:lineRule="auto"/>
        <w:rPr>
          <w:rFonts w:eastAsia="Times New Roman" w:cstheme="minorHAnsi"/>
          <w:color w:val="0E101A"/>
          <w:lang w:eastAsia="en-CA"/>
        </w:rPr>
      </w:pPr>
      <w:r w:rsidRPr="00602E87">
        <w:rPr>
          <w:rFonts w:eastAsia="Times New Roman" w:cstheme="minorHAnsi"/>
          <w:b/>
          <w:bCs/>
          <w:color w:val="0E101A"/>
          <w:lang w:eastAsia="en-CA"/>
        </w:rPr>
        <w:t>Housing Tenure:</w:t>
      </w:r>
      <w:r w:rsidRPr="00602E87">
        <w:rPr>
          <w:rFonts w:eastAsia="Times New Roman" w:cstheme="minorHAnsi"/>
          <w:color w:val="0E101A"/>
          <w:lang w:eastAsia="en-CA"/>
        </w:rPr>
        <w:t xml:space="preserve"> The percentage </w:t>
      </w:r>
      <w:r>
        <w:rPr>
          <w:rFonts w:eastAsia="Times New Roman" w:cstheme="minorHAnsi"/>
          <w:color w:val="0E101A"/>
          <w:lang w:eastAsia="en-CA"/>
        </w:rPr>
        <w:t xml:space="preserve">breakdown </w:t>
      </w:r>
      <w:r w:rsidRPr="00602E87">
        <w:rPr>
          <w:rFonts w:eastAsia="Times New Roman" w:cstheme="minorHAnsi"/>
          <w:color w:val="0E101A"/>
          <w:lang w:eastAsia="en-CA"/>
        </w:rPr>
        <w:t xml:space="preserve">of owners compared to renters in the </w:t>
      </w:r>
      <w:r>
        <w:rPr>
          <w:rFonts w:eastAsia="Times New Roman" w:cstheme="minorHAnsi"/>
          <w:color w:val="0E101A"/>
          <w:lang w:eastAsia="en-CA"/>
        </w:rPr>
        <w:t xml:space="preserve">study </w:t>
      </w:r>
      <w:r w:rsidRPr="00602E87">
        <w:rPr>
          <w:rFonts w:eastAsia="Times New Roman" w:cstheme="minorHAnsi"/>
          <w:color w:val="0E101A"/>
          <w:lang w:eastAsia="en-CA"/>
        </w:rPr>
        <w:t>area.</w:t>
      </w:r>
    </w:p>
    <w:p w14:paraId="417F3685" w14:textId="77777777" w:rsidR="00AD060B" w:rsidRPr="00602E87" w:rsidRDefault="00AD060B" w:rsidP="00AD060B">
      <w:pPr>
        <w:spacing w:line="240" w:lineRule="auto"/>
        <w:ind w:left="720"/>
        <w:rPr>
          <w:rFonts w:eastAsia="Times New Roman" w:cstheme="minorHAnsi"/>
          <w:color w:val="0E101A"/>
          <w:lang w:eastAsia="en-CA"/>
        </w:rPr>
      </w:pPr>
    </w:p>
    <w:p w14:paraId="485B5EE3" w14:textId="77777777" w:rsidR="00AD060B" w:rsidRDefault="00AD060B" w:rsidP="00AD060B">
      <w:pPr>
        <w:numPr>
          <w:ilvl w:val="0"/>
          <w:numId w:val="26"/>
        </w:numPr>
        <w:spacing w:line="240" w:lineRule="auto"/>
        <w:rPr>
          <w:rFonts w:eastAsia="Times New Roman" w:cstheme="minorHAnsi"/>
          <w:color w:val="0E101A"/>
          <w:lang w:eastAsia="en-CA"/>
        </w:rPr>
      </w:pPr>
      <w:r w:rsidRPr="00602E87">
        <w:rPr>
          <w:rFonts w:eastAsia="Times New Roman" w:cstheme="minorHAnsi"/>
          <w:b/>
          <w:bCs/>
          <w:color w:val="0E101A"/>
          <w:lang w:eastAsia="en-CA"/>
        </w:rPr>
        <w:t>Housing Construction Year:</w:t>
      </w:r>
      <w:r w:rsidRPr="00602E87">
        <w:rPr>
          <w:rFonts w:eastAsia="Times New Roman" w:cstheme="minorHAnsi"/>
          <w:color w:val="0E101A"/>
          <w:lang w:eastAsia="en-CA"/>
        </w:rPr>
        <w:t xml:space="preserve"> The percentage </w:t>
      </w:r>
      <w:r>
        <w:rPr>
          <w:rFonts w:eastAsia="Times New Roman" w:cstheme="minorHAnsi"/>
          <w:color w:val="0E101A"/>
          <w:lang w:eastAsia="en-CA"/>
        </w:rPr>
        <w:t xml:space="preserve">breakdown </w:t>
      </w:r>
      <w:r w:rsidRPr="00602E87">
        <w:rPr>
          <w:rFonts w:eastAsia="Times New Roman" w:cstheme="minorHAnsi"/>
          <w:color w:val="0E101A"/>
          <w:lang w:eastAsia="en-CA"/>
        </w:rPr>
        <w:t>of housing stock built within a pre-defined time window</w:t>
      </w:r>
      <w:r>
        <w:rPr>
          <w:rFonts w:eastAsia="Times New Roman" w:cstheme="minorHAnsi"/>
          <w:color w:val="0E101A"/>
          <w:lang w:eastAsia="en-CA"/>
        </w:rPr>
        <w:t xml:space="preserve"> compared to the city average</w:t>
      </w:r>
      <w:r w:rsidRPr="00602E87">
        <w:rPr>
          <w:rFonts w:eastAsia="Times New Roman" w:cstheme="minorHAnsi"/>
          <w:color w:val="0E101A"/>
          <w:lang w:eastAsia="en-CA"/>
        </w:rPr>
        <w:t>.</w:t>
      </w:r>
    </w:p>
    <w:p w14:paraId="74540ABF" w14:textId="77777777" w:rsidR="00AD060B" w:rsidRPr="00602E87" w:rsidRDefault="00AD060B" w:rsidP="00AD060B">
      <w:pPr>
        <w:spacing w:line="240" w:lineRule="auto"/>
        <w:rPr>
          <w:rFonts w:eastAsia="Times New Roman" w:cstheme="minorHAnsi"/>
          <w:color w:val="0E101A"/>
          <w:lang w:eastAsia="en-CA"/>
        </w:rPr>
      </w:pPr>
    </w:p>
    <w:p w14:paraId="572D2AE2" w14:textId="77777777" w:rsidR="00AD060B" w:rsidRPr="00342354" w:rsidRDefault="00AD060B" w:rsidP="00AD060B">
      <w:pPr>
        <w:numPr>
          <w:ilvl w:val="0"/>
          <w:numId w:val="26"/>
        </w:numPr>
        <w:spacing w:line="240" w:lineRule="auto"/>
        <w:rPr>
          <w:rFonts w:eastAsia="Times New Roman" w:cstheme="minorHAnsi"/>
          <w:color w:val="0E101A"/>
          <w:lang w:eastAsia="en-CA"/>
        </w:rPr>
      </w:pPr>
      <w:r w:rsidRPr="00602E87">
        <w:rPr>
          <w:rFonts w:eastAsia="Times New Roman" w:cstheme="minorHAnsi"/>
          <w:b/>
          <w:bCs/>
          <w:color w:val="0E101A"/>
          <w:lang w:eastAsia="en-CA"/>
        </w:rPr>
        <w:t>Housing Structure:</w:t>
      </w:r>
      <w:r w:rsidRPr="00602E87">
        <w:rPr>
          <w:rFonts w:eastAsia="Times New Roman" w:cstheme="minorHAnsi"/>
          <w:color w:val="0E101A"/>
          <w:lang w:eastAsia="en-CA"/>
        </w:rPr>
        <w:t> The percentage</w:t>
      </w:r>
      <w:r>
        <w:rPr>
          <w:rFonts w:eastAsia="Times New Roman" w:cstheme="minorHAnsi"/>
          <w:color w:val="0E101A"/>
          <w:lang w:eastAsia="en-CA"/>
        </w:rPr>
        <w:t xml:space="preserve"> breakdown</w:t>
      </w:r>
      <w:r w:rsidRPr="00602E87">
        <w:rPr>
          <w:rFonts w:eastAsia="Times New Roman" w:cstheme="minorHAnsi"/>
          <w:color w:val="0E101A"/>
          <w:lang w:eastAsia="en-CA"/>
        </w:rPr>
        <w:t xml:space="preserve"> of different housing types within the </w:t>
      </w:r>
      <w:r>
        <w:rPr>
          <w:rFonts w:eastAsia="Times New Roman" w:cstheme="minorHAnsi"/>
          <w:color w:val="0E101A"/>
          <w:lang w:eastAsia="en-CA"/>
        </w:rPr>
        <w:t xml:space="preserve">study </w:t>
      </w:r>
      <w:r w:rsidRPr="00602E87">
        <w:rPr>
          <w:rFonts w:eastAsia="Times New Roman" w:cstheme="minorHAnsi"/>
          <w:color w:val="0E101A"/>
          <w:lang w:eastAsia="en-CA"/>
        </w:rPr>
        <w:t>area</w:t>
      </w:r>
      <w:r>
        <w:rPr>
          <w:rFonts w:eastAsia="Times New Roman" w:cstheme="minorHAnsi"/>
          <w:color w:val="0E101A"/>
          <w:lang w:eastAsia="en-CA"/>
        </w:rPr>
        <w:t xml:space="preserve"> compared to the city average</w:t>
      </w:r>
      <w:r w:rsidRPr="00602E87">
        <w:rPr>
          <w:rFonts w:eastAsia="Times New Roman" w:cstheme="minorHAnsi"/>
          <w:color w:val="0E101A"/>
          <w:lang w:eastAsia="en-CA"/>
        </w:rPr>
        <w:t>.</w:t>
      </w:r>
    </w:p>
    <w:p w14:paraId="7AD316B6" w14:textId="77777777" w:rsidR="00AD060B" w:rsidRPr="00602E87" w:rsidRDefault="00AD060B" w:rsidP="00AD060B">
      <w:pPr>
        <w:spacing w:line="240" w:lineRule="auto"/>
        <w:rPr>
          <w:rFonts w:eastAsia="Times New Roman" w:cstheme="minorHAnsi"/>
          <w:color w:val="0E101A"/>
          <w:lang w:eastAsia="en-CA"/>
        </w:rPr>
      </w:pPr>
    </w:p>
    <w:p w14:paraId="0F1B3291" w14:textId="77777777" w:rsidR="00AD060B" w:rsidRDefault="00AD060B" w:rsidP="00AD060B">
      <w:pPr>
        <w:numPr>
          <w:ilvl w:val="0"/>
          <w:numId w:val="26"/>
        </w:numPr>
        <w:spacing w:line="240" w:lineRule="auto"/>
        <w:rPr>
          <w:rFonts w:eastAsia="Times New Roman" w:cstheme="minorHAnsi"/>
          <w:color w:val="0E101A"/>
          <w:lang w:eastAsia="en-CA"/>
        </w:rPr>
      </w:pPr>
      <w:r w:rsidRPr="00602E87">
        <w:rPr>
          <w:rFonts w:eastAsia="Times New Roman" w:cstheme="minorHAnsi"/>
          <w:b/>
          <w:bCs/>
          <w:color w:val="0E101A"/>
          <w:lang w:eastAsia="en-CA"/>
        </w:rPr>
        <w:t>Housing value:</w:t>
      </w:r>
      <w:r w:rsidRPr="00602E87">
        <w:rPr>
          <w:rFonts w:eastAsia="Times New Roman" w:cstheme="minorHAnsi"/>
          <w:color w:val="0E101A"/>
          <w:lang w:eastAsia="en-CA"/>
        </w:rPr>
        <w:t xml:space="preserve"> The average dwelling value and monthly rent in the </w:t>
      </w:r>
      <w:r>
        <w:rPr>
          <w:rFonts w:eastAsia="Times New Roman" w:cstheme="minorHAnsi"/>
          <w:color w:val="0E101A"/>
          <w:lang w:eastAsia="en-CA"/>
        </w:rPr>
        <w:t xml:space="preserve">study </w:t>
      </w:r>
      <w:r w:rsidRPr="00602E87">
        <w:rPr>
          <w:rFonts w:eastAsia="Times New Roman" w:cstheme="minorHAnsi"/>
          <w:color w:val="0E101A"/>
          <w:lang w:eastAsia="en-CA"/>
        </w:rPr>
        <w:t>area</w:t>
      </w:r>
      <w:r>
        <w:rPr>
          <w:rFonts w:eastAsia="Times New Roman" w:cstheme="minorHAnsi"/>
          <w:color w:val="0E101A"/>
          <w:lang w:eastAsia="en-CA"/>
        </w:rPr>
        <w:t xml:space="preserve"> compared to the city average</w:t>
      </w:r>
      <w:r w:rsidRPr="00602E87">
        <w:rPr>
          <w:rFonts w:eastAsia="Times New Roman" w:cstheme="minorHAnsi"/>
          <w:color w:val="0E101A"/>
          <w:lang w:eastAsia="en-CA"/>
        </w:rPr>
        <w:t>.</w:t>
      </w:r>
    </w:p>
    <w:p w14:paraId="216F8E43" w14:textId="77777777" w:rsidR="00AD060B" w:rsidRDefault="00AD060B" w:rsidP="00AD060B">
      <w:pPr>
        <w:pStyle w:val="ListParagraph"/>
        <w:rPr>
          <w:rFonts w:eastAsia="Times New Roman" w:cstheme="minorHAnsi"/>
          <w:color w:val="0E101A"/>
          <w:lang w:eastAsia="en-CA"/>
        </w:rPr>
      </w:pPr>
    </w:p>
    <w:p w14:paraId="4FB172E9" w14:textId="77777777" w:rsidR="00AD060B" w:rsidRPr="00602E87" w:rsidRDefault="00AD060B" w:rsidP="00AD060B">
      <w:pPr>
        <w:spacing w:line="240" w:lineRule="auto"/>
        <w:rPr>
          <w:rFonts w:eastAsia="Times New Roman" w:cstheme="minorHAnsi"/>
          <w:color w:val="0E101A"/>
          <w:lang w:eastAsia="en-CA"/>
        </w:rPr>
      </w:pPr>
    </w:p>
    <w:p w14:paraId="659234ED" w14:textId="77777777" w:rsidR="00AD060B" w:rsidRPr="00602E87" w:rsidRDefault="00AD060B" w:rsidP="00AD060B">
      <w:pPr>
        <w:spacing w:line="240" w:lineRule="auto"/>
        <w:rPr>
          <w:rFonts w:eastAsia="Times New Roman" w:cstheme="minorHAnsi"/>
          <w:color w:val="0E101A"/>
          <w:lang w:eastAsia="en-CA"/>
        </w:rPr>
      </w:pPr>
    </w:p>
    <w:p w14:paraId="35055199"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Section 5: Local Demographics</w:t>
      </w:r>
    </w:p>
    <w:p w14:paraId="28182AD5"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 xml:space="preserve">Section five provides insight into the </w:t>
      </w:r>
      <w:r>
        <w:rPr>
          <w:rFonts w:eastAsia="Times New Roman" w:cstheme="minorHAnsi"/>
          <w:color w:val="0E101A"/>
          <w:lang w:eastAsia="en-CA"/>
        </w:rPr>
        <w:t>area</w:t>
      </w:r>
      <w:r w:rsidRPr="00602E87">
        <w:rPr>
          <w:rFonts w:eastAsia="Times New Roman" w:cstheme="minorHAnsi"/>
          <w:color w:val="0E101A"/>
          <w:lang w:eastAsia="en-CA"/>
        </w:rPr>
        <w:t xml:space="preserve"> using a combination of demostats and 2021 census data where applicable.</w:t>
      </w:r>
    </w:p>
    <w:p w14:paraId="422FF576" w14:textId="77777777" w:rsidR="00AD060B" w:rsidRDefault="00AD060B" w:rsidP="00AD060B">
      <w:pPr>
        <w:numPr>
          <w:ilvl w:val="0"/>
          <w:numId w:val="27"/>
        </w:numPr>
        <w:spacing w:line="240" w:lineRule="auto"/>
        <w:rPr>
          <w:rFonts w:eastAsia="Times New Roman" w:cstheme="minorHAnsi"/>
          <w:color w:val="0E101A"/>
          <w:lang w:eastAsia="en-CA"/>
        </w:rPr>
      </w:pPr>
      <w:r w:rsidRPr="00602E87">
        <w:rPr>
          <w:rFonts w:eastAsia="Times New Roman" w:cstheme="minorHAnsi"/>
          <w:b/>
          <w:bCs/>
          <w:color w:val="0E101A"/>
          <w:lang w:eastAsia="en-CA"/>
        </w:rPr>
        <w:t>Population Pyramid:</w:t>
      </w:r>
      <w:r w:rsidRPr="00602E87">
        <w:rPr>
          <w:rFonts w:eastAsia="Times New Roman" w:cstheme="minorHAnsi"/>
          <w:color w:val="0E101A"/>
          <w:lang w:eastAsia="en-CA"/>
        </w:rPr>
        <w:t xml:space="preserve"> The percentage</w:t>
      </w:r>
      <w:r>
        <w:rPr>
          <w:rFonts w:eastAsia="Times New Roman" w:cstheme="minorHAnsi"/>
          <w:color w:val="0E101A"/>
          <w:lang w:eastAsia="en-CA"/>
        </w:rPr>
        <w:t xml:space="preserve"> breakdown</w:t>
      </w:r>
      <w:r w:rsidRPr="00602E87">
        <w:rPr>
          <w:rFonts w:eastAsia="Times New Roman" w:cstheme="minorHAnsi"/>
          <w:color w:val="0E101A"/>
          <w:lang w:eastAsia="en-CA"/>
        </w:rPr>
        <w:t xml:space="preserve"> of males (left) and females (right) based on pre-defined age bands within the study area (blue bars) compared to the </w:t>
      </w:r>
      <w:r>
        <w:rPr>
          <w:rFonts w:eastAsia="Times New Roman" w:cstheme="minorHAnsi"/>
          <w:color w:val="0E101A"/>
          <w:lang w:eastAsia="en-CA"/>
        </w:rPr>
        <w:t>city</w:t>
      </w:r>
      <w:r w:rsidRPr="00602E87">
        <w:rPr>
          <w:rFonts w:eastAsia="Times New Roman" w:cstheme="minorHAnsi"/>
          <w:color w:val="0E101A"/>
          <w:lang w:eastAsia="en-CA"/>
        </w:rPr>
        <w:t xml:space="preserve"> average (red bars)</w:t>
      </w:r>
      <w:r>
        <w:rPr>
          <w:rFonts w:eastAsia="Times New Roman" w:cstheme="minorHAnsi"/>
          <w:color w:val="0E101A"/>
          <w:lang w:eastAsia="en-CA"/>
        </w:rPr>
        <w:t>.</w:t>
      </w:r>
    </w:p>
    <w:p w14:paraId="44E87FAA" w14:textId="77777777" w:rsidR="00AD060B" w:rsidRPr="00602E87" w:rsidRDefault="00AD060B" w:rsidP="00AD060B">
      <w:pPr>
        <w:spacing w:line="240" w:lineRule="auto"/>
        <w:ind w:left="720"/>
        <w:rPr>
          <w:rFonts w:eastAsia="Times New Roman" w:cstheme="minorHAnsi"/>
          <w:color w:val="0E101A"/>
          <w:lang w:eastAsia="en-CA"/>
        </w:rPr>
      </w:pPr>
    </w:p>
    <w:p w14:paraId="267687C2" w14:textId="77777777" w:rsidR="00AD060B" w:rsidRDefault="00AD060B" w:rsidP="00AD060B">
      <w:pPr>
        <w:numPr>
          <w:ilvl w:val="0"/>
          <w:numId w:val="27"/>
        </w:numPr>
        <w:spacing w:line="240" w:lineRule="auto"/>
        <w:rPr>
          <w:rFonts w:eastAsia="Times New Roman" w:cstheme="minorHAnsi"/>
          <w:color w:val="0E101A"/>
          <w:lang w:eastAsia="en-CA"/>
        </w:rPr>
      </w:pPr>
      <w:r w:rsidRPr="00602E87">
        <w:rPr>
          <w:rFonts w:eastAsia="Times New Roman" w:cstheme="minorHAnsi"/>
          <w:b/>
          <w:bCs/>
          <w:color w:val="0E101A"/>
          <w:lang w:eastAsia="en-CA"/>
        </w:rPr>
        <w:t>Income Deciles</w:t>
      </w:r>
      <w:r>
        <w:rPr>
          <w:rFonts w:eastAsia="Times New Roman" w:cstheme="minorHAnsi"/>
          <w:b/>
          <w:bCs/>
          <w:color w:val="0E101A"/>
          <w:lang w:eastAsia="en-CA"/>
        </w:rPr>
        <w:t>:</w:t>
      </w:r>
      <w:r w:rsidRPr="00602E87">
        <w:rPr>
          <w:rFonts w:eastAsia="Times New Roman" w:cstheme="minorHAnsi"/>
          <w:color w:val="0E101A"/>
          <w:lang w:eastAsia="en-CA"/>
        </w:rPr>
        <w:t xml:space="preserve"> The percentage </w:t>
      </w:r>
      <w:r>
        <w:rPr>
          <w:rFonts w:eastAsia="Times New Roman" w:cstheme="minorHAnsi"/>
          <w:color w:val="0E101A"/>
          <w:lang w:eastAsia="en-CA"/>
        </w:rPr>
        <w:t xml:space="preserve">breakdown </w:t>
      </w:r>
      <w:r w:rsidRPr="00602E87">
        <w:rPr>
          <w:rFonts w:eastAsia="Times New Roman" w:cstheme="minorHAnsi"/>
          <w:color w:val="0E101A"/>
          <w:lang w:eastAsia="en-CA"/>
        </w:rPr>
        <w:t>of residents with</w:t>
      </w:r>
      <w:r>
        <w:rPr>
          <w:rFonts w:eastAsia="Times New Roman" w:cstheme="minorHAnsi"/>
          <w:color w:val="0E101A"/>
          <w:lang w:eastAsia="en-CA"/>
        </w:rPr>
        <w:t>in</w:t>
      </w:r>
      <w:r w:rsidRPr="00602E87">
        <w:rPr>
          <w:rFonts w:eastAsia="Times New Roman" w:cstheme="minorHAnsi"/>
          <w:color w:val="0E101A"/>
          <w:lang w:eastAsia="en-CA"/>
        </w:rPr>
        <w:t xml:space="preserve"> the national</w:t>
      </w:r>
      <w:r>
        <w:rPr>
          <w:rFonts w:eastAsia="Times New Roman" w:cstheme="minorHAnsi"/>
          <w:color w:val="0E101A"/>
          <w:lang w:eastAsia="en-CA"/>
        </w:rPr>
        <w:t>ly defined</w:t>
      </w:r>
      <w:r w:rsidRPr="00602E87">
        <w:rPr>
          <w:rFonts w:eastAsia="Times New Roman" w:cstheme="minorHAnsi"/>
          <w:color w:val="0E101A"/>
          <w:lang w:eastAsia="en-CA"/>
        </w:rPr>
        <w:t xml:space="preserve"> income deciles </w:t>
      </w:r>
      <w:r>
        <w:rPr>
          <w:rFonts w:eastAsia="Times New Roman" w:cstheme="minorHAnsi"/>
          <w:color w:val="0E101A"/>
          <w:lang w:eastAsia="en-CA"/>
        </w:rPr>
        <w:t xml:space="preserve">within the study area </w:t>
      </w:r>
      <w:r w:rsidRPr="00602E87">
        <w:rPr>
          <w:rFonts w:eastAsia="Times New Roman" w:cstheme="minorHAnsi"/>
          <w:color w:val="0E101A"/>
          <w:lang w:eastAsia="en-CA"/>
        </w:rPr>
        <w:t xml:space="preserve">compared to the </w:t>
      </w:r>
      <w:r>
        <w:rPr>
          <w:rFonts w:eastAsia="Times New Roman" w:cstheme="minorHAnsi"/>
          <w:color w:val="0E101A"/>
          <w:lang w:eastAsia="en-CA"/>
        </w:rPr>
        <w:t>city average</w:t>
      </w:r>
      <w:r w:rsidRPr="00602E87">
        <w:rPr>
          <w:rFonts w:eastAsia="Times New Roman" w:cstheme="minorHAnsi"/>
          <w:color w:val="0E101A"/>
          <w:lang w:eastAsia="en-CA"/>
        </w:rPr>
        <w:t>.</w:t>
      </w:r>
    </w:p>
    <w:p w14:paraId="2C42DFA4" w14:textId="77777777" w:rsidR="00AD060B" w:rsidRPr="00D6267F" w:rsidRDefault="00AD060B" w:rsidP="00AD060B">
      <w:pPr>
        <w:spacing w:line="240" w:lineRule="auto"/>
        <w:rPr>
          <w:rFonts w:eastAsia="Times New Roman" w:cstheme="minorHAnsi"/>
          <w:color w:val="0E101A"/>
          <w:lang w:eastAsia="en-CA"/>
        </w:rPr>
      </w:pPr>
    </w:p>
    <w:p w14:paraId="1C8A58F8" w14:textId="77777777" w:rsidR="00AD060B" w:rsidRDefault="00AD060B" w:rsidP="00AD060B">
      <w:pPr>
        <w:numPr>
          <w:ilvl w:val="0"/>
          <w:numId w:val="27"/>
        </w:numPr>
        <w:spacing w:line="240" w:lineRule="auto"/>
        <w:rPr>
          <w:rFonts w:eastAsia="Times New Roman" w:cstheme="minorHAnsi"/>
          <w:color w:val="0E101A"/>
          <w:lang w:eastAsia="en-CA"/>
        </w:rPr>
      </w:pPr>
      <w:r>
        <w:rPr>
          <w:rFonts w:eastAsia="Times New Roman" w:cstheme="minorHAnsi"/>
          <w:b/>
          <w:bCs/>
          <w:color w:val="0E101A"/>
          <w:lang w:eastAsia="en-CA"/>
        </w:rPr>
        <w:t xml:space="preserve">Employment Status: </w:t>
      </w:r>
      <w:r>
        <w:rPr>
          <w:rFonts w:eastAsia="Times New Roman" w:cstheme="minorHAnsi"/>
          <w:color w:val="0E101A"/>
          <w:lang w:eastAsia="en-CA"/>
        </w:rPr>
        <w:t>The percentage breakdown of employment status of individuals in the study area compared to the city average.</w:t>
      </w:r>
    </w:p>
    <w:p w14:paraId="0283D307" w14:textId="77777777" w:rsidR="00AD060B" w:rsidRDefault="00AD060B" w:rsidP="00AD060B">
      <w:pPr>
        <w:spacing w:line="240" w:lineRule="auto"/>
        <w:rPr>
          <w:rFonts w:eastAsia="Times New Roman" w:cstheme="minorHAnsi"/>
          <w:color w:val="0E101A"/>
          <w:lang w:eastAsia="en-CA"/>
        </w:rPr>
      </w:pPr>
    </w:p>
    <w:p w14:paraId="1643581C" w14:textId="77777777" w:rsidR="00AD060B" w:rsidRPr="00D67F40" w:rsidRDefault="00AD060B" w:rsidP="00AD060B">
      <w:pPr>
        <w:pStyle w:val="ListParagraph"/>
        <w:numPr>
          <w:ilvl w:val="0"/>
          <w:numId w:val="27"/>
        </w:numPr>
        <w:spacing w:after="0" w:line="240" w:lineRule="auto"/>
        <w:rPr>
          <w:rFonts w:eastAsia="Times New Roman" w:cstheme="minorHAnsi"/>
          <w:color w:val="0E101A"/>
          <w:lang w:eastAsia="en-CA"/>
        </w:rPr>
      </w:pPr>
      <w:r>
        <w:rPr>
          <w:rFonts w:eastAsia="Times New Roman" w:cstheme="minorHAnsi"/>
          <w:b/>
          <w:bCs/>
          <w:color w:val="0E101A"/>
          <w:lang w:eastAsia="en-CA"/>
        </w:rPr>
        <w:lastRenderedPageBreak/>
        <w:t xml:space="preserve">Family Structure: </w:t>
      </w:r>
      <w:r>
        <w:rPr>
          <w:rFonts w:eastAsia="Times New Roman" w:cstheme="minorHAnsi"/>
          <w:color w:val="0E101A"/>
          <w:lang w:eastAsia="en-CA"/>
        </w:rPr>
        <w:t>The percentage breakdown of family structure for individuals in the study area compared to the city average.</w:t>
      </w:r>
    </w:p>
    <w:p w14:paraId="3097F63A" w14:textId="77777777" w:rsidR="00AD060B" w:rsidRPr="00602E87" w:rsidRDefault="00AD060B" w:rsidP="00AD060B">
      <w:pPr>
        <w:spacing w:line="240" w:lineRule="auto"/>
        <w:rPr>
          <w:rFonts w:eastAsia="Times New Roman" w:cstheme="minorHAnsi"/>
          <w:color w:val="0E101A"/>
          <w:lang w:eastAsia="en-CA"/>
        </w:rPr>
      </w:pPr>
    </w:p>
    <w:p w14:paraId="50CDE78F" w14:textId="77777777" w:rsidR="00AD060B" w:rsidRDefault="00AD060B" w:rsidP="00AD060B">
      <w:pPr>
        <w:numPr>
          <w:ilvl w:val="0"/>
          <w:numId w:val="27"/>
        </w:numPr>
        <w:spacing w:line="240" w:lineRule="auto"/>
        <w:rPr>
          <w:rFonts w:eastAsia="Times New Roman" w:cstheme="minorHAnsi"/>
          <w:color w:val="0E101A"/>
          <w:lang w:eastAsia="en-CA"/>
        </w:rPr>
      </w:pPr>
      <w:r w:rsidRPr="00602E87">
        <w:rPr>
          <w:rFonts w:eastAsia="Times New Roman" w:cstheme="minorHAnsi"/>
          <w:b/>
          <w:bCs/>
          <w:color w:val="0E101A"/>
          <w:lang w:eastAsia="en-CA"/>
        </w:rPr>
        <w:t>Highest Degree Attained:</w:t>
      </w:r>
      <w:r w:rsidRPr="00602E87">
        <w:rPr>
          <w:rFonts w:eastAsia="Times New Roman" w:cstheme="minorHAnsi"/>
          <w:color w:val="0E101A"/>
          <w:lang w:eastAsia="en-CA"/>
        </w:rPr>
        <w:t xml:space="preserve"> </w:t>
      </w:r>
      <w:r>
        <w:rPr>
          <w:rFonts w:eastAsia="Times New Roman" w:cstheme="minorHAnsi"/>
          <w:color w:val="0E101A"/>
          <w:lang w:eastAsia="en-CA"/>
        </w:rPr>
        <w:t>T</w:t>
      </w:r>
      <w:r w:rsidRPr="00602E87">
        <w:rPr>
          <w:rFonts w:eastAsia="Times New Roman" w:cstheme="minorHAnsi"/>
          <w:color w:val="0E101A"/>
          <w:lang w:eastAsia="en-CA"/>
        </w:rPr>
        <w:t xml:space="preserve">he percentage </w:t>
      </w:r>
      <w:r>
        <w:rPr>
          <w:rFonts w:eastAsia="Times New Roman" w:cstheme="minorHAnsi"/>
          <w:color w:val="0E101A"/>
          <w:lang w:eastAsia="en-CA"/>
        </w:rPr>
        <w:t xml:space="preserve">breakdown </w:t>
      </w:r>
      <w:r w:rsidRPr="00602E87">
        <w:rPr>
          <w:rFonts w:eastAsia="Times New Roman" w:cstheme="minorHAnsi"/>
          <w:color w:val="0E101A"/>
          <w:lang w:eastAsia="en-CA"/>
        </w:rPr>
        <w:t xml:space="preserve">of residents based on their highest educational degree attained </w:t>
      </w:r>
      <w:r>
        <w:rPr>
          <w:rFonts w:eastAsia="Times New Roman" w:cstheme="minorHAnsi"/>
          <w:color w:val="0E101A"/>
          <w:lang w:eastAsia="en-CA"/>
        </w:rPr>
        <w:t xml:space="preserve">in the study area </w:t>
      </w:r>
      <w:r w:rsidRPr="00602E87">
        <w:rPr>
          <w:rFonts w:eastAsia="Times New Roman" w:cstheme="minorHAnsi"/>
          <w:color w:val="0E101A"/>
          <w:lang w:eastAsia="en-CA"/>
        </w:rPr>
        <w:t xml:space="preserve">compared to the </w:t>
      </w:r>
      <w:r>
        <w:rPr>
          <w:rFonts w:eastAsia="Times New Roman" w:cstheme="minorHAnsi"/>
          <w:color w:val="0E101A"/>
          <w:lang w:eastAsia="en-CA"/>
        </w:rPr>
        <w:t>city</w:t>
      </w:r>
      <w:r w:rsidRPr="00602E87">
        <w:rPr>
          <w:rFonts w:eastAsia="Times New Roman" w:cstheme="minorHAnsi"/>
          <w:color w:val="0E101A"/>
          <w:lang w:eastAsia="en-CA"/>
        </w:rPr>
        <w:t xml:space="preserve"> average.</w:t>
      </w:r>
    </w:p>
    <w:p w14:paraId="063946A6" w14:textId="77777777" w:rsidR="00AD060B" w:rsidRPr="00602E87" w:rsidRDefault="00AD060B" w:rsidP="00AD060B">
      <w:pPr>
        <w:spacing w:line="240" w:lineRule="auto"/>
        <w:ind w:left="720"/>
        <w:rPr>
          <w:rFonts w:eastAsia="Times New Roman" w:cstheme="minorHAnsi"/>
          <w:color w:val="0E101A"/>
          <w:lang w:eastAsia="en-CA"/>
        </w:rPr>
      </w:pPr>
    </w:p>
    <w:p w14:paraId="5E57FEC8" w14:textId="77777777" w:rsidR="00AD060B" w:rsidRPr="00602E87" w:rsidRDefault="00AD060B" w:rsidP="00AD060B">
      <w:pPr>
        <w:numPr>
          <w:ilvl w:val="0"/>
          <w:numId w:val="27"/>
        </w:numPr>
        <w:spacing w:line="240" w:lineRule="auto"/>
        <w:rPr>
          <w:rFonts w:eastAsia="Times New Roman" w:cstheme="minorHAnsi"/>
          <w:color w:val="0E101A"/>
          <w:lang w:eastAsia="en-CA"/>
        </w:rPr>
      </w:pPr>
      <w:r w:rsidRPr="00602E87">
        <w:rPr>
          <w:rFonts w:eastAsia="Times New Roman" w:cstheme="minorHAnsi"/>
          <w:b/>
          <w:bCs/>
          <w:color w:val="0E101A"/>
          <w:lang w:eastAsia="en-CA"/>
        </w:rPr>
        <w:t>Generation Status:</w:t>
      </w:r>
      <w:r w:rsidRPr="00602E87">
        <w:rPr>
          <w:rFonts w:eastAsia="Times New Roman" w:cstheme="minorHAnsi"/>
          <w:color w:val="0E101A"/>
          <w:lang w:eastAsia="en-CA"/>
        </w:rPr>
        <w:t xml:space="preserve"> Percentage of first, second, or third or more generation </w:t>
      </w:r>
      <w:r>
        <w:rPr>
          <w:rFonts w:eastAsia="Times New Roman" w:cstheme="minorHAnsi"/>
          <w:color w:val="0E101A"/>
          <w:lang w:eastAsia="en-CA"/>
        </w:rPr>
        <w:t>C</w:t>
      </w:r>
      <w:r w:rsidRPr="00602E87">
        <w:rPr>
          <w:rFonts w:eastAsia="Times New Roman" w:cstheme="minorHAnsi"/>
          <w:color w:val="0E101A"/>
          <w:lang w:eastAsia="en-CA"/>
        </w:rPr>
        <w:t xml:space="preserve">anadians in the study area compared to the </w:t>
      </w:r>
      <w:r>
        <w:rPr>
          <w:rFonts w:eastAsia="Times New Roman" w:cstheme="minorHAnsi"/>
          <w:color w:val="0E101A"/>
          <w:lang w:eastAsia="en-CA"/>
        </w:rPr>
        <w:t>city</w:t>
      </w:r>
      <w:r w:rsidRPr="00602E87">
        <w:rPr>
          <w:rFonts w:eastAsia="Times New Roman" w:cstheme="minorHAnsi"/>
          <w:color w:val="0E101A"/>
          <w:lang w:eastAsia="en-CA"/>
        </w:rPr>
        <w:t xml:space="preserve"> average.</w:t>
      </w:r>
    </w:p>
    <w:p w14:paraId="70D62C80" w14:textId="77777777" w:rsidR="00AD060B" w:rsidRPr="00602E87" w:rsidRDefault="00AD060B" w:rsidP="00AD060B">
      <w:pPr>
        <w:spacing w:line="240" w:lineRule="auto"/>
        <w:rPr>
          <w:rFonts w:eastAsia="Times New Roman" w:cstheme="minorHAnsi"/>
          <w:color w:val="0E101A"/>
          <w:lang w:eastAsia="en-CA"/>
        </w:rPr>
      </w:pPr>
    </w:p>
    <w:p w14:paraId="63760F47" w14:textId="77777777" w:rsidR="00AD060B" w:rsidRPr="00602E87" w:rsidRDefault="00AD060B" w:rsidP="00AD060B">
      <w:pPr>
        <w:spacing w:line="240" w:lineRule="auto"/>
        <w:rPr>
          <w:rFonts w:eastAsia="Times New Roman" w:cstheme="minorHAnsi"/>
          <w:color w:val="0E101A"/>
          <w:lang w:eastAsia="en-CA"/>
        </w:rPr>
      </w:pPr>
    </w:p>
    <w:p w14:paraId="4334FC79"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b/>
          <w:bCs/>
          <w:color w:val="0E101A"/>
          <w:lang w:eastAsia="en-CA"/>
        </w:rPr>
        <w:t xml:space="preserve">Section </w:t>
      </w:r>
      <w:r>
        <w:rPr>
          <w:rFonts w:eastAsia="Times New Roman" w:cstheme="minorHAnsi"/>
          <w:b/>
          <w:bCs/>
          <w:color w:val="0E101A"/>
          <w:lang w:eastAsia="en-CA"/>
        </w:rPr>
        <w:t>6</w:t>
      </w:r>
      <w:r w:rsidRPr="00602E87">
        <w:rPr>
          <w:rFonts w:eastAsia="Times New Roman" w:cstheme="minorHAnsi"/>
          <w:b/>
          <w:bCs/>
          <w:color w:val="0E101A"/>
          <w:lang w:eastAsia="en-CA"/>
        </w:rPr>
        <w:t>: Visitor</w:t>
      </w:r>
      <w:r>
        <w:rPr>
          <w:rFonts w:eastAsia="Times New Roman" w:cstheme="minorHAnsi"/>
          <w:b/>
          <w:bCs/>
          <w:color w:val="0E101A"/>
          <w:lang w:eastAsia="en-CA"/>
        </w:rPr>
        <w:t xml:space="preserve"> Levels</w:t>
      </w:r>
    </w:p>
    <w:p w14:paraId="62C67417" w14:textId="77777777" w:rsidR="00AD060B" w:rsidRPr="00602E87" w:rsidRDefault="00AD060B" w:rsidP="00AD060B">
      <w:pPr>
        <w:spacing w:line="240" w:lineRule="auto"/>
        <w:rPr>
          <w:rFonts w:eastAsia="Times New Roman" w:cstheme="minorHAnsi"/>
          <w:color w:val="0E101A"/>
          <w:lang w:eastAsia="en-CA"/>
        </w:rPr>
      </w:pPr>
      <w:r w:rsidRPr="00602E87">
        <w:rPr>
          <w:rFonts w:eastAsia="Times New Roman" w:cstheme="minorHAnsi"/>
          <w:color w:val="0E101A"/>
          <w:lang w:eastAsia="en-CA"/>
        </w:rPr>
        <w:t>Section</w:t>
      </w:r>
      <w:r>
        <w:rPr>
          <w:rFonts w:eastAsia="Times New Roman" w:cstheme="minorHAnsi"/>
          <w:color w:val="0E101A"/>
          <w:lang w:eastAsia="en-CA"/>
        </w:rPr>
        <w:t xml:space="preserve"> six</w:t>
      </w:r>
      <w:r w:rsidRPr="00602E87">
        <w:rPr>
          <w:rFonts w:eastAsia="Times New Roman" w:cstheme="minorHAnsi"/>
          <w:color w:val="0E101A"/>
          <w:lang w:eastAsia="en-CA"/>
        </w:rPr>
        <w:t xml:space="preserve"> utilizes the mobilescapes mobil</w:t>
      </w:r>
      <w:r>
        <w:rPr>
          <w:rFonts w:eastAsia="Times New Roman" w:cstheme="minorHAnsi"/>
          <w:color w:val="0E101A"/>
          <w:lang w:eastAsia="en-CA"/>
        </w:rPr>
        <w:t>e</w:t>
      </w:r>
      <w:r w:rsidRPr="00602E87">
        <w:rPr>
          <w:rFonts w:eastAsia="Times New Roman" w:cstheme="minorHAnsi"/>
          <w:color w:val="0E101A"/>
          <w:lang w:eastAsia="en-CA"/>
        </w:rPr>
        <w:t xml:space="preserve"> data to analyze visitor patterns across several metrics.</w:t>
      </w:r>
      <w:r>
        <w:rPr>
          <w:rFonts w:eastAsia="Times New Roman" w:cstheme="minorHAnsi"/>
          <w:color w:val="0E101A"/>
          <w:lang w:eastAsia="en-CA"/>
        </w:rPr>
        <w:t xml:space="preserve"> It is important to remember that visitors were defined as individuals who entered a building within the defined study area. Individuals travelling through the area will not be counted.</w:t>
      </w:r>
    </w:p>
    <w:p w14:paraId="726070CB" w14:textId="77777777" w:rsidR="00AD060B" w:rsidRDefault="00AD060B" w:rsidP="00AD060B">
      <w:pPr>
        <w:numPr>
          <w:ilvl w:val="0"/>
          <w:numId w:val="28"/>
        </w:numPr>
        <w:spacing w:line="240" w:lineRule="auto"/>
        <w:rPr>
          <w:rFonts w:eastAsia="Times New Roman" w:cstheme="minorHAnsi"/>
          <w:color w:val="0E101A"/>
          <w:lang w:eastAsia="en-CA"/>
        </w:rPr>
      </w:pPr>
      <w:r w:rsidRPr="00602E87">
        <w:rPr>
          <w:rFonts w:eastAsia="Times New Roman" w:cstheme="minorHAnsi"/>
          <w:b/>
          <w:bCs/>
          <w:color w:val="0E101A"/>
          <w:lang w:eastAsia="en-CA"/>
        </w:rPr>
        <w:t>Visit heatmap:</w:t>
      </w:r>
      <w:r w:rsidRPr="00602E87">
        <w:rPr>
          <w:rFonts w:eastAsia="Times New Roman" w:cstheme="minorHAnsi"/>
          <w:color w:val="0E101A"/>
          <w:lang w:eastAsia="en-CA"/>
        </w:rPr>
        <w:t xml:space="preserve"> This map looks at the number of daily visit</w:t>
      </w:r>
      <w:r>
        <w:rPr>
          <w:rFonts w:eastAsia="Times New Roman" w:cstheme="minorHAnsi"/>
          <w:color w:val="0E101A"/>
          <w:lang w:eastAsia="en-CA"/>
        </w:rPr>
        <w:t>s</w:t>
      </w:r>
      <w:r w:rsidRPr="00602E87">
        <w:rPr>
          <w:rFonts w:eastAsia="Times New Roman" w:cstheme="minorHAnsi"/>
          <w:color w:val="0E101A"/>
          <w:lang w:eastAsia="en-CA"/>
        </w:rPr>
        <w:t xml:space="preserve"> based on the spatial location of visitors' home location (the common evening location as described by Environics).</w:t>
      </w:r>
    </w:p>
    <w:p w14:paraId="78D3FECC" w14:textId="77777777" w:rsidR="00AD060B" w:rsidRPr="00602E87" w:rsidRDefault="00AD060B" w:rsidP="00AD060B">
      <w:pPr>
        <w:spacing w:line="240" w:lineRule="auto"/>
        <w:ind w:left="720"/>
        <w:rPr>
          <w:rFonts w:eastAsia="Times New Roman" w:cstheme="minorHAnsi"/>
          <w:color w:val="0E101A"/>
          <w:lang w:eastAsia="en-CA"/>
        </w:rPr>
      </w:pPr>
    </w:p>
    <w:p w14:paraId="77E2DD67" w14:textId="77777777" w:rsidR="00AD060B" w:rsidRPr="00602E87" w:rsidRDefault="00AD060B" w:rsidP="00AD060B">
      <w:pPr>
        <w:numPr>
          <w:ilvl w:val="0"/>
          <w:numId w:val="28"/>
        </w:numPr>
        <w:spacing w:line="240" w:lineRule="auto"/>
        <w:rPr>
          <w:rFonts w:eastAsia="Times New Roman" w:cstheme="minorHAnsi"/>
          <w:color w:val="0E101A"/>
          <w:lang w:eastAsia="en-CA"/>
        </w:rPr>
      </w:pPr>
      <w:r w:rsidRPr="00602E87">
        <w:rPr>
          <w:rFonts w:eastAsia="Times New Roman" w:cstheme="minorHAnsi"/>
          <w:b/>
          <w:bCs/>
          <w:color w:val="0E101A"/>
          <w:lang w:eastAsia="en-CA"/>
        </w:rPr>
        <w:t>Visit Count by Type</w:t>
      </w:r>
      <w:r>
        <w:rPr>
          <w:rFonts w:eastAsia="Times New Roman" w:cstheme="minorHAnsi"/>
          <w:b/>
          <w:bCs/>
          <w:color w:val="0E101A"/>
          <w:lang w:eastAsia="en-CA"/>
        </w:rPr>
        <w:t xml:space="preserve"> of Visitor</w:t>
      </w:r>
      <w:r w:rsidRPr="00602E87">
        <w:rPr>
          <w:rFonts w:eastAsia="Times New Roman" w:cstheme="minorHAnsi"/>
          <w:b/>
          <w:bCs/>
          <w:color w:val="0E101A"/>
          <w:lang w:eastAsia="en-CA"/>
        </w:rPr>
        <w:t>: </w:t>
      </w:r>
      <w:r w:rsidRPr="00602E87">
        <w:rPr>
          <w:rFonts w:eastAsia="Times New Roman" w:cstheme="minorHAnsi"/>
          <w:color w:val="0E101A"/>
          <w:lang w:eastAsia="en-CA"/>
        </w:rPr>
        <w:t>This chart utilizes the attached common location data to group different types of visits based on the time and frequency of visits to the study area. Visits are grouped into three distinct visitor categories.</w:t>
      </w:r>
    </w:p>
    <w:p w14:paraId="5554BE04" w14:textId="77777777" w:rsidR="00AD060B" w:rsidRPr="00602E87" w:rsidRDefault="00AD060B" w:rsidP="00AD060B">
      <w:pPr>
        <w:numPr>
          <w:ilvl w:val="3"/>
          <w:numId w:val="29"/>
        </w:numPr>
        <w:spacing w:line="240" w:lineRule="auto"/>
        <w:rPr>
          <w:rFonts w:eastAsia="Times New Roman" w:cstheme="minorHAnsi"/>
          <w:color w:val="0E101A"/>
          <w:lang w:eastAsia="en-CA"/>
        </w:rPr>
      </w:pPr>
      <w:r w:rsidRPr="00602E87">
        <w:rPr>
          <w:rFonts w:eastAsia="Times New Roman" w:cstheme="minorHAnsi"/>
          <w:color w:val="0E101A"/>
          <w:lang w:eastAsia="en-CA"/>
        </w:rPr>
        <w:t>Resident: A visit made by someone whose common evening location (home) is within 1km of the study area</w:t>
      </w:r>
    </w:p>
    <w:p w14:paraId="2F0A7433" w14:textId="77777777" w:rsidR="00AD060B" w:rsidRPr="00602E87" w:rsidRDefault="00AD060B" w:rsidP="00AD060B">
      <w:pPr>
        <w:numPr>
          <w:ilvl w:val="3"/>
          <w:numId w:val="30"/>
        </w:numPr>
        <w:spacing w:line="240" w:lineRule="auto"/>
        <w:rPr>
          <w:rFonts w:eastAsia="Times New Roman" w:cstheme="minorHAnsi"/>
          <w:color w:val="0E101A"/>
          <w:lang w:eastAsia="en-CA"/>
        </w:rPr>
      </w:pPr>
      <w:r w:rsidRPr="00602E87">
        <w:rPr>
          <w:rFonts w:eastAsia="Times New Roman" w:cstheme="minorHAnsi"/>
          <w:color w:val="0E101A"/>
          <w:lang w:eastAsia="en-CA"/>
        </w:rPr>
        <w:t>Recurring: A visit made by someone whose common daytime location is within 1km of the study area</w:t>
      </w:r>
    </w:p>
    <w:p w14:paraId="3F188CB6" w14:textId="77777777" w:rsidR="00AD060B" w:rsidRDefault="00AD060B" w:rsidP="00AD060B">
      <w:pPr>
        <w:numPr>
          <w:ilvl w:val="3"/>
          <w:numId w:val="31"/>
        </w:numPr>
        <w:spacing w:line="240" w:lineRule="auto"/>
        <w:rPr>
          <w:rFonts w:eastAsia="Times New Roman" w:cstheme="minorHAnsi"/>
          <w:color w:val="0E101A"/>
          <w:lang w:eastAsia="en-CA"/>
        </w:rPr>
      </w:pPr>
      <w:r w:rsidRPr="00602E87">
        <w:rPr>
          <w:rFonts w:eastAsia="Times New Roman" w:cstheme="minorHAnsi"/>
          <w:color w:val="0E101A"/>
          <w:lang w:eastAsia="en-CA"/>
        </w:rPr>
        <w:t>Infrequent: A visit made by someone whose common evening and day location is not within 1km of the study area.</w:t>
      </w:r>
    </w:p>
    <w:p w14:paraId="2BDB0732" w14:textId="77777777" w:rsidR="00AD060B" w:rsidRDefault="00AD060B" w:rsidP="00AD060B">
      <w:pPr>
        <w:spacing w:line="240" w:lineRule="auto"/>
        <w:rPr>
          <w:rFonts w:eastAsia="Times New Roman" w:cstheme="minorHAnsi"/>
          <w:color w:val="0E101A"/>
          <w:lang w:eastAsia="en-CA"/>
        </w:rPr>
      </w:pPr>
    </w:p>
    <w:p w14:paraId="0CAFE448" w14:textId="77777777" w:rsidR="00AD060B" w:rsidRDefault="00AD060B" w:rsidP="00AD060B">
      <w:pPr>
        <w:spacing w:line="240" w:lineRule="auto"/>
        <w:rPr>
          <w:rFonts w:eastAsia="Times New Roman" w:cstheme="minorHAnsi"/>
          <w:b/>
          <w:bCs/>
          <w:color w:val="0E101A"/>
          <w:lang w:eastAsia="en-CA"/>
        </w:rPr>
      </w:pPr>
      <w:r>
        <w:rPr>
          <w:rFonts w:eastAsia="Times New Roman" w:cstheme="minorHAnsi"/>
          <w:b/>
          <w:bCs/>
          <w:color w:val="0E101A"/>
          <w:lang w:eastAsia="en-CA"/>
        </w:rPr>
        <w:t>Section 7: Visitor Characteristics</w:t>
      </w:r>
    </w:p>
    <w:p w14:paraId="52D54CD6" w14:textId="77777777" w:rsidR="00AD060B" w:rsidRDefault="00AD060B" w:rsidP="00AD060B">
      <w:pPr>
        <w:spacing w:line="240" w:lineRule="auto"/>
        <w:rPr>
          <w:rFonts w:eastAsia="Times New Roman" w:cstheme="minorHAnsi"/>
          <w:color w:val="0E101A"/>
          <w:lang w:eastAsia="en-CA"/>
        </w:rPr>
      </w:pPr>
      <w:r>
        <w:rPr>
          <w:rFonts w:eastAsia="Times New Roman" w:cstheme="minorHAnsi"/>
          <w:color w:val="0E101A"/>
          <w:lang w:eastAsia="en-CA"/>
        </w:rPr>
        <w:t>Section seven builds on the overview of section six, providing a more detailed analysis of visits within the study area.</w:t>
      </w:r>
    </w:p>
    <w:p w14:paraId="5BF18DCD" w14:textId="77777777" w:rsidR="00AD060B" w:rsidRDefault="00AD060B" w:rsidP="00AD060B">
      <w:pPr>
        <w:numPr>
          <w:ilvl w:val="0"/>
          <w:numId w:val="28"/>
        </w:numPr>
        <w:spacing w:line="240" w:lineRule="auto"/>
        <w:rPr>
          <w:rFonts w:eastAsia="Times New Roman" w:cstheme="minorHAnsi"/>
          <w:color w:val="0E101A"/>
          <w:lang w:eastAsia="en-CA"/>
        </w:rPr>
      </w:pPr>
      <w:r w:rsidRPr="00602E87">
        <w:rPr>
          <w:rFonts w:eastAsia="Times New Roman" w:cstheme="minorHAnsi"/>
          <w:b/>
          <w:bCs/>
          <w:color w:val="0E101A"/>
          <w:lang w:eastAsia="en-CA"/>
        </w:rPr>
        <w:t>Visit Levels:</w:t>
      </w:r>
      <w:r w:rsidRPr="00602E87">
        <w:rPr>
          <w:rFonts w:eastAsia="Times New Roman" w:cstheme="minorHAnsi"/>
          <w:color w:val="0E101A"/>
          <w:lang w:eastAsia="en-CA"/>
        </w:rPr>
        <w:t> The visit levels chart tracks monthly visitor traffic from 2020 to 2022 as a percentage of visit</w:t>
      </w:r>
      <w:r>
        <w:rPr>
          <w:rFonts w:eastAsia="Times New Roman" w:cstheme="minorHAnsi"/>
          <w:color w:val="0E101A"/>
          <w:lang w:eastAsia="en-CA"/>
        </w:rPr>
        <w:t>s</w:t>
      </w:r>
      <w:r w:rsidRPr="00602E87">
        <w:rPr>
          <w:rFonts w:eastAsia="Times New Roman" w:cstheme="minorHAnsi"/>
          <w:color w:val="0E101A"/>
          <w:lang w:eastAsia="en-CA"/>
        </w:rPr>
        <w:t xml:space="preserve"> compared to 2019. </w:t>
      </w:r>
      <w:r>
        <w:rPr>
          <w:rFonts w:eastAsia="Times New Roman" w:cstheme="minorHAnsi"/>
          <w:color w:val="0E101A"/>
          <w:lang w:eastAsia="en-CA"/>
        </w:rPr>
        <w:t xml:space="preserve">For example, the percentage of foot traffic relative to 2019 for May 2021 is the total visits of May 2021 divided by the total visits of May 2019. </w:t>
      </w:r>
      <w:r w:rsidRPr="00602E87">
        <w:rPr>
          <w:rFonts w:eastAsia="Times New Roman" w:cstheme="minorHAnsi"/>
          <w:color w:val="0E101A"/>
          <w:lang w:eastAsia="en-CA"/>
        </w:rPr>
        <w:t>This allows the ability to examine the fall and recovery of visitor levels over the COVID-19 pandemic</w:t>
      </w:r>
      <w:r>
        <w:rPr>
          <w:rFonts w:eastAsia="Times New Roman" w:cstheme="minorHAnsi"/>
          <w:color w:val="0E101A"/>
          <w:lang w:eastAsia="en-CA"/>
        </w:rPr>
        <w:t xml:space="preserve"> compared to pre-pandemic levels without the factor of seasonality</w:t>
      </w:r>
      <w:r w:rsidRPr="00602E87">
        <w:rPr>
          <w:rFonts w:eastAsia="Times New Roman" w:cstheme="minorHAnsi"/>
          <w:color w:val="0E101A"/>
          <w:lang w:eastAsia="en-CA"/>
        </w:rPr>
        <w:t>.</w:t>
      </w:r>
    </w:p>
    <w:p w14:paraId="5CD9C611" w14:textId="77777777" w:rsidR="00AD060B" w:rsidRPr="00602E87" w:rsidRDefault="00AD060B" w:rsidP="00AD060B">
      <w:pPr>
        <w:spacing w:line="240" w:lineRule="auto"/>
        <w:ind w:left="720"/>
        <w:rPr>
          <w:rFonts w:eastAsia="Times New Roman" w:cstheme="minorHAnsi"/>
          <w:color w:val="0E101A"/>
          <w:lang w:eastAsia="en-CA"/>
        </w:rPr>
      </w:pPr>
    </w:p>
    <w:p w14:paraId="299056CA" w14:textId="77777777" w:rsidR="00AD060B" w:rsidRDefault="00AD060B" w:rsidP="00AD060B">
      <w:pPr>
        <w:numPr>
          <w:ilvl w:val="0"/>
          <w:numId w:val="32"/>
        </w:numPr>
        <w:spacing w:line="240" w:lineRule="auto"/>
        <w:rPr>
          <w:rFonts w:eastAsia="Times New Roman" w:cstheme="minorHAnsi"/>
          <w:color w:val="0E101A"/>
          <w:lang w:eastAsia="en-CA"/>
        </w:rPr>
      </w:pPr>
      <w:r w:rsidRPr="00602E87">
        <w:rPr>
          <w:rFonts w:eastAsia="Times New Roman" w:cstheme="minorHAnsi"/>
          <w:b/>
          <w:bCs/>
          <w:color w:val="0E101A"/>
          <w:lang w:eastAsia="en-CA"/>
        </w:rPr>
        <w:t>Visit % by Time of Day:</w:t>
      </w:r>
      <w:r w:rsidRPr="00602E87">
        <w:rPr>
          <w:rFonts w:eastAsia="Times New Roman" w:cstheme="minorHAnsi"/>
          <w:color w:val="0E101A"/>
          <w:lang w:eastAsia="en-CA"/>
        </w:rPr>
        <w:t xml:space="preserve"> This chart provides a percentage breakdown of visits by pre-defined time block</w:t>
      </w:r>
      <w:r>
        <w:rPr>
          <w:rFonts w:eastAsia="Times New Roman" w:cstheme="minorHAnsi"/>
          <w:color w:val="0E101A"/>
          <w:lang w:eastAsia="en-CA"/>
        </w:rPr>
        <w:t>s provided by Environics. It is important</w:t>
      </w:r>
      <w:r w:rsidRPr="000A1F1B">
        <w:rPr>
          <w:rFonts w:eastAsia="Times New Roman" w:cstheme="minorHAnsi"/>
          <w:color w:val="0E101A"/>
          <w:lang w:eastAsia="en-CA"/>
        </w:rPr>
        <w:t xml:space="preserve"> to note that all bins are three-hour blocks except for the early morning, which is six hours (12 am to 6 am).</w:t>
      </w:r>
    </w:p>
    <w:p w14:paraId="215E4A58" w14:textId="77777777" w:rsidR="00AD060B" w:rsidRPr="00602E87" w:rsidRDefault="00AD060B" w:rsidP="00AD060B">
      <w:pPr>
        <w:spacing w:line="240" w:lineRule="auto"/>
        <w:ind w:left="360"/>
        <w:rPr>
          <w:rFonts w:eastAsia="Times New Roman" w:cstheme="minorHAnsi"/>
          <w:color w:val="0E101A"/>
          <w:lang w:eastAsia="en-CA"/>
        </w:rPr>
      </w:pPr>
      <w:r>
        <w:rPr>
          <w:rFonts w:eastAsia="Times New Roman" w:cstheme="minorHAnsi"/>
          <w:color w:val="0E101A"/>
          <w:lang w:eastAsia="en-CA"/>
        </w:rPr>
        <w:t xml:space="preserve"> </w:t>
      </w:r>
    </w:p>
    <w:p w14:paraId="3956C5F8" w14:textId="77777777" w:rsidR="00AD060B" w:rsidRDefault="00AD060B" w:rsidP="00AD060B">
      <w:pPr>
        <w:numPr>
          <w:ilvl w:val="0"/>
          <w:numId w:val="28"/>
        </w:numPr>
        <w:spacing w:line="240" w:lineRule="auto"/>
        <w:rPr>
          <w:rFonts w:eastAsia="Times New Roman" w:cstheme="minorHAnsi"/>
          <w:color w:val="0E101A"/>
          <w:lang w:eastAsia="en-CA"/>
        </w:rPr>
      </w:pPr>
      <w:r w:rsidRPr="00602E87">
        <w:rPr>
          <w:rFonts w:eastAsia="Times New Roman" w:cstheme="minorHAnsi"/>
          <w:b/>
          <w:bCs/>
          <w:color w:val="0E101A"/>
          <w:lang w:eastAsia="en-CA"/>
        </w:rPr>
        <w:t>Visit % by Day of Week:</w:t>
      </w:r>
      <w:r w:rsidRPr="00602E87">
        <w:rPr>
          <w:rFonts w:eastAsia="Times New Roman" w:cstheme="minorHAnsi"/>
          <w:color w:val="0E101A"/>
          <w:lang w:eastAsia="en-CA"/>
        </w:rPr>
        <w:t xml:space="preserve"> This chart provides a percentage breakdown of visits for each day of the week</w:t>
      </w:r>
      <w:r>
        <w:rPr>
          <w:rFonts w:eastAsia="Times New Roman" w:cstheme="minorHAnsi"/>
          <w:color w:val="0E101A"/>
          <w:lang w:eastAsia="en-CA"/>
        </w:rPr>
        <w:t>.</w:t>
      </w:r>
    </w:p>
    <w:p w14:paraId="50F5972E" w14:textId="77777777" w:rsidR="00AD060B" w:rsidRDefault="00AD060B" w:rsidP="00AD060B">
      <w:pPr>
        <w:spacing w:line="240" w:lineRule="auto"/>
        <w:ind w:left="720"/>
        <w:rPr>
          <w:rFonts w:eastAsia="Times New Roman" w:cstheme="minorHAnsi"/>
          <w:color w:val="0E101A"/>
          <w:lang w:eastAsia="en-CA"/>
        </w:rPr>
      </w:pPr>
    </w:p>
    <w:p w14:paraId="78B5A29D" w14:textId="77777777" w:rsidR="00AD060B" w:rsidRPr="00F85F67" w:rsidRDefault="00AD060B" w:rsidP="00AD060B">
      <w:pPr>
        <w:numPr>
          <w:ilvl w:val="0"/>
          <w:numId w:val="28"/>
        </w:numPr>
        <w:spacing w:line="240" w:lineRule="auto"/>
        <w:rPr>
          <w:rFonts w:eastAsia="Times New Roman" w:cstheme="minorHAnsi"/>
          <w:color w:val="0E101A"/>
          <w:lang w:eastAsia="en-CA"/>
        </w:rPr>
      </w:pPr>
      <w:r>
        <w:rPr>
          <w:rFonts w:eastAsia="Times New Roman" w:cstheme="minorHAnsi"/>
          <w:b/>
          <w:bCs/>
          <w:color w:val="0E101A"/>
          <w:lang w:eastAsia="en-CA"/>
        </w:rPr>
        <w:t>Percentage of Visits compared to the Percentage of Unique Visitors:</w:t>
      </w:r>
      <w:r>
        <w:rPr>
          <w:rFonts w:eastAsia="Times New Roman" w:cstheme="minorHAnsi"/>
          <w:lang w:eastAsia="en-CA"/>
        </w:rPr>
        <w:t xml:space="preserve"> This chart provides a percentage breakdown of visits for the study area at certain distance thresholds (represented as the bars) while also displaying the percentage breakdown of unique visitors for the study area. This gives the ability to analyze the catchment area of the study area (local vs city) and the frequency of visits per individual. This chart is also compared to 2019 to analyze the shift in visitor patterns pre and post pandemic. </w:t>
      </w:r>
    </w:p>
    <w:p w14:paraId="58FCA9D3" w14:textId="77777777" w:rsidR="00D527E8" w:rsidRPr="00AD060B" w:rsidRDefault="00D527E8" w:rsidP="00802A37"/>
    <w:sectPr w:rsidR="00D527E8" w:rsidRPr="00AD060B" w:rsidSect="00AD060B">
      <w:footerReference w:type="default" r:id="rId10"/>
      <w:headerReference w:type="first" r:id="rId11"/>
      <w:footerReference w:type="first" r:id="rId12"/>
      <w:pgSz w:w="12240" w:h="15840"/>
      <w:pgMar w:top="1418" w:right="1440" w:bottom="1440" w:left="1800" w:header="426"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96FD" w14:textId="77777777" w:rsidR="00132E0C" w:rsidRDefault="00132E0C" w:rsidP="008B3B73">
      <w:pPr>
        <w:spacing w:line="240" w:lineRule="auto"/>
      </w:pPr>
      <w:r>
        <w:separator/>
      </w:r>
    </w:p>
  </w:endnote>
  <w:endnote w:type="continuationSeparator" w:id="0">
    <w:p w14:paraId="46B622D5" w14:textId="77777777" w:rsidR="00132E0C" w:rsidRDefault="00132E0C" w:rsidP="008B3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0C81" w14:textId="77777777" w:rsidR="008B3B73" w:rsidRDefault="00002E31">
    <w:pPr>
      <w:pStyle w:val="Footer"/>
    </w:pPr>
    <w:r>
      <w:rPr>
        <w:noProof/>
      </w:rPr>
      <w:drawing>
        <wp:anchor distT="0" distB="0" distL="114300" distR="114300" simplePos="0" relativeHeight="251658240" behindDoc="1" locked="0" layoutInCell="1" allowOverlap="1" wp14:anchorId="70446F50" wp14:editId="0C6F567D">
          <wp:simplePos x="0" y="0"/>
          <wp:positionH relativeFrom="column">
            <wp:posOffset>-1143000</wp:posOffset>
          </wp:positionH>
          <wp:positionV relativeFrom="paragraph">
            <wp:posOffset>-708552</wp:posOffset>
          </wp:positionV>
          <wp:extent cx="7772400" cy="9152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I_LH_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152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85535" w14:textId="77777777" w:rsidR="00C05835" w:rsidRDefault="00C05835">
    <w:pPr>
      <w:pStyle w:val="Footer"/>
    </w:pPr>
    <w:r>
      <w:rPr>
        <w:noProof/>
      </w:rPr>
      <w:drawing>
        <wp:anchor distT="0" distB="0" distL="114300" distR="114300" simplePos="0" relativeHeight="251659264" behindDoc="1" locked="0" layoutInCell="1" allowOverlap="1" wp14:anchorId="5165C18A" wp14:editId="47BEA63F">
          <wp:simplePos x="0" y="0"/>
          <wp:positionH relativeFrom="column">
            <wp:posOffset>-1143607</wp:posOffset>
          </wp:positionH>
          <wp:positionV relativeFrom="paragraph">
            <wp:posOffset>-713433</wp:posOffset>
          </wp:positionV>
          <wp:extent cx="7772400" cy="915416"/>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I_LH_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15416"/>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43CA" w14:textId="77777777" w:rsidR="00132E0C" w:rsidRDefault="00132E0C" w:rsidP="008B3B73">
      <w:pPr>
        <w:spacing w:line="240" w:lineRule="auto"/>
      </w:pPr>
      <w:r>
        <w:separator/>
      </w:r>
    </w:p>
  </w:footnote>
  <w:footnote w:type="continuationSeparator" w:id="0">
    <w:p w14:paraId="5CB7362F" w14:textId="77777777" w:rsidR="00132E0C" w:rsidRDefault="00132E0C" w:rsidP="008B3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960B" w14:textId="77777777" w:rsidR="00C05835" w:rsidRDefault="00C05835">
    <w:pPr>
      <w:pStyle w:val="Header"/>
    </w:pPr>
    <w:r>
      <w:rPr>
        <w:noProof/>
      </w:rPr>
      <w:drawing>
        <wp:inline distT="0" distB="0" distL="0" distR="0" wp14:anchorId="2655A7CB" wp14:editId="3F12DAEE">
          <wp:extent cx="2286000" cy="528027"/>
          <wp:effectExtent l="0" t="0" r="0" b="571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I_Logo_RGB_for_Word.jpg"/>
                  <pic:cNvPicPr/>
                </pic:nvPicPr>
                <pic:blipFill>
                  <a:blip r:embed="rId1">
                    <a:extLst>
                      <a:ext uri="{28A0092B-C50C-407E-A947-70E740481C1C}">
                        <a14:useLocalDpi xmlns:a14="http://schemas.microsoft.com/office/drawing/2010/main" val="0"/>
                      </a:ext>
                    </a:extLst>
                  </a:blip>
                  <a:stretch>
                    <a:fillRect/>
                  </a:stretch>
                </pic:blipFill>
                <pic:spPr>
                  <a:xfrm>
                    <a:off x="0" y="0"/>
                    <a:ext cx="2286000" cy="5280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decimal"/>
      <w:lvlText w:val="%1."/>
      <w:lvlJc w:val="left"/>
      <w:pPr>
        <w:ind w:left="468" w:hanging="360"/>
      </w:pPr>
      <w:rPr>
        <w:rFonts w:ascii="Arial" w:hAnsi="Arial" w:cs="Arial"/>
        <w:b w:val="0"/>
        <w:bCs w:val="0"/>
        <w:i w:val="0"/>
        <w:iCs w:val="0"/>
        <w:spacing w:val="-1"/>
        <w:w w:val="100"/>
        <w:sz w:val="22"/>
        <w:szCs w:val="22"/>
      </w:rPr>
    </w:lvl>
    <w:lvl w:ilvl="1">
      <w:numFmt w:val="bullet"/>
      <w:lvlText w:val="•"/>
      <w:lvlJc w:val="left"/>
      <w:pPr>
        <w:ind w:left="971" w:hanging="360"/>
      </w:pPr>
    </w:lvl>
    <w:lvl w:ilvl="2">
      <w:numFmt w:val="bullet"/>
      <w:lvlText w:val="•"/>
      <w:lvlJc w:val="left"/>
      <w:pPr>
        <w:ind w:left="1482" w:hanging="360"/>
      </w:pPr>
    </w:lvl>
    <w:lvl w:ilvl="3">
      <w:numFmt w:val="bullet"/>
      <w:lvlText w:val="•"/>
      <w:lvlJc w:val="left"/>
      <w:pPr>
        <w:ind w:left="1993" w:hanging="360"/>
      </w:pPr>
    </w:lvl>
    <w:lvl w:ilvl="4">
      <w:numFmt w:val="bullet"/>
      <w:lvlText w:val="•"/>
      <w:lvlJc w:val="left"/>
      <w:pPr>
        <w:ind w:left="2504" w:hanging="360"/>
      </w:pPr>
    </w:lvl>
    <w:lvl w:ilvl="5">
      <w:numFmt w:val="bullet"/>
      <w:lvlText w:val="•"/>
      <w:lvlJc w:val="left"/>
      <w:pPr>
        <w:ind w:left="3015" w:hanging="360"/>
      </w:pPr>
    </w:lvl>
    <w:lvl w:ilvl="6">
      <w:numFmt w:val="bullet"/>
      <w:lvlText w:val="•"/>
      <w:lvlJc w:val="left"/>
      <w:pPr>
        <w:ind w:left="3526" w:hanging="360"/>
      </w:pPr>
    </w:lvl>
    <w:lvl w:ilvl="7">
      <w:numFmt w:val="bullet"/>
      <w:lvlText w:val="•"/>
      <w:lvlJc w:val="left"/>
      <w:pPr>
        <w:ind w:left="4037" w:hanging="360"/>
      </w:pPr>
    </w:lvl>
    <w:lvl w:ilvl="8">
      <w:numFmt w:val="bullet"/>
      <w:lvlText w:val="•"/>
      <w:lvlJc w:val="left"/>
      <w:pPr>
        <w:ind w:left="4548" w:hanging="360"/>
      </w:pPr>
    </w:lvl>
  </w:abstractNum>
  <w:abstractNum w:abstractNumId="1" w15:restartNumberingAfterBreak="0">
    <w:nsid w:val="030F163F"/>
    <w:multiLevelType w:val="hybridMultilevel"/>
    <w:tmpl w:val="BDE6B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F0297"/>
    <w:multiLevelType w:val="hybridMultilevel"/>
    <w:tmpl w:val="35CE96DE"/>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451DCA"/>
    <w:multiLevelType w:val="multilevel"/>
    <w:tmpl w:val="FDD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85762"/>
    <w:multiLevelType w:val="hybridMultilevel"/>
    <w:tmpl w:val="0AE409E0"/>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E23A45"/>
    <w:multiLevelType w:val="hybridMultilevel"/>
    <w:tmpl w:val="7714B392"/>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CB004D"/>
    <w:multiLevelType w:val="hybridMultilevel"/>
    <w:tmpl w:val="0DFAAF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232B5A7C"/>
    <w:multiLevelType w:val="hybridMultilevel"/>
    <w:tmpl w:val="D410E13C"/>
    <w:lvl w:ilvl="0" w:tplc="53A09546">
      <w:start w:val="1"/>
      <w:numFmt w:val="lowerLetter"/>
      <w:lvlText w:val="%1)"/>
      <w:lvlJc w:val="left"/>
      <w:pPr>
        <w:ind w:left="1080" w:hanging="360"/>
      </w:pPr>
      <w:rPr>
        <w:rFonts w:ascii="Arial" w:hAnsi="Arial" w:cs="Arial" w:hint="default"/>
        <w:i w:val="0"/>
        <w:color w:val="auto"/>
        <w:sz w:val="22"/>
        <w:szCs w:val="22"/>
      </w:rPr>
    </w:lvl>
    <w:lvl w:ilvl="1" w:tplc="168C3A50">
      <w:start w:val="1"/>
      <w:numFmt w:val="lowerLetter"/>
      <w:lvlText w:val="%2."/>
      <w:lvlJc w:val="left"/>
      <w:pPr>
        <w:ind w:left="1800" w:hanging="360"/>
      </w:pPr>
    </w:lvl>
    <w:lvl w:ilvl="2" w:tplc="7AA2283C">
      <w:start w:val="1"/>
      <w:numFmt w:val="lowerRoman"/>
      <w:lvlText w:val="%3."/>
      <w:lvlJc w:val="right"/>
      <w:pPr>
        <w:ind w:left="2520" w:hanging="180"/>
      </w:pPr>
    </w:lvl>
    <w:lvl w:ilvl="3" w:tplc="ED2E903A">
      <w:start w:val="1"/>
      <w:numFmt w:val="decimal"/>
      <w:lvlText w:val="%4."/>
      <w:lvlJc w:val="left"/>
      <w:pPr>
        <w:ind w:left="3240" w:hanging="360"/>
      </w:pPr>
    </w:lvl>
    <w:lvl w:ilvl="4" w:tplc="A6D269F4">
      <w:start w:val="1"/>
      <w:numFmt w:val="lowerLetter"/>
      <w:lvlText w:val="%5."/>
      <w:lvlJc w:val="left"/>
      <w:pPr>
        <w:ind w:left="3960" w:hanging="360"/>
      </w:pPr>
    </w:lvl>
    <w:lvl w:ilvl="5" w:tplc="348E7438">
      <w:start w:val="1"/>
      <w:numFmt w:val="lowerRoman"/>
      <w:lvlText w:val="%6."/>
      <w:lvlJc w:val="right"/>
      <w:pPr>
        <w:ind w:left="4680" w:hanging="180"/>
      </w:pPr>
    </w:lvl>
    <w:lvl w:ilvl="6" w:tplc="F1CE29D8">
      <w:start w:val="1"/>
      <w:numFmt w:val="decimal"/>
      <w:lvlText w:val="%7."/>
      <w:lvlJc w:val="left"/>
      <w:pPr>
        <w:ind w:left="5400" w:hanging="360"/>
      </w:pPr>
    </w:lvl>
    <w:lvl w:ilvl="7" w:tplc="955EA2D6">
      <w:start w:val="1"/>
      <w:numFmt w:val="lowerLetter"/>
      <w:lvlText w:val="%8."/>
      <w:lvlJc w:val="left"/>
      <w:pPr>
        <w:ind w:left="6120" w:hanging="360"/>
      </w:pPr>
    </w:lvl>
    <w:lvl w:ilvl="8" w:tplc="86CCDEEA">
      <w:start w:val="1"/>
      <w:numFmt w:val="lowerRoman"/>
      <w:lvlText w:val="%9."/>
      <w:lvlJc w:val="right"/>
      <w:pPr>
        <w:ind w:left="6840" w:hanging="180"/>
      </w:pPr>
    </w:lvl>
  </w:abstractNum>
  <w:abstractNum w:abstractNumId="8" w15:restartNumberingAfterBreak="0">
    <w:nsid w:val="2469181A"/>
    <w:multiLevelType w:val="hybridMultilevel"/>
    <w:tmpl w:val="C8527CC0"/>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DDC0C8F"/>
    <w:multiLevelType w:val="hybridMultilevel"/>
    <w:tmpl w:val="69963D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9E6393"/>
    <w:multiLevelType w:val="hybridMultilevel"/>
    <w:tmpl w:val="A5BED33A"/>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DA01E6"/>
    <w:multiLevelType w:val="hybridMultilevel"/>
    <w:tmpl w:val="905CB352"/>
    <w:lvl w:ilvl="0" w:tplc="ACF23146">
      <w:start w:val="3"/>
      <w:numFmt w:val="bullet"/>
      <w:lvlText w:val="-"/>
      <w:lvlJc w:val="left"/>
      <w:pPr>
        <w:ind w:left="426" w:hanging="360"/>
      </w:pPr>
      <w:rPr>
        <w:rFonts w:ascii="Calibri" w:eastAsiaTheme="minorHAnsi" w:hAnsi="Calibri" w:cs="Calibri"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33F46561"/>
    <w:multiLevelType w:val="hybridMultilevel"/>
    <w:tmpl w:val="21F8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9A56DB"/>
    <w:multiLevelType w:val="hybridMultilevel"/>
    <w:tmpl w:val="8D8A6F76"/>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F31435"/>
    <w:multiLevelType w:val="hybridMultilevel"/>
    <w:tmpl w:val="BCE890A4"/>
    <w:lvl w:ilvl="0" w:tplc="10090003">
      <w:start w:val="1"/>
      <w:numFmt w:val="bullet"/>
      <w:lvlText w:val="o"/>
      <w:lvlJc w:val="left"/>
      <w:pPr>
        <w:ind w:left="426" w:hanging="360"/>
      </w:pPr>
      <w:rPr>
        <w:rFonts w:ascii="Courier New" w:hAnsi="Courier New" w:cs="Courier New" w:hint="default"/>
      </w:rPr>
    </w:lvl>
    <w:lvl w:ilvl="1" w:tplc="FFFFFFFF">
      <w:start w:val="1"/>
      <w:numFmt w:val="bullet"/>
      <w:lvlText w:val="o"/>
      <w:lvlJc w:val="left"/>
      <w:pPr>
        <w:ind w:left="1146" w:hanging="360"/>
      </w:pPr>
      <w:rPr>
        <w:rFonts w:ascii="Courier New" w:hAnsi="Courier New" w:cs="Courier New" w:hint="default"/>
      </w:rPr>
    </w:lvl>
    <w:lvl w:ilvl="2" w:tplc="FFFFFFFF" w:tentative="1">
      <w:start w:val="1"/>
      <w:numFmt w:val="bullet"/>
      <w:lvlText w:val=""/>
      <w:lvlJc w:val="left"/>
      <w:pPr>
        <w:ind w:left="1866" w:hanging="360"/>
      </w:pPr>
      <w:rPr>
        <w:rFonts w:ascii="Wingdings" w:hAnsi="Wingdings" w:hint="default"/>
      </w:rPr>
    </w:lvl>
    <w:lvl w:ilvl="3" w:tplc="FFFFFFFF" w:tentative="1">
      <w:start w:val="1"/>
      <w:numFmt w:val="bullet"/>
      <w:lvlText w:val=""/>
      <w:lvlJc w:val="left"/>
      <w:pPr>
        <w:ind w:left="2586" w:hanging="360"/>
      </w:pPr>
      <w:rPr>
        <w:rFonts w:ascii="Symbol" w:hAnsi="Symbol" w:hint="default"/>
      </w:rPr>
    </w:lvl>
    <w:lvl w:ilvl="4" w:tplc="FFFFFFFF" w:tentative="1">
      <w:start w:val="1"/>
      <w:numFmt w:val="bullet"/>
      <w:lvlText w:val="o"/>
      <w:lvlJc w:val="left"/>
      <w:pPr>
        <w:ind w:left="3306" w:hanging="360"/>
      </w:pPr>
      <w:rPr>
        <w:rFonts w:ascii="Courier New" w:hAnsi="Courier New" w:cs="Courier New" w:hint="default"/>
      </w:rPr>
    </w:lvl>
    <w:lvl w:ilvl="5" w:tplc="FFFFFFFF" w:tentative="1">
      <w:start w:val="1"/>
      <w:numFmt w:val="bullet"/>
      <w:lvlText w:val=""/>
      <w:lvlJc w:val="left"/>
      <w:pPr>
        <w:ind w:left="4026" w:hanging="360"/>
      </w:pPr>
      <w:rPr>
        <w:rFonts w:ascii="Wingdings" w:hAnsi="Wingdings" w:hint="default"/>
      </w:rPr>
    </w:lvl>
    <w:lvl w:ilvl="6" w:tplc="FFFFFFFF" w:tentative="1">
      <w:start w:val="1"/>
      <w:numFmt w:val="bullet"/>
      <w:lvlText w:val=""/>
      <w:lvlJc w:val="left"/>
      <w:pPr>
        <w:ind w:left="4746" w:hanging="360"/>
      </w:pPr>
      <w:rPr>
        <w:rFonts w:ascii="Symbol" w:hAnsi="Symbol" w:hint="default"/>
      </w:rPr>
    </w:lvl>
    <w:lvl w:ilvl="7" w:tplc="FFFFFFFF" w:tentative="1">
      <w:start w:val="1"/>
      <w:numFmt w:val="bullet"/>
      <w:lvlText w:val="o"/>
      <w:lvlJc w:val="left"/>
      <w:pPr>
        <w:ind w:left="5466" w:hanging="360"/>
      </w:pPr>
      <w:rPr>
        <w:rFonts w:ascii="Courier New" w:hAnsi="Courier New" w:cs="Courier New" w:hint="default"/>
      </w:rPr>
    </w:lvl>
    <w:lvl w:ilvl="8" w:tplc="FFFFFFFF" w:tentative="1">
      <w:start w:val="1"/>
      <w:numFmt w:val="bullet"/>
      <w:lvlText w:val=""/>
      <w:lvlJc w:val="left"/>
      <w:pPr>
        <w:ind w:left="6186" w:hanging="360"/>
      </w:pPr>
      <w:rPr>
        <w:rFonts w:ascii="Wingdings" w:hAnsi="Wingdings" w:hint="default"/>
      </w:rPr>
    </w:lvl>
  </w:abstractNum>
  <w:abstractNum w:abstractNumId="15" w15:restartNumberingAfterBreak="0">
    <w:nsid w:val="39F36334"/>
    <w:multiLevelType w:val="hybridMultilevel"/>
    <w:tmpl w:val="CCD245BE"/>
    <w:lvl w:ilvl="0" w:tplc="D990E982">
      <w:start w:val="1"/>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574597"/>
    <w:multiLevelType w:val="multilevel"/>
    <w:tmpl w:val="F16A2BBE"/>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3FE212DC"/>
    <w:multiLevelType w:val="hybridMultilevel"/>
    <w:tmpl w:val="63FE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5210B"/>
    <w:multiLevelType w:val="hybridMultilevel"/>
    <w:tmpl w:val="BEE01C3A"/>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DE7170"/>
    <w:multiLevelType w:val="hybridMultilevel"/>
    <w:tmpl w:val="6D76D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E67720"/>
    <w:multiLevelType w:val="multilevel"/>
    <w:tmpl w:val="ABA8B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4378B"/>
    <w:multiLevelType w:val="multilevel"/>
    <w:tmpl w:val="1A9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F5F26"/>
    <w:multiLevelType w:val="hybridMultilevel"/>
    <w:tmpl w:val="F40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950B4D"/>
    <w:multiLevelType w:val="multilevel"/>
    <w:tmpl w:val="5FC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D0DB6"/>
    <w:multiLevelType w:val="hybridMultilevel"/>
    <w:tmpl w:val="4C3E753C"/>
    <w:lvl w:ilvl="0" w:tplc="173809A4">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3535DD"/>
    <w:multiLevelType w:val="hybridMultilevel"/>
    <w:tmpl w:val="60F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5530A"/>
    <w:multiLevelType w:val="hybridMultilevel"/>
    <w:tmpl w:val="F90022B6"/>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174E47"/>
    <w:multiLevelType w:val="multilevel"/>
    <w:tmpl w:val="9DB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D0497"/>
    <w:multiLevelType w:val="hybridMultilevel"/>
    <w:tmpl w:val="67B296E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0908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028454">
    <w:abstractNumId w:val="12"/>
  </w:num>
  <w:num w:numId="3" w16cid:durableId="534007697">
    <w:abstractNumId w:val="22"/>
  </w:num>
  <w:num w:numId="4" w16cid:durableId="1793013754">
    <w:abstractNumId w:val="16"/>
  </w:num>
  <w:num w:numId="5" w16cid:durableId="913588072">
    <w:abstractNumId w:val="25"/>
  </w:num>
  <w:num w:numId="6" w16cid:durableId="1877237518">
    <w:abstractNumId w:val="19"/>
  </w:num>
  <w:num w:numId="7" w16cid:durableId="1415784082">
    <w:abstractNumId w:val="4"/>
  </w:num>
  <w:num w:numId="8" w16cid:durableId="1165166882">
    <w:abstractNumId w:val="8"/>
  </w:num>
  <w:num w:numId="9" w16cid:durableId="1293899815">
    <w:abstractNumId w:val="10"/>
  </w:num>
  <w:num w:numId="10" w16cid:durableId="825051019">
    <w:abstractNumId w:val="13"/>
  </w:num>
  <w:num w:numId="11" w16cid:durableId="662467987">
    <w:abstractNumId w:val="14"/>
  </w:num>
  <w:num w:numId="12" w16cid:durableId="1280992397">
    <w:abstractNumId w:val="2"/>
  </w:num>
  <w:num w:numId="13" w16cid:durableId="1604338657">
    <w:abstractNumId w:val="18"/>
  </w:num>
  <w:num w:numId="14" w16cid:durableId="1984501401">
    <w:abstractNumId w:val="5"/>
  </w:num>
  <w:num w:numId="15" w16cid:durableId="2016571014">
    <w:abstractNumId w:val="26"/>
  </w:num>
  <w:num w:numId="16" w16cid:durableId="333653492">
    <w:abstractNumId w:val="11"/>
  </w:num>
  <w:num w:numId="17" w16cid:durableId="1706907445">
    <w:abstractNumId w:val="9"/>
  </w:num>
  <w:num w:numId="18" w16cid:durableId="903905064">
    <w:abstractNumId w:val="0"/>
  </w:num>
  <w:num w:numId="19" w16cid:durableId="14078055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4776284">
    <w:abstractNumId w:val="24"/>
  </w:num>
  <w:num w:numId="21" w16cid:durableId="1890725953">
    <w:abstractNumId w:val="17"/>
  </w:num>
  <w:num w:numId="22" w16cid:durableId="1642226279">
    <w:abstractNumId w:val="15"/>
  </w:num>
  <w:num w:numId="23" w16cid:durableId="1365061018">
    <w:abstractNumId w:val="1"/>
  </w:num>
  <w:num w:numId="24" w16cid:durableId="554506645">
    <w:abstractNumId w:val="28"/>
  </w:num>
  <w:num w:numId="25" w16cid:durableId="2008093082">
    <w:abstractNumId w:val="21"/>
  </w:num>
  <w:num w:numId="26" w16cid:durableId="1801990762">
    <w:abstractNumId w:val="3"/>
  </w:num>
  <w:num w:numId="27" w16cid:durableId="1471555016">
    <w:abstractNumId w:val="23"/>
  </w:num>
  <w:num w:numId="28" w16cid:durableId="334037212">
    <w:abstractNumId w:val="20"/>
  </w:num>
  <w:num w:numId="29" w16cid:durableId="1292175738">
    <w:abstractNumId w:val="20"/>
  </w:num>
  <w:num w:numId="30" w16cid:durableId="1292175738">
    <w:abstractNumId w:val="20"/>
  </w:num>
  <w:num w:numId="31" w16cid:durableId="1292175738">
    <w:abstractNumId w:val="20"/>
  </w:num>
  <w:num w:numId="32" w16cid:durableId="5025503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1"/>
    <w:rsid w:val="0000023C"/>
    <w:rsid w:val="00002E31"/>
    <w:rsid w:val="00076E7B"/>
    <w:rsid w:val="00077F0A"/>
    <w:rsid w:val="00084918"/>
    <w:rsid w:val="000F652C"/>
    <w:rsid w:val="001057AC"/>
    <w:rsid w:val="00106D2C"/>
    <w:rsid w:val="00113A91"/>
    <w:rsid w:val="00122F00"/>
    <w:rsid w:val="00132E0C"/>
    <w:rsid w:val="00143B94"/>
    <w:rsid w:val="00176DBD"/>
    <w:rsid w:val="00193CED"/>
    <w:rsid w:val="00196953"/>
    <w:rsid w:val="00224E9D"/>
    <w:rsid w:val="00247149"/>
    <w:rsid w:val="002476A3"/>
    <w:rsid w:val="00264EED"/>
    <w:rsid w:val="002679C0"/>
    <w:rsid w:val="002A5AE0"/>
    <w:rsid w:val="002C7935"/>
    <w:rsid w:val="002E0418"/>
    <w:rsid w:val="002E3036"/>
    <w:rsid w:val="002F2484"/>
    <w:rsid w:val="00346DB9"/>
    <w:rsid w:val="00376362"/>
    <w:rsid w:val="00376E56"/>
    <w:rsid w:val="003836A1"/>
    <w:rsid w:val="00396721"/>
    <w:rsid w:val="003B0601"/>
    <w:rsid w:val="003B6D74"/>
    <w:rsid w:val="003C3629"/>
    <w:rsid w:val="003F4D6C"/>
    <w:rsid w:val="00445A52"/>
    <w:rsid w:val="004615E2"/>
    <w:rsid w:val="00485BE3"/>
    <w:rsid w:val="0049573E"/>
    <w:rsid w:val="004A646B"/>
    <w:rsid w:val="004E202F"/>
    <w:rsid w:val="005372AD"/>
    <w:rsid w:val="005932CA"/>
    <w:rsid w:val="00595447"/>
    <w:rsid w:val="005B66DD"/>
    <w:rsid w:val="005E0875"/>
    <w:rsid w:val="005E6EA7"/>
    <w:rsid w:val="00602C7E"/>
    <w:rsid w:val="00645A93"/>
    <w:rsid w:val="00663247"/>
    <w:rsid w:val="00677BF3"/>
    <w:rsid w:val="00733024"/>
    <w:rsid w:val="007C0D52"/>
    <w:rsid w:val="00800CD0"/>
    <w:rsid w:val="00802A37"/>
    <w:rsid w:val="0081696C"/>
    <w:rsid w:val="00850AA1"/>
    <w:rsid w:val="008739F2"/>
    <w:rsid w:val="0087636C"/>
    <w:rsid w:val="00877836"/>
    <w:rsid w:val="008B3B73"/>
    <w:rsid w:val="008C2ABE"/>
    <w:rsid w:val="008C6C34"/>
    <w:rsid w:val="008D553E"/>
    <w:rsid w:val="008E656F"/>
    <w:rsid w:val="009212D9"/>
    <w:rsid w:val="00933196"/>
    <w:rsid w:val="009605D2"/>
    <w:rsid w:val="00986B6E"/>
    <w:rsid w:val="009C3E0F"/>
    <w:rsid w:val="00A16A4B"/>
    <w:rsid w:val="00A2461B"/>
    <w:rsid w:val="00A35D5A"/>
    <w:rsid w:val="00A44703"/>
    <w:rsid w:val="00A538DD"/>
    <w:rsid w:val="00A702E2"/>
    <w:rsid w:val="00A95AC6"/>
    <w:rsid w:val="00AC1026"/>
    <w:rsid w:val="00AC106C"/>
    <w:rsid w:val="00AD060B"/>
    <w:rsid w:val="00AD4CFF"/>
    <w:rsid w:val="00AF2C76"/>
    <w:rsid w:val="00AF7C7C"/>
    <w:rsid w:val="00B12DF4"/>
    <w:rsid w:val="00B17739"/>
    <w:rsid w:val="00B42F77"/>
    <w:rsid w:val="00B95A1A"/>
    <w:rsid w:val="00B97A36"/>
    <w:rsid w:val="00BA0BBF"/>
    <w:rsid w:val="00BF0804"/>
    <w:rsid w:val="00BF12D9"/>
    <w:rsid w:val="00C03FE5"/>
    <w:rsid w:val="00C05835"/>
    <w:rsid w:val="00C26852"/>
    <w:rsid w:val="00C374A9"/>
    <w:rsid w:val="00C4112F"/>
    <w:rsid w:val="00CA50EC"/>
    <w:rsid w:val="00CE4913"/>
    <w:rsid w:val="00D14855"/>
    <w:rsid w:val="00D25236"/>
    <w:rsid w:val="00D27CCB"/>
    <w:rsid w:val="00D409A2"/>
    <w:rsid w:val="00D527E8"/>
    <w:rsid w:val="00D5602E"/>
    <w:rsid w:val="00D95963"/>
    <w:rsid w:val="00DE427B"/>
    <w:rsid w:val="00DF73B8"/>
    <w:rsid w:val="00E17670"/>
    <w:rsid w:val="00E23011"/>
    <w:rsid w:val="00E443ED"/>
    <w:rsid w:val="00E94D0A"/>
    <w:rsid w:val="00ED7BD9"/>
    <w:rsid w:val="00EE3874"/>
    <w:rsid w:val="00EF62E1"/>
    <w:rsid w:val="00F00273"/>
    <w:rsid w:val="00F50333"/>
    <w:rsid w:val="00F762F0"/>
    <w:rsid w:val="00F77AAA"/>
    <w:rsid w:val="00FA483F"/>
    <w:rsid w:val="00FB7687"/>
    <w:rsid w:val="00FC33EE"/>
    <w:rsid w:val="00FF5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3F185"/>
  <w15:chartTrackingRefBased/>
  <w15:docId w15:val="{427BEF34-A528-45BD-9B40-7A3AC1C7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31"/>
    <w:pPr>
      <w:spacing w:line="360" w:lineRule="auto"/>
    </w:pPr>
    <w:rPr>
      <w:rFonts w:ascii="Helvetica" w:hAnsi="Helvetica"/>
      <w:sz w:val="18"/>
    </w:rPr>
  </w:style>
  <w:style w:type="paragraph" w:styleId="Heading1">
    <w:name w:val="heading 1"/>
    <w:basedOn w:val="Normal"/>
    <w:next w:val="Normal"/>
    <w:link w:val="Heading1Char"/>
    <w:uiPriority w:val="9"/>
    <w:qFormat/>
    <w:rsid w:val="00F77A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B73"/>
    <w:pPr>
      <w:tabs>
        <w:tab w:val="center" w:pos="4680"/>
        <w:tab w:val="right" w:pos="9360"/>
      </w:tabs>
    </w:pPr>
  </w:style>
  <w:style w:type="character" w:customStyle="1" w:styleId="HeaderChar">
    <w:name w:val="Header Char"/>
    <w:basedOn w:val="DefaultParagraphFont"/>
    <w:link w:val="Header"/>
    <w:uiPriority w:val="99"/>
    <w:rsid w:val="008B3B73"/>
  </w:style>
  <w:style w:type="paragraph" w:styleId="Footer">
    <w:name w:val="footer"/>
    <w:basedOn w:val="Normal"/>
    <w:link w:val="FooterChar"/>
    <w:uiPriority w:val="99"/>
    <w:unhideWhenUsed/>
    <w:rsid w:val="008B3B73"/>
    <w:pPr>
      <w:tabs>
        <w:tab w:val="center" w:pos="4680"/>
        <w:tab w:val="right" w:pos="9360"/>
      </w:tabs>
    </w:pPr>
  </w:style>
  <w:style w:type="character" w:customStyle="1" w:styleId="FooterChar">
    <w:name w:val="Footer Char"/>
    <w:basedOn w:val="DefaultParagraphFont"/>
    <w:link w:val="Footer"/>
    <w:uiPriority w:val="99"/>
    <w:rsid w:val="008B3B73"/>
  </w:style>
  <w:style w:type="paragraph" w:customStyle="1" w:styleId="Default">
    <w:name w:val="Default"/>
    <w:rsid w:val="00376E56"/>
    <w:pPr>
      <w:autoSpaceDE w:val="0"/>
      <w:autoSpaceDN w:val="0"/>
      <w:adjustRightInd w:val="0"/>
    </w:pPr>
    <w:rPr>
      <w:rFonts w:ascii="Franklin Gothic Medium" w:hAnsi="Franklin Gothic Medium" w:cs="Franklin Gothic Medium"/>
      <w:color w:val="000000"/>
      <w:lang w:val="en-US"/>
    </w:rPr>
  </w:style>
  <w:style w:type="paragraph" w:styleId="ListParagraph">
    <w:name w:val="List Paragraph"/>
    <w:aliases w:val="Small Info (Address,Notes)"/>
    <w:basedOn w:val="Normal"/>
    <w:uiPriority w:val="34"/>
    <w:qFormat/>
    <w:rsid w:val="00196953"/>
    <w:pPr>
      <w:spacing w:after="160" w:line="252" w:lineRule="auto"/>
      <w:ind w:left="720"/>
      <w:contextualSpacing/>
    </w:pPr>
    <w:rPr>
      <w:rFonts w:ascii="Calibri" w:hAnsi="Calibri" w:cs="Calibri"/>
      <w:sz w:val="22"/>
      <w:szCs w:val="22"/>
      <w:lang w:val="en-US"/>
    </w:rPr>
  </w:style>
  <w:style w:type="character" w:customStyle="1" w:styleId="Heading1Char">
    <w:name w:val="Heading 1 Char"/>
    <w:basedOn w:val="DefaultParagraphFont"/>
    <w:link w:val="Heading1"/>
    <w:uiPriority w:val="9"/>
    <w:rsid w:val="00F77AA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06D2C"/>
    <w:pPr>
      <w:spacing w:before="100" w:beforeAutospacing="1" w:after="100" w:afterAutospacing="1" w:line="240" w:lineRule="auto"/>
    </w:pPr>
    <w:rPr>
      <w:rFonts w:ascii="Times New Roman" w:eastAsia="Times New Roman" w:hAnsi="Times New Roman" w:cs="Times New Roman"/>
      <w:sz w:val="24"/>
    </w:rPr>
  </w:style>
  <w:style w:type="paragraph" w:customStyle="1" w:styleId="p1">
    <w:name w:val="p1"/>
    <w:basedOn w:val="Normal"/>
    <w:uiPriority w:val="99"/>
    <w:semiHidden/>
    <w:rsid w:val="00106D2C"/>
    <w:pPr>
      <w:spacing w:before="100" w:beforeAutospacing="1" w:after="100" w:afterAutospacing="1" w:line="240" w:lineRule="auto"/>
    </w:pPr>
    <w:rPr>
      <w:rFonts w:ascii="Times New Roman" w:eastAsia="Times New Roman" w:hAnsi="Times New Roman" w:cs="Times New Roman"/>
      <w:sz w:val="24"/>
    </w:rPr>
  </w:style>
  <w:style w:type="character" w:customStyle="1" w:styleId="s1">
    <w:name w:val="s1"/>
    <w:basedOn w:val="DefaultParagraphFont"/>
    <w:rsid w:val="00106D2C"/>
  </w:style>
  <w:style w:type="character" w:styleId="CommentReference">
    <w:name w:val="annotation reference"/>
    <w:basedOn w:val="DefaultParagraphFont"/>
    <w:uiPriority w:val="99"/>
    <w:semiHidden/>
    <w:unhideWhenUsed/>
    <w:rsid w:val="009212D9"/>
    <w:rPr>
      <w:sz w:val="16"/>
      <w:szCs w:val="16"/>
    </w:rPr>
  </w:style>
  <w:style w:type="paragraph" w:styleId="CommentText">
    <w:name w:val="annotation text"/>
    <w:basedOn w:val="Normal"/>
    <w:link w:val="CommentTextChar"/>
    <w:uiPriority w:val="99"/>
    <w:semiHidden/>
    <w:unhideWhenUsed/>
    <w:rsid w:val="009212D9"/>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9212D9"/>
    <w:rPr>
      <w:sz w:val="20"/>
      <w:szCs w:val="20"/>
    </w:rPr>
  </w:style>
  <w:style w:type="paragraph" w:styleId="BodyText">
    <w:name w:val="Body Text"/>
    <w:basedOn w:val="Normal"/>
    <w:link w:val="BodyTextChar"/>
    <w:uiPriority w:val="1"/>
    <w:qFormat/>
    <w:rsid w:val="00D527E8"/>
    <w:pPr>
      <w:autoSpaceDE w:val="0"/>
      <w:autoSpaceDN w:val="0"/>
      <w:adjustRightInd w:val="0"/>
      <w:spacing w:line="240" w:lineRule="auto"/>
    </w:pPr>
    <w:rPr>
      <w:rFonts w:ascii="Arial" w:hAnsi="Arial" w:cs="Arial"/>
      <w:b/>
      <w:bCs/>
      <w:i/>
      <w:iCs/>
      <w:sz w:val="24"/>
    </w:rPr>
  </w:style>
  <w:style w:type="character" w:customStyle="1" w:styleId="BodyTextChar">
    <w:name w:val="Body Text Char"/>
    <w:basedOn w:val="DefaultParagraphFont"/>
    <w:link w:val="BodyText"/>
    <w:uiPriority w:val="1"/>
    <w:rsid w:val="00D527E8"/>
    <w:rPr>
      <w:rFonts w:ascii="Arial" w:hAnsi="Arial" w:cs="Arial"/>
      <w:b/>
      <w:bCs/>
      <w:i/>
      <w:iCs/>
    </w:rPr>
  </w:style>
  <w:style w:type="paragraph" w:customStyle="1" w:styleId="TableParagraph">
    <w:name w:val="Table Paragraph"/>
    <w:basedOn w:val="Normal"/>
    <w:uiPriority w:val="1"/>
    <w:qFormat/>
    <w:rsid w:val="00D527E8"/>
    <w:pPr>
      <w:autoSpaceDE w:val="0"/>
      <w:autoSpaceDN w:val="0"/>
      <w:adjustRightInd w:val="0"/>
      <w:spacing w:before="120" w:line="240" w:lineRule="auto"/>
      <w:ind w:left="107"/>
    </w:pPr>
    <w:rPr>
      <w:rFonts w:ascii="Arial" w:hAnsi="Arial" w:cs="Arial"/>
      <w:sz w:val="24"/>
    </w:rPr>
  </w:style>
  <w:style w:type="paragraph" w:styleId="Title">
    <w:name w:val="Title"/>
    <w:basedOn w:val="Normal"/>
    <w:next w:val="Normal"/>
    <w:link w:val="TitleChar"/>
    <w:uiPriority w:val="10"/>
    <w:qFormat/>
    <w:rsid w:val="00D527E8"/>
    <w:pPr>
      <w:autoSpaceDE w:val="0"/>
      <w:autoSpaceDN w:val="0"/>
      <w:adjustRightInd w:val="0"/>
      <w:spacing w:line="313" w:lineRule="exact"/>
      <w:ind w:left="2804" w:right="2804"/>
      <w:jc w:val="center"/>
    </w:pPr>
    <w:rPr>
      <w:rFonts w:ascii="Arial" w:hAnsi="Arial" w:cs="Arial"/>
      <w:b/>
      <w:bCs/>
      <w:sz w:val="28"/>
      <w:szCs w:val="28"/>
    </w:rPr>
  </w:style>
  <w:style w:type="character" w:customStyle="1" w:styleId="TitleChar">
    <w:name w:val="Title Char"/>
    <w:basedOn w:val="DefaultParagraphFont"/>
    <w:link w:val="Title"/>
    <w:uiPriority w:val="10"/>
    <w:rsid w:val="00D527E8"/>
    <w:rPr>
      <w:rFonts w:ascii="Arial" w:hAnsi="Arial" w:cs="Arial"/>
      <w:b/>
      <w:bCs/>
      <w:sz w:val="28"/>
      <w:szCs w:val="28"/>
    </w:rPr>
  </w:style>
  <w:style w:type="character" w:styleId="Hyperlink">
    <w:name w:val="Hyperlink"/>
    <w:basedOn w:val="DefaultParagraphFont"/>
    <w:uiPriority w:val="99"/>
    <w:unhideWhenUsed/>
    <w:rsid w:val="00B42F77"/>
    <w:rPr>
      <w:color w:val="0563C1" w:themeColor="hyperlink"/>
      <w:u w:val="single"/>
    </w:rPr>
  </w:style>
  <w:style w:type="paragraph" w:styleId="Subtitle">
    <w:name w:val="Subtitle"/>
    <w:basedOn w:val="Normal"/>
    <w:next w:val="Normal"/>
    <w:link w:val="SubtitleChar"/>
    <w:uiPriority w:val="11"/>
    <w:qFormat/>
    <w:rsid w:val="00AD060B"/>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AD060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745">
      <w:bodyDiv w:val="1"/>
      <w:marLeft w:val="0"/>
      <w:marRight w:val="0"/>
      <w:marTop w:val="0"/>
      <w:marBottom w:val="0"/>
      <w:divBdr>
        <w:top w:val="none" w:sz="0" w:space="0" w:color="auto"/>
        <w:left w:val="none" w:sz="0" w:space="0" w:color="auto"/>
        <w:bottom w:val="none" w:sz="0" w:space="0" w:color="auto"/>
        <w:right w:val="none" w:sz="0" w:space="0" w:color="auto"/>
      </w:divBdr>
    </w:div>
    <w:div w:id="29644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Barrett\CUI\Corporate%20-%20Documents\05.%20CUI%20Communications\01.%20Branding\3.%20Templates%20and%20Presentation%20Decks\CUI%20LETTERHEAD%20TEMPLATE%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8B5DE14AAC4DB3FAD6468FF34C3C" ma:contentTypeVersion="19" ma:contentTypeDescription="Create a new document." ma:contentTypeScope="" ma:versionID="71cfe8eedf87ebb05f2ad6da43dddd17">
  <xsd:schema xmlns:xsd="http://www.w3.org/2001/XMLSchema" xmlns:xs="http://www.w3.org/2001/XMLSchema" xmlns:p="http://schemas.microsoft.com/office/2006/metadata/properties" xmlns:ns2="610bd5a8-85e1-4781-99a7-b957eaa29ee4" xmlns:ns3="ffe3c23d-76f0-4ee7-8581-83cf32501e09" targetNamespace="http://schemas.microsoft.com/office/2006/metadata/properties" ma:root="true" ma:fieldsID="80264a6ba9a211e6f66cb3b8528571b1" ns2:_="" ns3:_="">
    <xsd:import namespace="610bd5a8-85e1-4781-99a7-b957eaa29ee4"/>
    <xsd:import namespace="ffe3c23d-76f0-4ee7-8581-83cf32501e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bd5a8-85e1-4781-99a7-b957eaa29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c1908ad-25f1-46be-8ba3-07b00c57c2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e3c23d-76f0-4ee7-8581-83cf32501e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76386c-8781-4602-b272-21852cc8427c}" ma:internalName="TaxCatchAll" ma:showField="CatchAllData" ma:web="ffe3c23d-76f0-4ee7-8581-83cf32501e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e3c23d-76f0-4ee7-8581-83cf32501e09" xsi:nil="true"/>
    <lcf76f155ced4ddcb4097134ff3c332f xmlns="610bd5a8-85e1-4781-99a7-b957eaa29ee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71E7C2-B4D9-4855-B96F-3002CEADE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bd5a8-85e1-4781-99a7-b957eaa29ee4"/>
    <ds:schemaRef ds:uri="ffe3c23d-76f0-4ee7-8581-83cf32501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1C6EC8-E82E-41EE-81BE-146841BCB739}">
  <ds:schemaRefs>
    <ds:schemaRef ds:uri="http://schemas.microsoft.com/sharepoint/v3/contenttype/forms"/>
  </ds:schemaRefs>
</ds:datastoreItem>
</file>

<file path=customXml/itemProps3.xml><?xml version="1.0" encoding="utf-8"?>
<ds:datastoreItem xmlns:ds="http://schemas.openxmlformats.org/officeDocument/2006/customXml" ds:itemID="{EE953D8D-C305-421E-92C8-A08D84AE04B3}">
  <ds:schemaRefs>
    <ds:schemaRef ds:uri="http://schemas.microsoft.com/office/2006/metadata/properties"/>
    <ds:schemaRef ds:uri="http://schemas.microsoft.com/office/infopath/2007/PartnerControls"/>
    <ds:schemaRef ds:uri="ffe3c23d-76f0-4ee7-8581-83cf32501e09"/>
    <ds:schemaRef ds:uri="610bd5a8-85e1-4781-99a7-b957eaa29ee4"/>
  </ds:schemaRefs>
</ds:datastoreItem>
</file>

<file path=docProps/app.xml><?xml version="1.0" encoding="utf-8"?>
<Properties xmlns="http://schemas.openxmlformats.org/officeDocument/2006/extended-properties" xmlns:vt="http://schemas.openxmlformats.org/officeDocument/2006/docPropsVTypes">
  <Template>CUI LETTERHEAD TEMPLATE 2020</Template>
  <TotalTime>4</TotalTime>
  <Pages>3</Pages>
  <Words>1314</Words>
  <Characters>7020</Characters>
  <Application>Microsoft Office Word</Application>
  <DocSecurity>0</DocSecurity>
  <Lines>159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Barrett</dc:creator>
  <cp:keywords/>
  <dc:description/>
  <cp:lastModifiedBy>Alex Tabascio</cp:lastModifiedBy>
  <cp:revision>8</cp:revision>
  <dcterms:created xsi:type="dcterms:W3CDTF">2023-12-12T18:18:00Z</dcterms:created>
  <dcterms:modified xsi:type="dcterms:W3CDTF">2023-12-12T20:51:00Z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0x01010079F18B5DE14AAC4DB3FAD6468FF34C3C</vt:lpwstr>
  </property>
  <property fmtid="{D5CDD505-2E9C-101B-9397-08002B2CF9AE}" pid="3" name="GrammarlyDocumentId">
    <vt:lpwstr>b54d5fb222c654f7953cb84a2a57eb8800c7281d984192cf57e197b459a2f574</vt:lpwstr>
  </property>
  <property fmtid="{D5CDD505-2E9C-101B-9397-08002B2CF9AE}" pid="4" name="MediaServiceImageTags">
    <vt:lpwstr/>
  </property>
</Properties>
</file>