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 RAN Twin</w:t>
      </w:r>
    </w:p>
    <w:p>
      <w:pPr>
        <w:pStyle w:val="Subtitle"/>
      </w:pPr>
      <w:r>
        <w:t>Software Design for Further Development</w:t>
      </w:r>
    </w:p>
    <w:p>
      <w:r>
        <w:t>Version 1   2 October 2026</w:t>
      </w:r>
    </w:p>
    <w:p>
      <w:r>
        <w:t>Architecture and implementation contracts for an offline radio planning and measurement validation product. The design also defines the prerequisites for connected observations and controlled network changes.</w:t>
      </w:r>
    </w:p>
    <w:p>
      <w:pPr>
        <w:pStyle w:val="Heading2"/>
      </w:pPr>
      <w:r>
        <w:t>Development direction</w:t>
      </w:r>
    </w:p>
    <w:p>
      <w:r>
        <w:t>Complete a reproducible engineering workflow that connects source evidence, a frozen network baseline, candidate changes, supported simulation runs, and reviewed results. Preserve the current React and MapLibre application while extending the domain model, storage boundaries, execution contracts, and validation tools in stages.</w:t>
      </w:r>
    </w:p>
    <w:p>
      <w:pPr>
        <w:pStyle w:val="Heading2"/>
      </w:pPr>
      <w:r>
        <w:t>Readers and use</w:t>
      </w:r>
    </w:p>
    <w:p>
      <w:r>
        <w:t>Developers and architects can use this document to break work into implementation packages, review API and data contracts, and agree on release criteria. RF engineers own metric semantics and model acceptance. Product and operations reviewers use the requirements, roadmap, risks, and acceptance matrix to evaluate scope.</w:t>
      </w:r>
    </w:p>
    <w:p>
      <w:pPr>
        <w:pStyle w:val="Heading2"/>
      </w:pPr>
      <w:r>
        <w:t>Document control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16324F"/>
            <w:tcMar>
              <w:top w:w="50" w:type="dxa"/>
              <w:bottom w:w="50" w:type="dxa"/>
              <w:left w:w="90" w:type="dxa"/>
              <w:right w:w="90" w:type="dxa"/>
            </w:tcMar>
          </w:tcPr>
          <w:p>
            <w:pPr>
              <w:spacing w:after="40" w:line="250" w:lineRule="auto"/>
            </w:pPr>
            <w:r>
              <w:rPr>
                <w:rFonts w:ascii="Arial" w:hAnsi="Arial"/>
                <w:b/>
                <w:color w:val="FFFFFF"/>
                <w:sz w:val="21"/>
              </w:rPr>
              <w:t>Attribute</w:t>
            </w:r>
          </w:p>
        </w:tc>
        <w:tc>
          <w:tcPr>
            <w:tcW w:type="dxa" w:w="7704"/>
            <w:vAlign w:val="center"/>
            <w:shd w:fill="16324F"/>
            <w:tcMar>
              <w:top w:w="50" w:type="dxa"/>
              <w:bottom w:w="50" w:type="dxa"/>
              <w:left w:w="90" w:type="dxa"/>
              <w:right w:w="90" w:type="dxa"/>
            </w:tcMar>
          </w:tcPr>
          <w:p>
            <w:pPr>
              <w:spacing w:after="40" w:line="250" w:lineRule="auto"/>
            </w:pPr>
            <w:r>
              <w:rPr>
                <w:rFonts w:ascii="Arial" w:hAnsi="Arial"/>
                <w:b/>
                <w:color w:val="FFFFFF"/>
                <w:sz w:val="21"/>
              </w:rPr>
              <w:t>Value</w:t>
            </w:r>
          </w:p>
        </w:tc>
      </w:tr>
      <w:tr>
        <w:trPr>
          <w:cantSplit/>
        </w:trPr>
        <w:tc>
          <w:tcPr>
            <w:tcW w:type="dxa" w:w="2232"/>
            <w:vAlign w:val="center"/>
            <w:shd w:fill="FFFFFF"/>
            <w:tcMar>
              <w:top w:w="50" w:type="dxa"/>
              <w:bottom w:w="50" w:type="dxa"/>
              <w:left w:w="90" w:type="dxa"/>
              <w:right w:w="90" w:type="dxa"/>
            </w:tcMar>
          </w:tcPr>
          <w:p>
            <w:pPr>
              <w:spacing w:after="40" w:line="250" w:lineRule="auto"/>
            </w:pPr>
            <w:r>
              <w:rPr>
                <w:rFonts w:ascii="Arial" w:hAnsi="Arial"/>
                <w:b w:val="0"/>
                <w:color w:val="202B35"/>
                <w:sz w:val="21"/>
              </w:rPr>
              <w:t>Design status</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Proposed development design with an implemented baseline</w:t>
            </w:r>
          </w:p>
        </w:tc>
      </w:tr>
      <w:tr>
        <w:trPr>
          <w:cantSplit/>
        </w:trPr>
        <w:tc>
          <w:tcPr>
            <w:tcW w:type="dxa" w:w="2232"/>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Application</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Atlas RAN Twin React and TypeScript application</w:t>
            </w:r>
          </w:p>
        </w:tc>
      </w:tr>
      <w:tr>
        <w:trPr>
          <w:cantSplit/>
        </w:trPr>
        <w:tc>
          <w:tcPr>
            <w:tcW w:type="dxa" w:w="2232"/>
            <w:vAlign w:val="center"/>
            <w:shd w:fill="FFFFFF"/>
            <w:tcMar>
              <w:top w:w="50" w:type="dxa"/>
              <w:bottom w:w="50" w:type="dxa"/>
              <w:left w:w="90" w:type="dxa"/>
              <w:right w:w="90" w:type="dxa"/>
            </w:tcMar>
          </w:tcPr>
          <w:p>
            <w:pPr>
              <w:spacing w:after="40" w:line="250" w:lineRule="auto"/>
            </w:pPr>
            <w:r>
              <w:rPr>
                <w:rFonts w:ascii="Arial" w:hAnsi="Arial"/>
                <w:b w:val="0"/>
                <w:color w:val="202B35"/>
                <w:sz w:val="21"/>
              </w:rPr>
              <w:t>Source baseline</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Working tree inspected on 2 October 2026</w:t>
            </w:r>
          </w:p>
        </w:tc>
      </w:tr>
      <w:tr>
        <w:trPr>
          <w:cantSplit/>
        </w:trPr>
        <w:tc>
          <w:tcPr>
            <w:tcW w:type="dxa" w:w="2232"/>
            <w:vAlign w:val="center"/>
            <w:shd w:fill="F1F5F8"/>
            <w:tcMar>
              <w:top w:w="50" w:type="dxa"/>
              <w:bottom w:w="50" w:type="dxa"/>
              <w:left w:w="90" w:type="dxa"/>
              <w:right w:w="90" w:type="dxa"/>
            </w:tcMar>
          </w:tcPr>
          <w:p>
            <w:pPr>
              <w:spacing w:after="40" w:line="250" w:lineRule="auto"/>
            </w:pPr>
            <w:r>
              <w:rPr>
                <w:rFonts w:ascii="Arial" w:hAnsi="Arial"/>
                <w:b w:val="0"/>
                <w:color w:val="202B35"/>
                <w:sz w:val="21"/>
              </w:rPr>
              <w:t>Base commit</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46c34d9792fad9934f4ade64d672799c7371efa4</w:t>
            </w:r>
          </w:p>
        </w:tc>
      </w:tr>
      <w:tr>
        <w:trPr>
          <w:cantSplit/>
        </w:trPr>
        <w:tc>
          <w:tcPr>
            <w:tcW w:type="dxa" w:w="223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Repository</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UI_UX_Mockup_Typescript</w:t>
            </w:r>
          </w:p>
        </w:tc>
      </w:tr>
      <w:tr>
        <w:trPr>
          <w:cantSplit/>
        </w:trPr>
        <w:tc>
          <w:tcPr>
            <w:tcW w:type="dxa" w:w="223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Release objective</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Reproducible offline RF validation before connected operations</w:t>
            </w:r>
          </w:p>
        </w:tc>
      </w:tr>
    </w:tbl>
    <w:p>
      <w:pPr>
        <w:spacing w:before="80"/>
      </w:pPr>
      <w:r>
        <w:t>The current source includes changes beyond the base commit. Appendix D identifies the repository evidence and file digests used to define this baseline. Requirements described as proposed become implemented only after their acceptance criteria pass.</w:t>
      </w:r>
    </w:p>
    <w:p>
      <w:r>
        <w:br w:type="page"/>
      </w:r>
    </w:p>
    <w:p>
      <w:pPr>
        <w:pStyle w:val="Heading1"/>
      </w:pPr>
      <w:r>
        <w:t>Contents</w:t>
      </w:r>
    </w:p>
    <w:p>
      <w:pPr>
        <w:tabs>
          <w:tab w:pos="9648" w:val="right"/>
        </w:tabs>
        <w:spacing w:after="64" w:line="240" w:lineRule="auto"/>
      </w:pPr>
      <w:hyperlink w:anchor="section_1">
        <w:r>
          <w:rPr>
            <w:color w:val="16324F"/>
          </w:rPr>
          <w:t>1 Purpose and design decisions</w:t>
        </w:r>
      </w:hyperlink>
      <w:r>
        <w:rPr>
          <w:sz w:val="20"/>
        </w:rPr>
        <w:tab/>
        <w:t>3</w:t>
      </w:r>
    </w:p>
    <w:p>
      <w:pPr>
        <w:tabs>
          <w:tab w:pos="9648" w:val="right"/>
        </w:tabs>
        <w:spacing w:after="64" w:line="240" w:lineRule="auto"/>
      </w:pPr>
      <w:hyperlink w:anchor="section_2">
        <w:r>
          <w:rPr>
            <w:color w:val="16324F"/>
          </w:rPr>
          <w:t>2 Implemented architecture and capability</w:t>
        </w:r>
      </w:hyperlink>
      <w:r>
        <w:rPr>
          <w:sz w:val="20"/>
        </w:rPr>
        <w:tab/>
        <w:t>4</w:t>
      </w:r>
    </w:p>
    <w:p>
      <w:pPr>
        <w:tabs>
          <w:tab w:pos="9648" w:val="right"/>
        </w:tabs>
        <w:spacing w:after="64" w:line="240" w:lineRule="auto"/>
      </w:pPr>
      <w:hyperlink w:anchor="section_3">
        <w:r>
          <w:rPr>
            <w:color w:val="16324F"/>
          </w:rPr>
          <w:t>3 Functional requirements</w:t>
        </w:r>
      </w:hyperlink>
      <w:r>
        <w:rPr>
          <w:sz w:val="20"/>
        </w:rPr>
        <w:tab/>
        <w:t>5</w:t>
      </w:r>
    </w:p>
    <w:p>
      <w:pPr>
        <w:tabs>
          <w:tab w:pos="9648" w:val="right"/>
        </w:tabs>
        <w:spacing w:after="64" w:line="240" w:lineRule="auto"/>
      </w:pPr>
      <w:hyperlink w:anchor="section_4">
        <w:r>
          <w:rPr>
            <w:color w:val="16324F"/>
          </w:rPr>
          <w:t>4 Quality attributes and scale targets</w:t>
        </w:r>
      </w:hyperlink>
      <w:r>
        <w:rPr>
          <w:sz w:val="20"/>
        </w:rPr>
        <w:tab/>
        <w:t>6</w:t>
      </w:r>
    </w:p>
    <w:p>
      <w:pPr>
        <w:tabs>
          <w:tab w:pos="9648" w:val="right"/>
        </w:tabs>
        <w:spacing w:after="64" w:line="240" w:lineRule="auto"/>
      </w:pPr>
      <w:hyperlink w:anchor="section_5">
        <w:r>
          <w:rPr>
            <w:color w:val="16324F"/>
          </w:rPr>
          <w:t>5 Proposed system architecture</w:t>
        </w:r>
      </w:hyperlink>
      <w:r>
        <w:rPr>
          <w:sz w:val="20"/>
        </w:rPr>
        <w:tab/>
        <w:t>7</w:t>
      </w:r>
    </w:p>
    <w:p>
      <w:pPr>
        <w:tabs>
          <w:tab w:pos="9648" w:val="right"/>
        </w:tabs>
        <w:spacing w:after="64" w:line="240" w:lineRule="auto"/>
      </w:pPr>
      <w:hyperlink w:anchor="section_6">
        <w:r>
          <w:rPr>
            <w:color w:val="16324F"/>
          </w:rPr>
          <w:t>6 Module ownership and implementation boundaries</w:t>
        </w:r>
      </w:hyperlink>
      <w:r>
        <w:rPr>
          <w:sz w:val="20"/>
        </w:rPr>
        <w:tab/>
        <w:t>8</w:t>
      </w:r>
    </w:p>
    <w:p>
      <w:pPr>
        <w:tabs>
          <w:tab w:pos="9648" w:val="right"/>
        </w:tabs>
        <w:spacing w:after="64" w:line="240" w:lineRule="auto"/>
      </w:pPr>
      <w:hyperlink w:anchor="section_7">
        <w:r>
          <w:rPr>
            <w:color w:val="16324F"/>
          </w:rPr>
          <w:t>7 State ownership and command lifecycle</w:t>
        </w:r>
      </w:hyperlink>
      <w:r>
        <w:rPr>
          <w:sz w:val="20"/>
        </w:rPr>
        <w:tab/>
        <w:t>9</w:t>
      </w:r>
    </w:p>
    <w:p>
      <w:pPr>
        <w:tabs>
          <w:tab w:pos="9648" w:val="right"/>
        </w:tabs>
        <w:spacing w:after="64" w:line="240" w:lineRule="auto"/>
      </w:pPr>
      <w:hyperlink w:anchor="section_8">
        <w:r>
          <w:rPr>
            <w:color w:val="16324F"/>
          </w:rPr>
          <w:t>8 Canonical network and identity model</w:t>
        </w:r>
      </w:hyperlink>
      <w:r>
        <w:rPr>
          <w:sz w:val="20"/>
        </w:rPr>
        <w:tab/>
        <w:t>10</w:t>
      </w:r>
    </w:p>
    <w:p>
      <w:pPr>
        <w:tabs>
          <w:tab w:pos="9648" w:val="right"/>
        </w:tabs>
        <w:spacing w:after="64" w:line="240" w:lineRule="auto"/>
      </w:pPr>
      <w:hyperlink w:anchor="section_9">
        <w:r>
          <w:rPr>
            <w:color w:val="16324F"/>
          </w:rPr>
          <w:t>9 Measurement versions and evidence provenance</w:t>
        </w:r>
      </w:hyperlink>
      <w:r>
        <w:rPr>
          <w:sz w:val="20"/>
        </w:rPr>
        <w:tab/>
        <w:t>11</w:t>
      </w:r>
    </w:p>
    <w:p>
      <w:pPr>
        <w:tabs>
          <w:tab w:pos="9648" w:val="right"/>
        </w:tabs>
        <w:spacing w:after="64" w:line="240" w:lineRule="auto"/>
      </w:pPr>
      <w:hyperlink w:anchor="section_10">
        <w:r>
          <w:rPr>
            <w:color w:val="16324F"/>
          </w:rPr>
          <w:t>10 Persistence and artifact storage design</w:t>
        </w:r>
      </w:hyperlink>
      <w:r>
        <w:rPr>
          <w:sz w:val="20"/>
        </w:rPr>
        <w:tab/>
        <w:t>12</w:t>
      </w:r>
    </w:p>
    <w:p>
      <w:pPr>
        <w:tabs>
          <w:tab w:pos="9648" w:val="right"/>
        </w:tabs>
        <w:spacing w:after="64" w:line="240" w:lineRule="auto"/>
      </w:pPr>
      <w:hyperlink w:anchor="section_11">
        <w:r>
          <w:rPr>
            <w:color w:val="16324F"/>
          </w:rPr>
          <w:t>11 Schema migration and integrity controls</w:t>
        </w:r>
      </w:hyperlink>
      <w:r>
        <w:rPr>
          <w:sz w:val="20"/>
        </w:rPr>
        <w:tab/>
        <w:t>13</w:t>
      </w:r>
    </w:p>
    <w:p>
      <w:pPr>
        <w:tabs>
          <w:tab w:pos="9648" w:val="right"/>
        </w:tabs>
        <w:spacing w:after="64" w:line="240" w:lineRule="auto"/>
      </w:pPr>
      <w:hyperlink w:anchor="section_12">
        <w:r>
          <w:rPr>
            <w:color w:val="16324F"/>
          </w:rPr>
          <w:t>12 Existing API and compatibility contract</w:t>
        </w:r>
      </w:hyperlink>
      <w:r>
        <w:rPr>
          <w:sz w:val="20"/>
        </w:rPr>
        <w:tab/>
        <w:t>14</w:t>
      </w:r>
    </w:p>
    <w:p>
      <w:pPr>
        <w:tabs>
          <w:tab w:pos="9648" w:val="right"/>
        </w:tabs>
        <w:spacing w:after="64" w:line="240" w:lineRule="auto"/>
      </w:pPr>
      <w:hyperlink w:anchor="section_13">
        <w:r>
          <w:rPr>
            <w:color w:val="16324F"/>
          </w:rPr>
          <w:t>13 Proposed versioned API contracts</w:t>
        </w:r>
      </w:hyperlink>
      <w:r>
        <w:rPr>
          <w:sz w:val="20"/>
        </w:rPr>
        <w:tab/>
        <w:t>15</w:t>
      </w:r>
    </w:p>
    <w:p>
      <w:pPr>
        <w:tabs>
          <w:tab w:pos="9648" w:val="right"/>
        </w:tabs>
        <w:spacing w:after="64" w:line="240" w:lineRule="auto"/>
      </w:pPr>
      <w:hyperlink w:anchor="section_14">
        <w:r>
          <w:rPr>
            <w:color w:val="16324F"/>
          </w:rPr>
          <w:t>14 Job lifecycle and worker contract</w:t>
        </w:r>
      </w:hyperlink>
      <w:r>
        <w:rPr>
          <w:sz w:val="20"/>
        </w:rPr>
        <w:tab/>
        <w:t>16</w:t>
      </w:r>
    </w:p>
    <w:p>
      <w:pPr>
        <w:tabs>
          <w:tab w:pos="9648" w:val="right"/>
        </w:tabs>
        <w:spacing w:after="64" w:line="240" w:lineRule="auto"/>
      </w:pPr>
      <w:hyperlink w:anchor="section_15">
        <w:r>
          <w:rPr>
            <w:color w:val="16324F"/>
          </w:rPr>
          <w:t>15 Propagation engines and RF metric contracts</w:t>
        </w:r>
      </w:hyperlink>
      <w:r>
        <w:rPr>
          <w:sz w:val="20"/>
        </w:rPr>
        <w:tab/>
        <w:t>17</w:t>
      </w:r>
    </w:p>
    <w:p>
      <w:pPr>
        <w:tabs>
          <w:tab w:pos="9648" w:val="right"/>
        </w:tabs>
        <w:spacing w:after="64" w:line="240" w:lineRule="auto"/>
      </w:pPr>
      <w:hyperlink w:anchor="section_16">
        <w:r>
          <w:rPr>
            <w:color w:val="16324F"/>
          </w:rPr>
          <w:t>16 GIS geometry and shared spatial context</w:t>
        </w:r>
      </w:hyperlink>
      <w:r>
        <w:rPr>
          <w:sz w:val="20"/>
        </w:rPr>
        <w:tab/>
        <w:t>18</w:t>
      </w:r>
    </w:p>
    <w:p>
      <w:pPr>
        <w:tabs>
          <w:tab w:pos="9648" w:val="right"/>
        </w:tabs>
        <w:spacing w:after="64" w:line="240" w:lineRule="auto"/>
      </w:pPr>
      <w:hyperlink w:anchor="section_17">
        <w:r>
          <w:rPr>
            <w:color w:val="16324F"/>
          </w:rPr>
          <w:t>17 Alignment and calibration design</w:t>
        </w:r>
      </w:hyperlink>
      <w:r>
        <w:rPr>
          <w:sz w:val="20"/>
        </w:rPr>
        <w:tab/>
        <w:t>19</w:t>
      </w:r>
    </w:p>
    <w:p>
      <w:pPr>
        <w:tabs>
          <w:tab w:pos="9648" w:val="right"/>
        </w:tabs>
        <w:spacing w:after="64" w:line="240" w:lineRule="auto"/>
      </w:pPr>
      <w:hyperlink w:anchor="section_18">
        <w:r>
          <w:rPr>
            <w:color w:val="16324F"/>
          </w:rPr>
          <w:t>18 Comparison review and report design</w:t>
        </w:r>
      </w:hyperlink>
      <w:r>
        <w:rPr>
          <w:sz w:val="20"/>
        </w:rPr>
        <w:tab/>
        <w:t>20</w:t>
      </w:r>
    </w:p>
    <w:p>
      <w:pPr>
        <w:tabs>
          <w:tab w:pos="9648" w:val="right"/>
        </w:tabs>
        <w:spacing w:after="64" w:line="240" w:lineRule="auto"/>
      </w:pPr>
      <w:hyperlink w:anchor="section_19">
        <w:r>
          <w:rPr>
            <w:color w:val="16324F"/>
          </w:rPr>
          <w:t>19 Experiments software comparisons and AI RAN</w:t>
        </w:r>
      </w:hyperlink>
      <w:r>
        <w:rPr>
          <w:sz w:val="20"/>
        </w:rPr>
        <w:tab/>
        <w:t>21</w:t>
      </w:r>
    </w:p>
    <w:p>
      <w:pPr>
        <w:tabs>
          <w:tab w:pos="9648" w:val="right"/>
        </w:tabs>
        <w:spacing w:after="64" w:line="240" w:lineRule="auto"/>
      </w:pPr>
      <w:hyperlink w:anchor="section_20">
        <w:r>
          <w:rPr>
            <w:color w:val="16324F"/>
          </w:rPr>
          <w:t>20 Security authorization and sensitive evidence</w:t>
        </w:r>
      </w:hyperlink>
      <w:r>
        <w:rPr>
          <w:sz w:val="20"/>
        </w:rPr>
        <w:tab/>
        <w:t>22</w:t>
      </w:r>
    </w:p>
    <w:p>
      <w:pPr>
        <w:tabs>
          <w:tab w:pos="9648" w:val="right"/>
        </w:tabs>
        <w:spacing w:after="64" w:line="240" w:lineRule="auto"/>
      </w:pPr>
      <w:hyperlink w:anchor="section_21">
        <w:r>
          <w:rPr>
            <w:color w:val="16324F"/>
          </w:rPr>
          <w:t>21 Connected observations and controlled actions</w:t>
        </w:r>
      </w:hyperlink>
      <w:r>
        <w:rPr>
          <w:sz w:val="20"/>
        </w:rPr>
        <w:tab/>
        <w:t>23</w:t>
      </w:r>
    </w:p>
    <w:p>
      <w:pPr>
        <w:tabs>
          <w:tab w:pos="9648" w:val="right"/>
        </w:tabs>
        <w:spacing w:after="64" w:line="240" w:lineRule="auto"/>
      </w:pPr>
      <w:hyperlink w:anchor="section_22">
        <w:r>
          <w:rPr>
            <w:color w:val="16324F"/>
          </w:rPr>
          <w:t>22 Deployment environments and release operations</w:t>
        </w:r>
      </w:hyperlink>
      <w:r>
        <w:rPr>
          <w:sz w:val="20"/>
        </w:rPr>
        <w:tab/>
        <w:t>24</w:t>
      </w:r>
    </w:p>
    <w:p>
      <w:pPr>
        <w:tabs>
          <w:tab w:pos="9648" w:val="right"/>
        </w:tabs>
        <w:spacing w:after="64" w:line="240" w:lineRule="auto"/>
      </w:pPr>
      <w:hyperlink w:anchor="section_23">
        <w:r>
          <w:rPr>
            <w:color w:val="16324F"/>
          </w:rPr>
          <w:t>23 Observability recovery and support</w:t>
        </w:r>
      </w:hyperlink>
      <w:r>
        <w:rPr>
          <w:sz w:val="20"/>
        </w:rPr>
        <w:tab/>
        <w:t>25</w:t>
      </w:r>
    </w:p>
    <w:p>
      <w:pPr>
        <w:tabs>
          <w:tab w:pos="9648" w:val="right"/>
        </w:tabs>
        <w:spacing w:after="64" w:line="240" w:lineRule="auto"/>
      </w:pPr>
      <w:hyperlink w:anchor="section_24">
        <w:r>
          <w:rPr>
            <w:color w:val="16324F"/>
          </w:rPr>
          <w:t>24 Verification strategy and release evidence</w:t>
        </w:r>
      </w:hyperlink>
      <w:r>
        <w:rPr>
          <w:sz w:val="20"/>
        </w:rPr>
        <w:tab/>
        <w:t>26</w:t>
      </w:r>
    </w:p>
    <w:p>
      <w:pPr>
        <w:tabs>
          <w:tab w:pos="9648" w:val="right"/>
        </w:tabs>
        <w:spacing w:after="64" w:line="240" w:lineRule="auto"/>
      </w:pPr>
      <w:hyperlink w:anchor="section_25">
        <w:r>
          <w:rPr>
            <w:color w:val="16324F"/>
          </w:rPr>
          <w:t>25 Development phases and release gates</w:t>
        </w:r>
      </w:hyperlink>
      <w:r>
        <w:rPr>
          <w:sz w:val="20"/>
        </w:rPr>
        <w:tab/>
        <w:t>27</w:t>
      </w:r>
    </w:p>
    <w:p>
      <w:pPr>
        <w:tabs>
          <w:tab w:pos="9648" w:val="right"/>
        </w:tabs>
        <w:spacing w:after="64" w:line="240" w:lineRule="auto"/>
      </w:pPr>
      <w:hyperlink w:anchor="section_26">
        <w:r>
          <w:rPr>
            <w:color w:val="16324F"/>
          </w:rPr>
          <w:t>26 Implementation backlog</w:t>
        </w:r>
      </w:hyperlink>
      <w:r>
        <w:rPr>
          <w:sz w:val="20"/>
        </w:rPr>
        <w:tab/>
        <w:t>28</w:t>
      </w:r>
    </w:p>
    <w:p>
      <w:pPr>
        <w:tabs>
          <w:tab w:pos="9648" w:val="right"/>
        </w:tabs>
        <w:spacing w:after="64" w:line="240" w:lineRule="auto"/>
      </w:pPr>
      <w:hyperlink w:anchor="section_27">
        <w:r>
          <w:rPr>
            <w:color w:val="16324F"/>
          </w:rPr>
          <w:t>27 Risks open decisions and architecture review</w:t>
        </w:r>
      </w:hyperlink>
      <w:r>
        <w:rPr>
          <w:sz w:val="20"/>
        </w:rPr>
        <w:tab/>
        <w:t>29</w:t>
      </w:r>
    </w:p>
    <w:p>
      <w:pPr>
        <w:tabs>
          <w:tab w:pos="9648" w:val="right"/>
        </w:tabs>
        <w:spacing w:after="64" w:line="240" w:lineRule="auto"/>
      </w:pPr>
      <w:hyperlink w:anchor="section_28">
        <w:r>
          <w:rPr>
            <w:color w:val="16324F"/>
          </w:rPr>
          <w:t>Appendix A Proposed schema contracts</w:t>
        </w:r>
      </w:hyperlink>
      <w:r>
        <w:rPr>
          <w:sz w:val="20"/>
        </w:rPr>
        <w:tab/>
        <w:t>30</w:t>
      </w:r>
    </w:p>
    <w:p>
      <w:pPr>
        <w:tabs>
          <w:tab w:pos="9648" w:val="right"/>
        </w:tabs>
        <w:spacing w:after="64" w:line="240" w:lineRule="auto"/>
      </w:pPr>
      <w:hyperlink w:anchor="section_29">
        <w:r>
          <w:rPr>
            <w:color w:val="16324F"/>
          </w:rPr>
          <w:t>Appendix B End to end sequences</w:t>
        </w:r>
      </w:hyperlink>
      <w:r>
        <w:rPr>
          <w:sz w:val="20"/>
        </w:rPr>
        <w:tab/>
        <w:t>31</w:t>
      </w:r>
    </w:p>
    <w:p>
      <w:pPr>
        <w:tabs>
          <w:tab w:pos="9648" w:val="right"/>
        </w:tabs>
        <w:spacing w:after="64" w:line="240" w:lineRule="auto"/>
      </w:pPr>
      <w:hyperlink w:anchor="section_30">
        <w:r>
          <w:rPr>
            <w:color w:val="16324F"/>
          </w:rPr>
          <w:t>Appendix C Acceptance traceability</w:t>
        </w:r>
      </w:hyperlink>
      <w:r>
        <w:rPr>
          <w:sz w:val="20"/>
        </w:rPr>
        <w:tab/>
        <w:t>32</w:t>
      </w:r>
    </w:p>
    <w:p>
      <w:pPr>
        <w:tabs>
          <w:tab w:pos="9648" w:val="right"/>
        </w:tabs>
        <w:spacing w:after="64" w:line="240" w:lineRule="auto"/>
      </w:pPr>
      <w:hyperlink w:anchor="section_31">
        <w:r>
          <w:rPr>
            <w:color w:val="16324F"/>
          </w:rPr>
          <w:t>Appendix D Source register</w:t>
        </w:r>
      </w:hyperlink>
      <w:r>
        <w:rPr>
          <w:sz w:val="20"/>
        </w:rPr>
        <w:tab/>
        <w:t>33</w:t>
      </w:r>
    </w:p>
    <w:p>
      <w:pPr>
        <w:tabs>
          <w:tab w:pos="9648" w:val="right"/>
        </w:tabs>
        <w:spacing w:after="64" w:line="240" w:lineRule="auto"/>
      </w:pPr>
      <w:hyperlink w:anchor="section_32">
        <w:r>
          <w:rPr>
            <w:color w:val="16324F"/>
          </w:rPr>
          <w:t>Appendix E Glossary and design review checklist</w:t>
        </w:r>
      </w:hyperlink>
      <w:r>
        <w:rPr>
          <w:sz w:val="20"/>
        </w:rPr>
        <w:tab/>
        <w:t>34</w:t>
      </w:r>
    </w:p>
    <w:p>
      <w:bookmarkStart w:id="1" w:name="section_1"/>
      <w:pPr>
        <w:pStyle w:val="Heading1"/>
        <w:pageBreakBefore/>
      </w:pPr>
      <w:r>
        <w:t>1 Purpose and design decisions</w:t>
      </w:r>
      <w:bookmarkEnd w:id="1"/>
    </w:p>
    <w:p>
      <w:r>
        <w:t>The next development phase should deliver an offline RF engineering study that another reviewer can reproduce from retained inputs. A study begins with a declared objective and evidence, freezes a baseline, records candidate changes, executes only supported models, and publishes a comparison with explicit limitations. Connected observation and network control follow after this workflow has reliable identity, authorization, and operational evidence.</w:t>
      </w:r>
    </w:p>
    <w:p>
      <w:pPr>
        <w:pStyle w:val="Heading2"/>
      </w:pPr>
      <w:r>
        <w:t>Scope and release boundaries</w:t>
      </w:r>
    </w:p>
    <w:p>
      <w:r>
        <w:t>The first release includes inventory and measurement import, source interpretation, geometry and antenna preparation, immutable study versions, route or radio-map execution, calibration diagnostics, comparison, and reviewable reports. The current single-link path runner remains a supported diagnostic capability. Package A/B tests, virtual UE execution, AI-RAN generation, and operational integrations require their own execution adapters before they can claim actual results.</w:t>
      </w:r>
    </w:p>
    <w:p>
      <w:r>
        <w:t>The Gangnam example remains a deterministic demonstration. Its synthetic KPIs cannot establish field accuracy. Registered facility coordinates do not establish live cell configuration, antenna mounting height, or present operational connectivity.</w:t>
      </w:r>
    </w:p>
    <w:p>
      <w:pPr>
        <w:pStyle w:val="Heading2"/>
      </w:pPr>
      <w:r>
        <w:t>Architecture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888"/>
        <w:gridCol w:w="5256"/>
      </w:tblGrid>
      <w:tr>
        <w:trPr>
          <w:cantSplit/>
          <w:tblHeader/>
        </w:trPr>
        <w:tc>
          <w:tcPr>
            <w:tcW w:type="dxa" w:w="792"/>
            <w:vAlign w:val="center"/>
            <w:shd w:fill="16324F"/>
            <w:tcMar>
              <w:top w:w="50" w:type="dxa"/>
              <w:bottom w:w="50" w:type="dxa"/>
              <w:left w:w="90" w:type="dxa"/>
              <w:right w:w="90" w:type="dxa"/>
            </w:tcMar>
          </w:tcPr>
          <w:p>
            <w:pPr>
              <w:spacing w:after="40" w:line="250" w:lineRule="auto"/>
              <w:jc w:val="center"/>
            </w:pPr>
            <w:r>
              <w:rPr>
                <w:rFonts w:ascii="Arial" w:hAnsi="Arial"/>
                <w:b/>
                <w:color w:val="FFFFFF"/>
                <w:sz w:val="21"/>
              </w:rPr>
              <w:t>ID</w:t>
            </w:r>
          </w:p>
        </w:tc>
        <w:tc>
          <w:tcPr>
            <w:tcW w:type="dxa" w:w="3888"/>
            <w:vAlign w:val="center"/>
            <w:shd w:fill="16324F"/>
            <w:tcMar>
              <w:top w:w="50" w:type="dxa"/>
              <w:bottom w:w="50" w:type="dxa"/>
              <w:left w:w="90" w:type="dxa"/>
              <w:right w:w="90" w:type="dxa"/>
            </w:tcMar>
          </w:tcPr>
          <w:p>
            <w:pPr>
              <w:spacing w:after="40" w:line="250" w:lineRule="auto"/>
            </w:pPr>
            <w:r>
              <w:rPr>
                <w:rFonts w:ascii="Arial" w:hAnsi="Arial"/>
                <w:b/>
                <w:color w:val="FFFFFF"/>
                <w:sz w:val="21"/>
              </w:rPr>
              <w:t>Decision</w:t>
            </w:r>
          </w:p>
        </w:tc>
        <w:tc>
          <w:tcPr>
            <w:tcW w:type="dxa" w:w="5256"/>
            <w:vAlign w:val="center"/>
            <w:shd w:fill="16324F"/>
            <w:tcMar>
              <w:top w:w="50" w:type="dxa"/>
              <w:bottom w:w="50" w:type="dxa"/>
              <w:left w:w="90" w:type="dxa"/>
              <w:right w:w="90" w:type="dxa"/>
            </w:tcMar>
          </w:tcPr>
          <w:p>
            <w:pPr>
              <w:spacing w:after="40" w:line="250" w:lineRule="auto"/>
            </w:pPr>
            <w:r>
              <w:rPr>
                <w:rFonts w:ascii="Arial" w:hAnsi="Arial"/>
                <w:b/>
                <w:color w:val="FFFFFF"/>
                <w:sz w:val="21"/>
              </w:rPr>
              <w:t>Reason</w:t>
            </w:r>
          </w:p>
        </w:tc>
      </w:tr>
      <w:tr>
        <w:trPr>
          <w:cantSplit/>
        </w:trPr>
        <w:tc>
          <w:tcPr>
            <w:tcW w:type="dxa" w:w="792"/>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D01</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Retain React, TypeScript and MapLibre.</w:t>
            </w:r>
          </w:p>
        </w:tc>
        <w:tc>
          <w:tcPr>
            <w:tcW w:type="dxa" w:w="52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Existing workflows and shared map behavior provide a usable foundation.</w:t>
            </w:r>
          </w:p>
        </w:tc>
      </w:tr>
      <w:tr>
        <w:trPr>
          <w:cantSplit/>
        </w:trPr>
        <w:tc>
          <w:tcPr>
            <w:tcW w:type="dxa" w:w="792"/>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D02</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Use a modular application with isolated worker processes.</w:t>
            </w:r>
          </w:p>
        </w:tc>
        <w:tc>
          <w:tcPr>
            <w:tcW w:type="dxa" w:w="52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Keep local operation simple while separating long computations from requests.</w:t>
            </w:r>
          </w:p>
        </w:tc>
      </w:tr>
      <w:tr>
        <w:trPr>
          <w:cantSplit/>
        </w:trPr>
        <w:tc>
          <w:tcPr>
            <w:tcW w:type="dxa" w:w="792"/>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D03</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Treat baseline, dataset, model and run inputs as immutable versions.</w:t>
            </w:r>
          </w:p>
        </w:tc>
        <w:tc>
          <w:tcPr>
            <w:tcW w:type="dxa" w:w="52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A later edit must not change the meaning of retained evidence.</w:t>
            </w:r>
          </w:p>
        </w:tc>
      </w:tr>
      <w:tr>
        <w:trPr>
          <w:cantSplit/>
        </w:trPr>
        <w:tc>
          <w:tcPr>
            <w:tcW w:type="dxa" w:w="792"/>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D04</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Keep SQLite for the bounded local profile.</w:t>
            </w:r>
          </w:p>
        </w:tc>
        <w:tc>
          <w:tcPr>
            <w:tcW w:type="dxa" w:w="52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Introduce repository interfaces before evaluating a shared service database.</w:t>
            </w:r>
          </w:p>
        </w:tc>
      </w:tr>
      <w:tr>
        <w:trPr>
          <w:cantSplit/>
        </w:trPr>
        <w:tc>
          <w:tcPr>
            <w:tcW w:type="dxa" w:w="792"/>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D05</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Authorize actions through explicit capabilities.</w:t>
            </w:r>
          </w:p>
        </w:tc>
        <w:tc>
          <w:tcPr>
            <w:tcW w:type="dxa" w:w="52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Renderable geometry, executable EM, calibration and RAN control need different evidence.</w:t>
            </w:r>
          </w:p>
        </w:tc>
      </w:tr>
      <w:tr>
        <w:trPr>
          <w:cantSplit/>
        </w:trPr>
        <w:tc>
          <w:tcPr>
            <w:tcW w:type="dxa" w:w="792"/>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D06</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Add remote observation before remote changes.</w:t>
            </w:r>
          </w:p>
        </w:tc>
        <w:tc>
          <w:tcPr>
            <w:tcW w:type="dxa" w:w="52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Validate identity, freshness and access against the actual deployment.</w:t>
            </w:r>
          </w:p>
        </w:tc>
      </w:tr>
    </w:tbl>
    <w:p>
      <w:pPr>
        <w:pStyle w:val="Heading2"/>
      </w:pPr>
      <w:r>
        <w:t>Meaning of requirements</w:t>
      </w:r>
    </w:p>
    <w:p>
      <w:pPr>
        <w:keepNext/>
      </w:pPr>
      <w:r>
        <w:t>Implemented describes behavior present in the inspected working tree. Proposed requirements define the next implementation contracts. Must denotes a release condition; should denotes a design preference with a documented alternative. Numerical performance budgets and pilot capacities in this document are proposed targets, not measured current performance.</w:t>
      </w:r>
    </w:p>
    <w:p>
      <w:pPr>
        <w:pStyle w:val="Caption"/>
      </w:pPr>
      <w:r>
        <w:t>Source evidence  S01 S02 S03</w:t>
      </w:r>
    </w:p>
    <w:p>
      <w:bookmarkStart w:id="2" w:name="section_2"/>
      <w:pPr>
        <w:pStyle w:val="Heading1"/>
        <w:pageBreakBefore/>
      </w:pPr>
      <w:r>
        <w:t>2 Implemented architecture and capability</w:t>
      </w:r>
      <w:bookmarkEnd w:id="2"/>
    </w:p>
    <w:p>
      <w:r>
        <w:t>The current application serves a Vite-built React frontend through a Python standard-library HTTP server. SQLite stores projects, task plans, artifacts and retained Sionna runs. Domain logic remains shared with JavaScript modules. The React shell owns routing and application context; scoped HTML presenters remain in parts of the application. These boundaries should be extended incrementally.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608"/>
      </w:tblGrid>
      <w:tr>
        <w:trPr>
          <w:cantSplit/>
          <w:tblHeader/>
        </w:trPr>
        <w:tc>
          <w:tcPr>
            <w:tcW w:type="dxa" w:w="1440"/>
            <w:vAlign w:val="center"/>
            <w:shd w:fill="16324F"/>
            <w:tcMar>
              <w:top w:w="50" w:type="dxa"/>
              <w:bottom w:w="50" w:type="dxa"/>
              <w:left w:w="90" w:type="dxa"/>
              <w:right w:w="90" w:type="dxa"/>
            </w:tcMar>
          </w:tcPr>
          <w:p>
            <w:pPr>
              <w:spacing w:after="40" w:line="250" w:lineRule="auto"/>
            </w:pPr>
            <w:r>
              <w:rPr>
                <w:rFonts w:ascii="Arial" w:hAnsi="Arial"/>
                <w:b/>
                <w:color w:val="FFFFFF"/>
                <w:sz w:val="21"/>
              </w:rPr>
              <w:t>Layer</w:t>
            </w:r>
          </w:p>
        </w:tc>
        <w:tc>
          <w:tcPr>
            <w:tcW w:type="dxa" w:w="3888"/>
            <w:vAlign w:val="center"/>
            <w:shd w:fill="16324F"/>
            <w:tcMar>
              <w:top w:w="50" w:type="dxa"/>
              <w:bottom w:w="50" w:type="dxa"/>
              <w:left w:w="90" w:type="dxa"/>
              <w:right w:w="90" w:type="dxa"/>
            </w:tcMar>
          </w:tcPr>
          <w:p>
            <w:pPr>
              <w:spacing w:after="40" w:line="250" w:lineRule="auto"/>
            </w:pPr>
            <w:r>
              <w:rPr>
                <w:rFonts w:ascii="Arial" w:hAnsi="Arial"/>
                <w:b/>
                <w:color w:val="FFFFFF"/>
                <w:sz w:val="21"/>
              </w:rPr>
              <w:t>Current components</w:t>
            </w:r>
          </w:p>
        </w:tc>
        <w:tc>
          <w:tcPr>
            <w:tcW w:type="dxa" w:w="4608"/>
            <w:vAlign w:val="center"/>
            <w:shd w:fill="16324F"/>
            <w:tcMar>
              <w:top w:w="50" w:type="dxa"/>
              <w:bottom w:w="50" w:type="dxa"/>
              <w:left w:w="90" w:type="dxa"/>
              <w:right w:w="90" w:type="dxa"/>
            </w:tcMar>
          </w:tcPr>
          <w:p>
            <w:pPr>
              <w:spacing w:after="40" w:line="250" w:lineRule="auto"/>
            </w:pPr>
            <w:r>
              <w:rPr>
                <w:rFonts w:ascii="Arial" w:hAnsi="Arial"/>
                <w:b/>
                <w:color w:val="FFFFFF"/>
                <w:sz w:val="21"/>
              </w:rPr>
              <w:t>Responsibility</w:t>
            </w:r>
          </w:p>
        </w:tc>
      </w:tr>
      <w:tr>
        <w:trPr>
          <w:cantSplit/>
        </w:trPr>
        <w:tc>
          <w:tcPr>
            <w:tcW w:type="dxa" w:w="1440"/>
            <w:vAlign w:val="center"/>
            <w:shd w:fill="FFFFFF"/>
            <w:tcMar>
              <w:top w:w="50" w:type="dxa"/>
              <w:bottom w:w="50" w:type="dxa"/>
              <w:left w:w="90" w:type="dxa"/>
              <w:right w:w="90" w:type="dxa"/>
            </w:tcMar>
          </w:tcPr>
          <w:p>
            <w:pPr>
              <w:spacing w:after="40" w:line="250" w:lineRule="auto"/>
            </w:pPr>
            <w:r>
              <w:rPr>
                <w:rFonts w:ascii="Arial" w:hAnsi="Arial"/>
                <w:b w:val="0"/>
                <w:color w:val="202B35"/>
                <w:sz w:val="21"/>
              </w:rPr>
              <w:t>Browser</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src/app and src/features</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Workflow navigation, editing, maps, import review, study and run inspection.</w:t>
            </w:r>
          </w:p>
        </w:tc>
      </w:tr>
      <w:tr>
        <w:trPr>
          <w:cantSplit/>
        </w:trPr>
        <w:tc>
          <w:tcPr>
            <w:tcW w:type="dxa" w:w="1440"/>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Application state</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AppController and workspace commands</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Hydration, serialized saves, validation, draft retention and query scope.</w:t>
            </w:r>
          </w:p>
        </w:tc>
      </w:tr>
      <w:tr>
        <w:trPr>
          <w:cantSplit/>
        </w:trPr>
        <w:tc>
          <w:tcPr>
            <w:tcW w:type="dxa" w:w="1440"/>
            <w:vAlign w:val="center"/>
            <w:shd w:fill="FFFFFF"/>
            <w:tcMar>
              <w:top w:w="50" w:type="dxa"/>
              <w:bottom w:w="50" w:type="dxa"/>
              <w:left w:w="90" w:type="dxa"/>
              <w:right w:w="90" w:type="dxa"/>
            </w:tcMar>
          </w:tcPr>
          <w:p>
            <w:pPr>
              <w:spacing w:after="40" w:line="250" w:lineRule="auto"/>
            </w:pPr>
            <w:r>
              <w:rPr>
                <w:rFonts w:ascii="Arial" w:hAnsi="Arial"/>
                <w:b w:val="0"/>
                <w:color w:val="202B35"/>
                <w:sz w:val="21"/>
              </w:rPr>
              <w:t>Domain</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model, workspaces, study, measurement-library, study-run</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Validated plans, immutable history, dataset selection and frozen requests.</w:t>
            </w:r>
          </w:p>
        </w:tc>
      </w:tr>
      <w:tr>
        <w:trPr>
          <w:cantSplit/>
        </w:trPr>
        <w:tc>
          <w:tcPr>
            <w:tcW w:type="dxa" w:w="1440"/>
            <w:vAlign w:val="center"/>
            <w:shd w:fill="F1F5F8"/>
            <w:tcMar>
              <w:top w:w="50" w:type="dxa"/>
              <w:bottom w:w="50" w:type="dxa"/>
              <w:left w:w="90" w:type="dxa"/>
              <w:right w:w="90" w:type="dxa"/>
            </w:tcMar>
          </w:tcPr>
          <w:p>
            <w:pPr>
              <w:spacing w:after="40" w:line="250" w:lineRule="auto"/>
            </w:pPr>
            <w:r>
              <w:rPr>
                <w:rFonts w:ascii="Arial" w:hAnsi="Arial"/>
                <w:b w:val="0"/>
                <w:color w:val="202B35"/>
                <w:sz w:val="21"/>
              </w:rPr>
              <w:t>Transport</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src/api and serve.py</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Typed reads, loopback API, revision conflicts and bounded job actions.</w:t>
            </w:r>
          </w:p>
        </w:tc>
      </w:tr>
      <w:tr>
        <w:trPr>
          <w:cantSplit/>
        </w:trPr>
        <w:tc>
          <w:tcPr>
            <w:tcW w:type="dxa" w:w="1440"/>
            <w:vAlign w:val="center"/>
            <w:shd w:fill="FFFFFF"/>
            <w:tcMar>
              <w:top w:w="50" w:type="dxa"/>
              <w:bottom w:w="50" w:type="dxa"/>
              <w:left w:w="90" w:type="dxa"/>
              <w:right w:w="90" w:type="dxa"/>
            </w:tcMar>
          </w:tcPr>
          <w:p>
            <w:pPr>
              <w:spacing w:after="40" w:line="250" w:lineRule="auto"/>
            </w:pPr>
            <w:r>
              <w:rPr>
                <w:rFonts w:ascii="Arial" w:hAnsi="Arial"/>
                <w:b w:val="0"/>
                <w:color w:val="202B35"/>
                <w:sz w:val="21"/>
              </w:rPr>
              <w:t>Persistence</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storage.py and validation helpers</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Transactional workspace writes, retained run inputs and lifecycle events.</w:t>
            </w:r>
          </w:p>
        </w:tc>
      </w:tr>
      <w:tr>
        <w:trPr>
          <w:cantSplit/>
        </w:trPr>
        <w:tc>
          <w:tcPr>
            <w:tcW w:type="dxa" w:w="1440"/>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Execution</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JobManager and rt_worker.py</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One local path worker, timeout, cancellation and result retention.</w:t>
            </w:r>
          </w:p>
        </w:tc>
      </w:tr>
    </w:tbl>
    <w:p>
      <w:pPr>
        <w:pStyle w:val="Heading2"/>
      </w:pPr>
      <w:r>
        <w:t>Implemented engineering behavior</w:t>
      </w:r>
    </w:p>
    <w:p>
      <w:r>
        <w:t>The current workflow includes six engineering navigation sections, a canonical Sites and Cells inspector, retained measurement versions, manual serving-cell interpretation, shared map and sample selection, immutable study definitions and baseline/candidate revisions, and frozen single-link path requests. Runs retain successful, failed, interrupted and cancelled outcomes; cancellation waits for confirmed worker exit and exact retry creates a linked run.</w:t>
      </w:r>
    </w:p>
    <w:p>
      <w:pPr>
        <w:pStyle w:val="Heading2"/>
      </w:pPr>
      <w:r>
        <w:t>Current operating envelope</w:t>
      </w:r>
    </w:p>
    <w:p>
      <w:r>
        <w:t>The documented local model supports at most 50 sites and requires three cells per site. GPS imports are bounded to 1 MB and 5,000 rows; the retained measurement library is bounded to 20 versions and 2 MB within a 3 MB project snapshot. Job submission is bounded to 2 MB, with captured requests held below 1.99 MB. The existing solver runs one job at a time, uses a 180-second bound and accepts at most 100 footprints. These limits remain until versioned migrations and scale tests justify changes.</w:t>
      </w:r>
    </w:p>
    <w:p>
      <w:pPr>
        <w:pStyle w:val="Heading2"/>
      </w:pPr>
      <w:r>
        <w:t>Capabilities still required</w:t>
      </w:r>
    </w:p>
    <w:p>
      <w:pPr>
        <w:keepNext/>
      </w:pPr>
      <w:r>
        <w:t>Rich external identities, calibrated antenna models, route and multi-site prediction, held-out calibration, comparable result analysis, connected collectors and controlled network changes remain separate development work. The implemented candidate executor supports a height change on the selected transmitter; unsupported RF changes block execution rather than being ignored.</w:t>
      </w:r>
    </w:p>
    <w:p>
      <w:pPr>
        <w:pStyle w:val="Caption"/>
      </w:pPr>
      <w:r>
        <w:t>Source evidence  S01 S03 S04 S05 S09</w:t>
      </w:r>
    </w:p>
    <w:p>
      <w:bookmarkStart w:id="3" w:name="section_3"/>
      <w:pPr>
        <w:pStyle w:val="Heading1"/>
        <w:pageBreakBefore/>
      </w:pPr>
      <w:r>
        <w:t>3 Functional requirements</w:t>
      </w:r>
      <w:bookmarkEnd w:id="3"/>
    </w:p>
    <w:p>
      <w:r>
        <w:t>The following requirements define the offline release contract. Each record must carry a stable identifier so implementation tasks, API changes and acceptance evidence can refer to the same obligation. Appendix C links the requirements to test scenarios and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12"/>
        <w:gridCol w:w="5688"/>
      </w:tblGrid>
      <w:tr>
        <w:trPr>
          <w:cantSplit/>
          <w:tblHeader/>
        </w:trPr>
        <w:tc>
          <w:tcPr>
            <w:tcW w:type="dxa" w:w="936"/>
            <w:vAlign w:val="center"/>
            <w:shd w:fill="16324F"/>
            <w:tcMar>
              <w:top w:w="50" w:type="dxa"/>
              <w:bottom w:w="50" w:type="dxa"/>
              <w:left w:w="90" w:type="dxa"/>
              <w:right w:w="90" w:type="dxa"/>
            </w:tcMar>
          </w:tcPr>
          <w:p>
            <w:pPr>
              <w:spacing w:after="40" w:line="250" w:lineRule="auto"/>
              <w:jc w:val="center"/>
            </w:pPr>
            <w:r>
              <w:rPr>
                <w:rFonts w:ascii="Arial" w:hAnsi="Arial"/>
                <w:b/>
                <w:color w:val="FFFFFF"/>
                <w:sz w:val="21"/>
              </w:rPr>
              <w:t>ID</w:t>
            </w:r>
          </w:p>
        </w:tc>
        <w:tc>
          <w:tcPr>
            <w:tcW w:type="dxa" w:w="3312"/>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behavior</w:t>
            </w:r>
          </w:p>
        </w:tc>
        <w:tc>
          <w:tcPr>
            <w:tcW w:type="dxa" w:w="5688"/>
            <w:vAlign w:val="center"/>
            <w:shd w:fill="16324F"/>
            <w:tcMar>
              <w:top w:w="50" w:type="dxa"/>
              <w:bottom w:w="50" w:type="dxa"/>
              <w:left w:w="90" w:type="dxa"/>
              <w:right w:w="90" w:type="dxa"/>
            </w:tcMar>
          </w:tcPr>
          <w:p>
            <w:pPr>
              <w:spacing w:after="40" w:line="250" w:lineRule="auto"/>
            </w:pPr>
            <w:r>
              <w:rPr>
                <w:rFonts w:ascii="Arial" w:hAnsi="Arial"/>
                <w:b/>
                <w:color w:val="FFFFFF"/>
                <w:sz w:val="21"/>
              </w:rPr>
              <w:t>Acceptance condition</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FR01</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Import and retain evidence.</w:t>
            </w:r>
          </w:p>
        </w:tc>
        <w:tc>
          <w:tcPr>
            <w:tcW w:type="dxa" w:w="56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Original bytes, source digest, recipe, quality results and interpreted version remain retrievable.</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FR02</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Resolve network identity.</w:t>
            </w:r>
          </w:p>
        </w:tc>
        <w:tc>
          <w:tcPr>
            <w:tcW w:type="dxa" w:w="56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Source ID and RAT remain visible; missing, ambiguous and incompatible associations remain unresolved.</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FR03</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Capture a baseline.</w:t>
            </w:r>
          </w:p>
        </w:tc>
        <w:tc>
          <w:tcPr>
            <w:tcW w:type="dxa" w:w="56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The saved definition and engineering inputs are immutable and independently digestible.</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FR04</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Create candidate revisions.</w:t>
            </w:r>
          </w:p>
        </w:tc>
        <w:tc>
          <w:tcPr>
            <w:tcW w:type="dxa" w:w="56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Each edit records exact before/after values and a parent baseline; revert appends a revision.</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FR05</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Evaluate action capability.</w:t>
            </w:r>
          </w:p>
        </w:tc>
        <w:tc>
          <w:tcPr>
            <w:tcW w:type="dxa" w:w="56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 blocked action reports machine-readable reasons and the relevant corrective input.</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FR06</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Execute a frozen experiment.</w:t>
            </w:r>
          </w:p>
        </w:tc>
        <w:tc>
          <w:tcPr>
            <w:tcW w:type="dxa" w:w="56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Server validation binds engine, settings, evidence and network versions before acceptance.</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FR07</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Recover an actual run.</w:t>
            </w:r>
          </w:p>
        </w:tc>
        <w:tc>
          <w:tcPr>
            <w:tcW w:type="dxa" w:w="56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Cancellation, interruption, exact retry and clone preserve terminal evidence and linkage.</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FR08</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Align and calibrate suitable data.</w:t>
            </w:r>
          </w:p>
        </w:tc>
        <w:tc>
          <w:tcPr>
            <w:tcW w:type="dxa" w:w="56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Matching exclusions and held-out groups are retained; synthetic inputs cannot receive physical acceptance.</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FR09</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Compare results.</w:t>
            </w:r>
          </w:p>
        </w:tc>
        <w:tc>
          <w:tcPr>
            <w:tcW w:type="dxa" w:w="56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Both arms share metric semantics, denominator and supported assumptions or yield an inconclusive result.</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FR10</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Publish a reviewed report.</w:t>
            </w:r>
          </w:p>
        </w:tc>
        <w:tc>
          <w:tcPr>
            <w:tcW w:type="dxa" w:w="56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Report manifest identifies sources, versions, changes, runs, quality and review outcome.</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FR11</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Collect connected observations.</w:t>
            </w:r>
          </w:p>
        </w:tc>
        <w:tc>
          <w:tcPr>
            <w:tcW w:type="dxa" w:w="56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An authenticated read adapter retains timestamps, source identity, health and gap evidence.</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FR12</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Control a network change.</w:t>
            </w:r>
          </w:p>
        </w:tc>
        <w:tc>
          <w:tcPr>
            <w:tcW w:type="dxa" w:w="56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A separate adapter enforces reviewed diff, permissions, approval, preconditions and rollback evidence.</w:t>
            </w:r>
          </w:p>
        </w:tc>
      </w:tr>
    </w:tbl>
    <w:p>
      <w:pPr>
        <w:pStyle w:val="Heading2"/>
      </w:pPr>
      <w:r>
        <w:t>Engineering workflow</w:t>
      </w:r>
    </w:p>
    <w:p>
      <w:r>
        <w:t>An engineer selects a project and saves a study objective, area, operator, RAT, carriers, time window and acceptance policy. Import review establishes usable evidence and identifies gaps. The engineer captures a baseline, links a diagnosed issue to samples or cells, creates a candidate, reviews engine support and executes equivalent experiments. A reviewer evaluates improvement and regressions before issuing a recommendation.</w:t>
      </w:r>
    </w:p>
    <w:p>
      <w:pPr>
        <w:pStyle w:val="Heading2"/>
      </w:pPr>
      <w:r>
        <w:t>Behavior when evidence is incomplete</w:t>
      </w:r>
    </w:p>
    <w:p>
      <w:pPr>
        <w:keepNext/>
      </w:pPr>
      <w:r>
        <w:t>Geographic inspection may proceed with visible quality flags. Calibration, physical acceptance and network-changing actions require stricter evidence. Missing KPIs remain unavailable; model results retain their simulated origin. A task date or experiment plan does not create a run. Reports include unresolved associations and excluded observations rather than silently dropping them.</w:t>
      </w:r>
    </w:p>
    <w:p>
      <w:pPr>
        <w:pStyle w:val="Caption"/>
      </w:pPr>
      <w:r>
        <w:t>Source evidence  S02 S03</w:t>
      </w:r>
    </w:p>
    <w:p>
      <w:bookmarkStart w:id="4" w:name="section_4"/>
      <w:pPr>
        <w:pStyle w:val="Heading1"/>
        <w:pageBreakBefore/>
      </w:pPr>
      <w:r>
        <w:t>4 Quality attributes and scale targets</w:t>
      </w:r>
      <w:bookmarkEnd w:id="4"/>
    </w:p>
    <w:p>
      <w:r>
        <w:t>Correctness and evidence preservation take priority over increasing dataset size. The first implementation must preserve current behavior at the existing limits. A later pilot profile may expand capacity only after import, persistence, map interaction, worker memory and report generation have been measured on a declared reference machine.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3744"/>
      </w:tblGrid>
      <w:tr>
        <w:trPr>
          <w:cantSplit/>
          <w:tblHeader/>
        </w:trPr>
        <w:tc>
          <w:tcPr>
            <w:tcW w:type="dxa" w:w="1872"/>
            <w:vAlign w:val="center"/>
            <w:shd w:fill="16324F"/>
            <w:tcMar>
              <w:top w:w="50" w:type="dxa"/>
              <w:bottom w:w="50" w:type="dxa"/>
              <w:left w:w="90" w:type="dxa"/>
              <w:right w:w="90" w:type="dxa"/>
            </w:tcMar>
          </w:tcPr>
          <w:p>
            <w:pPr>
              <w:spacing w:after="40" w:line="250" w:lineRule="auto"/>
            </w:pPr>
            <w:r>
              <w:rPr>
                <w:rFonts w:ascii="Arial" w:hAnsi="Arial"/>
                <w:b/>
                <w:color w:val="FFFFFF"/>
                <w:sz w:val="21"/>
              </w:rPr>
              <w:t>Attribute</w:t>
            </w:r>
          </w:p>
        </w:tc>
        <w:tc>
          <w:tcPr>
            <w:tcW w:type="dxa" w:w="4320"/>
            <w:vAlign w:val="center"/>
            <w:shd w:fill="16324F"/>
            <w:tcMar>
              <w:top w:w="50" w:type="dxa"/>
              <w:bottom w:w="50" w:type="dxa"/>
              <w:left w:w="90" w:type="dxa"/>
              <w:right w:w="90" w:type="dxa"/>
            </w:tcMar>
          </w:tcPr>
          <w:p>
            <w:pPr>
              <w:spacing w:after="40" w:line="250" w:lineRule="auto"/>
            </w:pPr>
            <w:r>
              <w:rPr>
                <w:rFonts w:ascii="Arial" w:hAnsi="Arial"/>
                <w:b/>
                <w:color w:val="FFFFFF"/>
                <w:sz w:val="21"/>
              </w:rPr>
              <w:t>Proposed requirement</w:t>
            </w:r>
          </w:p>
        </w:tc>
        <w:tc>
          <w:tcPr>
            <w:tcW w:type="dxa" w:w="3744"/>
            <w:vAlign w:val="center"/>
            <w:shd w:fill="16324F"/>
            <w:tcMar>
              <w:top w:w="50" w:type="dxa"/>
              <w:bottom w:w="50" w:type="dxa"/>
              <w:left w:w="90" w:type="dxa"/>
              <w:right w:w="90" w:type="dxa"/>
            </w:tcMar>
          </w:tcPr>
          <w:p>
            <w:pPr>
              <w:spacing w:after="40" w:line="250" w:lineRule="auto"/>
            </w:pPr>
            <w:r>
              <w:rPr>
                <w:rFonts w:ascii="Arial" w:hAnsi="Arial"/>
                <w:b/>
                <w:color w:val="FFFFFF"/>
                <w:sz w:val="21"/>
              </w:rPr>
              <w:t>Validation</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Integrity</w:t>
            </w:r>
          </w:p>
        </w:tc>
        <w:tc>
          <w:tcPr>
            <w:tcW w:type="dxa" w:w="43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Committed versions cannot be overwritten through any write path.</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Controller, generic JSON, direct HTTP and repository rejection tests.</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Reproducibility</w:t>
            </w:r>
          </w:p>
        </w:tc>
        <w:tc>
          <w:tcPr>
            <w:tcW w:type="dxa" w:w="43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Inputs, engine build, seed and environment identify each run.</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Replay fixture and artifact digest comparison with stated numerical tolerance.</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Interaction</w:t>
            </w:r>
          </w:p>
        </w:tc>
        <w:tc>
          <w:tcPr>
            <w:tcW w:type="dxa" w:w="43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p95 selection or inspector updates within 200 ms for cached pilot data.</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Instrument desktop interactions; exclude public tile fetch time.</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API latency</w:t>
            </w:r>
          </w:p>
        </w:tc>
        <w:tc>
          <w:tcPr>
            <w:tcW w:type="dxa" w:w="43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p95 metadata reads within 300 ms and writes within 1 s locally.</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Measure with a declared data volume and unloaded solver.</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Reliability</w:t>
            </w:r>
          </w:p>
        </w:tc>
        <w:tc>
          <w:tcPr>
            <w:tcW w:type="dxa" w:w="43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No acknowledged evidence loss after a committed transaction.</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Crash and restart tests around acceptance, commit and publication.</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Isolation</w:t>
            </w:r>
          </w:p>
        </w:tc>
        <w:tc>
          <w:tcPr>
            <w:tcW w:type="dxa" w:w="43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No cross-project selection, write, job or artifact access.</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Project-switch races and authorization tests.</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Accessibility</w:t>
            </w:r>
          </w:p>
        </w:tc>
        <w:tc>
          <w:tcPr>
            <w:tcW w:type="dxa" w:w="43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Keyboard alternatives and no horizontal overflow at 390 px.</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Manual keyboard review plus component and browser checks.</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Portability</w:t>
            </w:r>
          </w:p>
        </w:tc>
        <w:tc>
          <w:tcPr>
            <w:tcW w:type="dxa" w:w="43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Base app runs on supported Windows, macOS and Linux profiles.</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OS CI and native pilot execution; solver qualification is separate.</w:t>
            </w:r>
          </w:p>
        </w:tc>
      </w:tr>
    </w:tbl>
    <w:p>
      <w:pPr>
        <w:pStyle w:val="Heading2"/>
      </w:pPr>
      <w:r>
        <w:t>Proposed pilot envelope</w:t>
      </w:r>
    </w:p>
    <w:p>
      <w:r>
        <w:t>Use an initial load fixture of 200 sites, up to 1,000 cells and 100,000 observations after storage normalization. Test one active local worker and a separate shared profile with up to four admitted workers. These are engineering test targets that require model and API migrations; they do not expand the current 50-site, three-cell or 5,000-row contracts by declaration.</w:t>
      </w:r>
    </w:p>
    <w:p>
      <w:pPr>
        <w:pStyle w:val="Heading2"/>
      </w:pPr>
      <w:r>
        <w:t>Reproducibility levels</w:t>
      </w:r>
    </w:p>
    <w:p>
      <w:r>
        <w:t>Distinguish input reproducibility, numerical reproducibility and physical validity. Exact input digests establish identity. Repeated execution must record whether outputs are bitwise equal or within a declared numerical tolerance. Hardware and solver changes may affect numerical results. Physical validity requires an accepted model and suitable field evidence, regardless of matching hashes.</w:t>
      </w:r>
    </w:p>
    <w:p>
      <w:pPr>
        <w:pStyle w:val="Heading2"/>
      </w:pPr>
      <w:r>
        <w:t>Capacity and failure policy</w:t>
      </w:r>
    </w:p>
    <w:p>
      <w:pPr>
        <w:keepNext/>
      </w:pPr>
      <w:r>
        <w:t>Reject requests that exceed published limits before allocation or commit. Estimate worker memory and time from the request profile, apply hard process limits where the platform supports them, and report the enforced limits in the receipt. A tile outage must preserve local inventories and evidence; a worker outage must preserve accepted run identity.</w:t>
      </w:r>
    </w:p>
    <w:p>
      <w:pPr>
        <w:pStyle w:val="Caption"/>
      </w:pPr>
      <w:r>
        <w:t>Source evidence  S01 S03 E01</w:t>
      </w:r>
    </w:p>
    <w:p>
      <w:bookmarkStart w:id="5" w:name="section_5"/>
      <w:pPr>
        <w:pStyle w:val="Heading1"/>
        <w:pageBreakBefore/>
      </w:pPr>
      <w:r>
        <w:t>5 Proposed system architecture</w:t>
      </w:r>
      <w:bookmarkEnd w:id="5"/>
    </w:p>
    <w:p>
      <w:r>
        <w:t>Use a modular application with explicit domain and adapter interfaces. The first delivery can keep one Python API process and SQLite while introducing services for studies, evidence, jobs and results. Remote deployment later adds authentication, a shared metadata store and independently scheduled workers without changing the evidence contracts.</w:t>
      </w:r>
    </w:p>
    <w:p>
      <w:pPr>
        <w:jc w:val="center"/>
      </w:pPr>
      <w:r>
        <w:drawing>
          <wp:inline xmlns:a="http://schemas.openxmlformats.org/drawingml/2006/main" xmlns:pic="http://schemas.openxmlformats.org/drawingml/2006/picture">
            <wp:extent cx="6263640" cy="3502693"/>
            <wp:docPr id="1" name="Picture 1" descr="Figure 1 Proposed boundaries between the engineering workspace, application services, retained evidence, execution and external adapter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63640" cy="3502693"/>
                    </a:xfrm>
                    <a:prstGeom prst="rect"/>
                  </pic:spPr>
                </pic:pic>
              </a:graphicData>
            </a:graphic>
          </wp:inline>
        </w:drawing>
      </w:r>
    </w:p>
    <w:p>
      <w:pPr>
        <w:pStyle w:val="Caption"/>
      </w:pPr>
      <w:r>
        <w:t>Figure 1 Proposed boundaries between the engineering workspace, application services, retained evidence, execution and external adapters</w:t>
      </w:r>
    </w:p>
    <w:p>
      <w:pPr>
        <w:pStyle w:val="Heading2"/>
      </w:pPr>
      <w:r>
        <w:t>Request and evidence boundaries</w:t>
      </w:r>
    </w:p>
    <w:p>
      <w:r>
        <w:t>The browser sends a typed command or a frozen experiment request. Application services validate schema, project scope, current revision, immutable history and action capability. Persistence commits metadata and artifact references together. Worker adapters read an accepted snapshot and publish outputs through a validator; they cannot alter the network baseline.</w:t>
      </w:r>
    </w:p>
    <w:p>
      <w:pPr>
        <w:pStyle w:val="Heading2"/>
      </w:pPr>
      <w:r>
        <w:t>Dependency direction</w:t>
      </w:r>
    </w:p>
    <w:p>
      <w:r>
        <w:t>Domain rules depend on plain data and declared ports. UI components depend on application commands and query models. HTTP handlers translate requests and responses without owning RF calculations. Storage and solver implementations satisfy ports defined by the application layer. External inventory and telemetry adapters return canonical evidence records rather than modifying studies directly.</w:t>
      </w:r>
    </w:p>
    <w:p>
      <w:pPr>
        <w:pStyle w:val="Heading2"/>
      </w:pPr>
      <w:r>
        <w:t>Deployment profiles</w:t>
      </w:r>
    </w:p>
    <w:p>
      <w:pPr>
        <w:keepNext/>
      </w:pPr>
      <w:r>
        <w:t>The local profile keeps loopback transport and one worker. The shared profile requires authenticated project authorization, worker leases and durable artifacts. A qualified GPU profile adds a declared engine and resource contract. GH200, H200 and Grace references remain target metadata until hardware detection and execution qualification supply evidence.</w:t>
      </w:r>
    </w:p>
    <w:p>
      <w:pPr>
        <w:pStyle w:val="Caption"/>
      </w:pPr>
      <w:r>
        <w:t>Source evidence  S01 S04 S05 S06</w:t>
      </w:r>
    </w:p>
    <w:p>
      <w:bookmarkStart w:id="6" w:name="section_6"/>
      <w:pPr>
        <w:pStyle w:val="Heading1"/>
        <w:pageBreakBefore/>
      </w:pPr>
      <w:r>
        <w:t>6 Module ownership and implementation boundaries</w:t>
      </w:r>
      <w:bookmarkEnd w:id="6"/>
    </w:p>
    <w:p>
      <w:r>
        <w:t>Introduce application services around the existing modules before migrating their internals. Preserve public behavior and use one canonical owner for each engineering field. The proposed names below describe logical modules; their final directory names can follow repository conventions.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464"/>
        <w:gridCol w:w="3744"/>
      </w:tblGrid>
      <w:tr>
        <w:trPr>
          <w:cantSplit/>
          <w:tblHeader/>
        </w:trPr>
        <w:tc>
          <w:tcPr>
            <w:tcW w:type="dxa" w:w="1728"/>
            <w:vAlign w:val="center"/>
            <w:shd w:fill="16324F"/>
            <w:tcMar>
              <w:top w:w="50" w:type="dxa"/>
              <w:bottom w:w="50" w:type="dxa"/>
              <w:left w:w="90" w:type="dxa"/>
              <w:right w:w="90" w:type="dxa"/>
            </w:tcMar>
          </w:tcPr>
          <w:p>
            <w:pPr>
              <w:spacing w:after="40" w:line="250" w:lineRule="auto"/>
            </w:pPr>
            <w:r>
              <w:rPr>
                <w:rFonts w:ascii="Arial" w:hAnsi="Arial"/>
                <w:b/>
                <w:color w:val="FFFFFF"/>
                <w:sz w:val="21"/>
              </w:rPr>
              <w:t>Module</w:t>
            </w:r>
          </w:p>
        </w:tc>
        <w:tc>
          <w:tcPr>
            <w:tcW w:type="dxa" w:w="4464"/>
            <w:vAlign w:val="center"/>
            <w:shd w:fill="16324F"/>
            <w:tcMar>
              <w:top w:w="50" w:type="dxa"/>
              <w:bottom w:w="50" w:type="dxa"/>
              <w:left w:w="90" w:type="dxa"/>
              <w:right w:w="90" w:type="dxa"/>
            </w:tcMar>
          </w:tcPr>
          <w:p>
            <w:pPr>
              <w:spacing w:after="40" w:line="250" w:lineRule="auto"/>
            </w:pPr>
            <w:r>
              <w:rPr>
                <w:rFonts w:ascii="Arial" w:hAnsi="Arial"/>
                <w:b/>
                <w:color w:val="FFFFFF"/>
                <w:sz w:val="21"/>
              </w:rPr>
              <w:t>Owns</w:t>
            </w:r>
          </w:p>
        </w:tc>
        <w:tc>
          <w:tcPr>
            <w:tcW w:type="dxa" w:w="3744"/>
            <w:vAlign w:val="center"/>
            <w:shd w:fill="16324F"/>
            <w:tcMar>
              <w:top w:w="50" w:type="dxa"/>
              <w:bottom w:w="50" w:type="dxa"/>
              <w:left w:w="90" w:type="dxa"/>
              <w:right w:w="90" w:type="dxa"/>
            </w:tcMar>
          </w:tcPr>
          <w:p>
            <w:pPr>
              <w:spacing w:after="40" w:line="250" w:lineRule="auto"/>
            </w:pPr>
            <w:r>
              <w:rPr>
                <w:rFonts w:ascii="Arial" w:hAnsi="Arial"/>
                <w:b/>
                <w:color w:val="FFFFFF"/>
                <w:sz w:val="21"/>
              </w:rPr>
              <w:t>Primary interface</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 service</w:t>
            </w:r>
          </w:p>
        </w:tc>
        <w:tc>
          <w:tcPr>
            <w:tcW w:type="dxa" w:w="44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 lifecycle and revisions.</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readProject and applyProjectCommand</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Study service</w:t>
            </w:r>
          </w:p>
        </w:tc>
        <w:tc>
          <w:tcPr>
            <w:tcW w:type="dxa" w:w="44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Definitions, baselines, candidates and issues.</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captureBaseline and appendCandidateRevision</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Evidence service</w:t>
            </w:r>
          </w:p>
        </w:tc>
        <w:tc>
          <w:tcPr>
            <w:tcW w:type="dxa" w:w="44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Raw artifacts, recipes, dataset versions and interpretation.</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reviewImport and commitDatasetVersion</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Network service</w:t>
            </w:r>
          </w:p>
        </w:tc>
        <w:tc>
          <w:tcPr>
            <w:tcW w:type="dxa" w:w="44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Sites, cells, carriers, topology and antenna references.</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validateInventory and resolveIdentity</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Capability service</w:t>
            </w:r>
          </w:p>
        </w:tc>
        <w:tc>
          <w:tcPr>
            <w:tcW w:type="dxa" w:w="44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Action checks and compatible engine profiles.</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evaluateCapability</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Experiment service</w:t>
            </w:r>
          </w:p>
        </w:tc>
        <w:tc>
          <w:tcPr>
            <w:tcW w:type="dxa" w:w="44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Frozen input manifests and comparison rules.</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prepareExperiment and compareRuns</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Job service</w:t>
            </w:r>
          </w:p>
        </w:tc>
        <w:tc>
          <w:tcPr>
            <w:tcW w:type="dxa" w:w="44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Admission, lifecycle, cancellation and retries.</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submitRun and requestCancellation</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Engine adapters</w:t>
            </w:r>
          </w:p>
        </w:tc>
        <w:tc>
          <w:tcPr>
            <w:tcW w:type="dxa" w:w="44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Scene compilation and supported numerical outputs.</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validateRequest and execute</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Report service</w:t>
            </w:r>
          </w:p>
        </w:tc>
        <w:tc>
          <w:tcPr>
            <w:tcW w:type="dxa" w:w="44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Evidence bundles and immutable review outcomes.</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assembleReport and appendReview</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Connector service</w:t>
            </w:r>
          </w:p>
        </w:tc>
        <w:tc>
          <w:tcPr>
            <w:tcW w:type="dxa" w:w="44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Source reads, credentials and collection health.</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collectSnapshot and describeSource</w:t>
            </w:r>
          </w:p>
        </w:tc>
      </w:tr>
    </w:tbl>
    <w:p>
      <w:pPr>
        <w:pStyle w:val="Heading2"/>
      </w:pPr>
      <w:r>
        <w:t>Typed domain migration</w:t>
      </w:r>
    </w:p>
    <w:p>
      <w:r>
        <w:t>Replace broad Record&lt;string, unknown&gt; usage at service boundaries with explicit versioned types. Keep Zod or equivalent browser validation for feedback and independently validate server inputs. Generate transport types from a versioned schema catalog where practical. Never treat a browser validation result as a server trust decision.</w:t>
      </w:r>
    </w:p>
    <w:p>
      <w:pPr>
        <w:pStyle w:val="Heading2"/>
      </w:pPr>
      <w:r>
        <w:t>Legacy presenter migration</w:t>
      </w:r>
    </w:p>
    <w:p>
      <w:pPr>
        <w:keepNext/>
      </w:pPr>
      <w:r>
        <w:t>Keep scoped HTML presenters behind narrow adapters until their editing and persistence tests are captured. Move one workflow at a time to React. Preserve route aliases, command ownership, focus behavior and export formats. Remove a legacy presenter only after browser parity demonstrates the replacement covers its actual responsibilities.</w:t>
      </w:r>
    </w:p>
    <w:p>
      <w:pPr>
        <w:pStyle w:val="Caption"/>
      </w:pPr>
      <w:r>
        <w:t>Source evidence  S04 S05 S06 S10</w:t>
      </w:r>
    </w:p>
    <w:p>
      <w:bookmarkStart w:id="7" w:name="section_7"/>
      <w:pPr>
        <w:pStyle w:val="Heading1"/>
        <w:pageBreakBefore/>
      </w:pPr>
      <w:r>
        <w:t>7 State ownership and command lifecycle</w:t>
      </w:r>
      <w:bookmarkEnd w:id="7"/>
    </w:p>
    <w:p>
      <w:r>
        <w:t>The current AppController hydrates the workspace, serializes writes and retains a draft on save failure or revision conflict. It also scopes artifact and run queries to the active project. Extend this contract with typed commands and explicit version references while keeping recoverable drafts visible.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040"/>
        <w:gridCol w:w="3168"/>
      </w:tblGrid>
      <w:tr>
        <w:trPr>
          <w:cantSplit/>
          <w:tblHeader/>
        </w:trPr>
        <w:tc>
          <w:tcPr>
            <w:tcW w:type="dxa" w:w="1728"/>
            <w:vAlign w:val="center"/>
            <w:shd w:fill="16324F"/>
            <w:tcMar>
              <w:top w:w="50" w:type="dxa"/>
              <w:bottom w:w="50" w:type="dxa"/>
              <w:left w:w="90" w:type="dxa"/>
              <w:right w:w="90" w:type="dxa"/>
            </w:tcMar>
          </w:tcPr>
          <w:p>
            <w:pPr>
              <w:spacing w:after="40" w:line="250" w:lineRule="auto"/>
            </w:pPr>
            <w:r>
              <w:rPr>
                <w:rFonts w:ascii="Arial" w:hAnsi="Arial"/>
                <w:b/>
                <w:color w:val="FFFFFF"/>
                <w:sz w:val="21"/>
              </w:rPr>
              <w:t>State class</w:t>
            </w:r>
          </w:p>
        </w:tc>
        <w:tc>
          <w:tcPr>
            <w:tcW w:type="dxa" w:w="5040"/>
            <w:vAlign w:val="center"/>
            <w:shd w:fill="16324F"/>
            <w:tcMar>
              <w:top w:w="50" w:type="dxa"/>
              <w:bottom w:w="50" w:type="dxa"/>
              <w:left w:w="90" w:type="dxa"/>
              <w:right w:w="90" w:type="dxa"/>
            </w:tcMar>
          </w:tcPr>
          <w:p>
            <w:pPr>
              <w:spacing w:after="40" w:line="250" w:lineRule="auto"/>
            </w:pPr>
            <w:r>
              <w:rPr>
                <w:rFonts w:ascii="Arial" w:hAnsi="Arial"/>
                <w:b/>
                <w:color w:val="FFFFFF"/>
                <w:sz w:val="21"/>
              </w:rPr>
              <w:t>Persistence and owner</w:t>
            </w:r>
          </w:p>
        </w:tc>
        <w:tc>
          <w:tcPr>
            <w:tcW w:type="dxa" w:w="3168"/>
            <w:vAlign w:val="center"/>
            <w:shd w:fill="16324F"/>
            <w:tcMar>
              <w:top w:w="50" w:type="dxa"/>
              <w:bottom w:w="50" w:type="dxa"/>
              <w:left w:w="90" w:type="dxa"/>
              <w:right w:w="90" w:type="dxa"/>
            </w:tcMar>
          </w:tcPr>
          <w:p>
            <w:pPr>
              <w:spacing w:after="40" w:line="250" w:lineRule="auto"/>
            </w:pPr>
            <w:r>
              <w:rPr>
                <w:rFonts w:ascii="Arial" w:hAnsi="Arial"/>
                <w:b/>
                <w:color w:val="FFFFFF"/>
                <w:sz w:val="21"/>
              </w:rPr>
              <w:t>Example</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Engineering inputs</w:t>
            </w:r>
          </w:p>
        </w:tc>
        <w:tc>
          <w:tcPr>
            <w:tcW w:type="dxa" w:w="5040"/>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Revisioned project or immutable version.</w:t>
            </w:r>
          </w:p>
        </w:tc>
        <w:tc>
          <w:tcPr>
            <w:tcW w:type="dxa" w:w="31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Coordinates, carrier, antenna and study objective.</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Evidence</w:t>
            </w:r>
          </w:p>
        </w:tc>
        <w:tc>
          <w:tcPr>
            <w:tcW w:type="dxa" w:w="5040"/>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Append-only version with artifact identity.</w:t>
            </w:r>
          </w:p>
        </w:tc>
        <w:tc>
          <w:tcPr>
            <w:tcW w:type="dxa" w:w="31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Imported CSV, interpreted dataset and model outputs.</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View preferences</w:t>
            </w:r>
          </w:p>
        </w:tc>
        <w:tc>
          <w:tcPr>
            <w:tcW w:type="dxa" w:w="5040"/>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Project-scoped transient session.</w:t>
            </w:r>
          </w:p>
        </w:tc>
        <w:tc>
          <w:tcPr>
            <w:tcW w:type="dxa" w:w="31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Camera, selected sample, KPI filter and layer visibility.</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Execution</w:t>
            </w:r>
          </w:p>
        </w:tc>
        <w:tc>
          <w:tcPr>
            <w:tcW w:type="dxa" w:w="5040"/>
            <w:vAlign w:val="center"/>
            <w:shd w:fill="F1F5F8"/>
            <w:tcMar>
              <w:top w:w="50" w:type="dxa"/>
              <w:bottom w:w="50" w:type="dxa"/>
              <w:left w:w="90" w:type="dxa"/>
              <w:right w:w="90" w:type="dxa"/>
            </w:tcMar>
          </w:tcPr>
          <w:p>
            <w:pPr>
              <w:spacing w:after="40" w:line="250" w:lineRule="auto"/>
            </w:pPr>
            <w:r>
              <w:rPr>
                <w:rFonts w:ascii="Arial" w:hAnsi="Arial"/>
                <w:b w:val="0"/>
                <w:color w:val="202B35"/>
                <w:sz w:val="21"/>
              </w:rPr>
              <w:t>Server-owned run records and events.</w:t>
            </w:r>
          </w:p>
        </w:tc>
        <w:tc>
          <w:tcPr>
            <w:tcW w:type="dxa" w:w="31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Worker status, retry link and terminal result.</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Local draft</w:t>
            </w:r>
          </w:p>
        </w:tc>
        <w:tc>
          <w:tcPr>
            <w:tcW w:type="dxa" w:w="5040"/>
            <w:vAlign w:val="center"/>
            <w:shd w:fill="FFFFFF"/>
            <w:tcMar>
              <w:top w:w="50" w:type="dxa"/>
              <w:bottom w:w="50" w:type="dxa"/>
              <w:left w:w="90" w:type="dxa"/>
              <w:right w:w="90" w:type="dxa"/>
            </w:tcMar>
          </w:tcPr>
          <w:p>
            <w:pPr>
              <w:spacing w:after="40" w:line="250" w:lineRule="auto"/>
            </w:pPr>
            <w:r>
              <w:rPr>
                <w:rFonts w:ascii="Arial" w:hAnsi="Arial"/>
                <w:b w:val="0"/>
                <w:color w:val="202B35"/>
                <w:sz w:val="21"/>
              </w:rPr>
              <w:t>Browser controller until commit succeeds.</w:t>
            </w:r>
          </w:p>
        </w:tc>
        <w:tc>
          <w:tcPr>
            <w:tcW w:type="dxa" w:w="31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Unsaved RF edit and conflict comparison.</w:t>
            </w:r>
          </w:p>
        </w:tc>
      </w:tr>
    </w:tbl>
    <w:p>
      <w:pPr>
        <w:pStyle w:val="Heading2"/>
      </w:pPr>
      <w:r>
        <w:t>Proposed command envelope</w:t>
      </w:r>
    </w:p>
    <w:p>
      <w:pPr>
        <w:spacing w:before="60" w:after="100" w:line="240" w:lineRule="auto"/>
      </w:pPr>
      <w:r>
        <w:rPr>
          <w:rFonts w:ascii="Courier New" w:hAnsi="Courier New"/>
          <w:sz w:val="19"/>
        </w:rPr>
        <w:t>{</w:t>
        <w:br/>
        <w:t xml:space="preserve">  "commandId": "uuid", "projectId": "project-id",</w:t>
        <w:br/>
        <w:t xml:space="preserve">  "expectedRevision": 12,</w:t>
        <w:br/>
        <w:t xml:space="preserve">  "type": "network.cell.update",</w:t>
        <w:br/>
        <w:t xml:space="preserve">  "payload": {"cellId": "cell-id", "txPowerDbm": 35}</w:t>
        <w:br/>
        <w:t>}</w:t>
      </w:r>
    </w:p>
    <w:p>
      <w:r>
        <w:t>A command handler checks project authorization, current revision and field ownership before applying domain validation. The transaction commits the change and its audit event, then returns the new revision and authoritative values. Commands that create immutable versions also return the version ID and digest. An idempotency record binds commandId to the request hash and original response.</w:t>
      </w:r>
    </w:p>
    <w:p>
      <w:pPr>
        <w:pStyle w:val="Heading2"/>
      </w:pPr>
      <w:r>
        <w:t>Concurrency and asynchronous preparation</w:t>
      </w:r>
    </w:p>
    <w:p>
      <w:r>
        <w:t>Keep the current workspace-wide revision contract while writes still replace the whole workspace. A later project revision is valid only after the API and repository support atomic project writes. Hashing or import review captures an input epoch; immediately before commit, compare the relevant dataset, inventory and project identity again. Preserve unrelated edits when the command can safely rebase; reject changes to its dependencies.</w:t>
      </w:r>
    </w:p>
    <w:p>
      <w:pPr>
        <w:pStyle w:val="Heading2"/>
      </w:pPr>
      <w:r>
        <w:t>Conflict recovery</w:t>
      </w:r>
    </w:p>
    <w:p>
      <w:r>
        <w:t>On a 409 response, retain the draft and show changed paths against a read-only server copy. Retry reuses the expected revision and cannot automatically overwrite another tab. Reload requires explicit user action when it discards a draft. After a lost response, first query the command receipt; never repeat a possibly accepted mutation with a new identifier.</w:t>
      </w:r>
    </w:p>
    <w:p>
      <w:pPr>
        <w:pStyle w:val="Heading2"/>
      </w:pPr>
      <w:r>
        <w:t>Preflight and transactional checks</w:t>
      </w:r>
    </w:p>
    <w:p>
      <w:pPr>
        <w:keepNext/>
      </w:pPr>
      <w:r>
        <w:t>Preflight returns allowed, blocked or unknown, reasons, supported outputs, limits and the engine profile version. Submission rechecks those versions and runtime compatibility before admission. A preflight result alone does not reserve resources or prove execution success.</w:t>
      </w:r>
    </w:p>
    <w:p>
      <w:pPr>
        <w:pStyle w:val="Caption"/>
      </w:pPr>
      <w:r>
        <w:t>Source evidence  S04 S05 S08</w:t>
      </w:r>
    </w:p>
    <w:p>
      <w:bookmarkStart w:id="8" w:name="section_8"/>
      <w:pPr>
        <w:pStyle w:val="Heading1"/>
        <w:pageBreakBefore/>
      </w:pPr>
      <w:r>
        <w:t>8 Canonical network and identity model</w:t>
      </w:r>
      <w:bookmarkEnd w:id="8"/>
    </w:p>
    <w:p>
      <w:r>
        <w:t>Introduce a versioned network snapshot with stable internal IDs and separate external source identities. The current site and three-cell model remains readable during migration. New snapshots may support a variable number of cells after validation and UI contracts have been updated.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680"/>
        <w:gridCol w:w="3744"/>
      </w:tblGrid>
      <w:tr>
        <w:trPr>
          <w:cantSplit/>
          <w:tblHeader/>
        </w:trPr>
        <w:tc>
          <w:tcPr>
            <w:tcW w:type="dxa" w:w="1512"/>
            <w:vAlign w:val="center"/>
            <w:shd w:fill="16324F"/>
            <w:tcMar>
              <w:top w:w="50" w:type="dxa"/>
              <w:bottom w:w="50" w:type="dxa"/>
              <w:left w:w="90" w:type="dxa"/>
              <w:right w:w="90" w:type="dxa"/>
            </w:tcMar>
          </w:tcPr>
          <w:p>
            <w:pPr>
              <w:spacing w:after="40" w:line="250" w:lineRule="auto"/>
            </w:pPr>
            <w:r>
              <w:rPr>
                <w:rFonts w:ascii="Arial" w:hAnsi="Arial"/>
                <w:b/>
                <w:color w:val="FFFFFF"/>
                <w:sz w:val="21"/>
              </w:rPr>
              <w:t>Entity</w:t>
            </w:r>
          </w:p>
        </w:tc>
        <w:tc>
          <w:tcPr>
            <w:tcW w:type="dxa" w:w="4680"/>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fields</w:t>
            </w:r>
          </w:p>
        </w:tc>
        <w:tc>
          <w:tcPr>
            <w:tcW w:type="dxa" w:w="3744"/>
            <w:vAlign w:val="center"/>
            <w:shd w:fill="16324F"/>
            <w:tcMar>
              <w:top w:w="50" w:type="dxa"/>
              <w:bottom w:w="50" w:type="dxa"/>
              <w:left w:w="90" w:type="dxa"/>
              <w:right w:w="90" w:type="dxa"/>
            </w:tcMar>
          </w:tcPr>
          <w:p>
            <w:pPr>
              <w:spacing w:after="40" w:line="250" w:lineRule="auto"/>
            </w:pPr>
            <w:r>
              <w:rPr>
                <w:rFonts w:ascii="Arial" w:hAnsi="Arial"/>
                <w:b/>
                <w:color w:val="FFFFFF"/>
                <w:sz w:val="21"/>
              </w:rPr>
              <w:t>Relationships</w:t>
            </w:r>
          </w:p>
        </w:tc>
      </w:tr>
      <w:tr>
        <w:trPr>
          <w:cantSplit/>
        </w:trPr>
        <w:tc>
          <w:tcPr>
            <w:tcW w:type="dxa" w:w="15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Site</w:t>
            </w:r>
          </w:p>
        </w:tc>
        <w:tc>
          <w:tcPr>
            <w:tcW w:type="dxa" w:w="4680"/>
            <w:vAlign w:val="center"/>
            <w:shd w:fill="FFFFFF"/>
            <w:tcMar>
              <w:top w:w="50" w:type="dxa"/>
              <w:bottom w:w="50" w:type="dxa"/>
              <w:left w:w="90" w:type="dxa"/>
              <w:right w:w="90" w:type="dxa"/>
            </w:tcMar>
          </w:tcPr>
          <w:p>
            <w:pPr>
              <w:spacing w:after="40" w:line="250" w:lineRule="auto"/>
            </w:pPr>
            <w:r>
              <w:rPr>
                <w:rFonts w:ascii="Arial" w:hAnsi="Arial"/>
                <w:b w:val="0"/>
                <w:color w:val="202B35"/>
                <w:sz w:val="21"/>
              </w:rPr>
              <w:t>id, name, position, height reference, source and uncertainty.</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Contains antenna installations; linked to physical facilities.</w:t>
            </w:r>
          </w:p>
        </w:tc>
      </w:tr>
      <w:tr>
        <w:trPr>
          <w:cantSplit/>
        </w:trPr>
        <w:tc>
          <w:tcPr>
            <w:tcW w:type="dxa" w:w="15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Cell</w:t>
            </w:r>
          </w:p>
        </w:tc>
        <w:tc>
          <w:tcPr>
            <w:tcW w:type="dxa" w:w="4680"/>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 RAT, external identities, operational validity window.</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References site, carrier and antenna configuration.</w:t>
            </w:r>
          </w:p>
        </w:tc>
      </w:tr>
      <w:tr>
        <w:trPr>
          <w:cantSplit/>
        </w:trPr>
        <w:tc>
          <w:tcPr>
            <w:tcW w:type="dxa" w:w="15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Carrier</w:t>
            </w:r>
          </w:p>
        </w:tc>
        <w:tc>
          <w:tcPr>
            <w:tcW w:type="dxa" w:w="4680"/>
            <w:vAlign w:val="center"/>
            <w:shd w:fill="FFFFFF"/>
            <w:tcMar>
              <w:top w:w="50" w:type="dxa"/>
              <w:bottom w:w="50" w:type="dxa"/>
              <w:left w:w="90" w:type="dxa"/>
              <w:right w:w="90" w:type="dxa"/>
            </w:tcMar>
          </w:tcPr>
          <w:p>
            <w:pPr>
              <w:spacing w:after="40" w:line="250" w:lineRule="auto"/>
            </w:pPr>
            <w:r>
              <w:rPr>
                <w:rFonts w:ascii="Arial" w:hAnsi="Arial"/>
                <w:b w:val="0"/>
                <w:color w:val="202B35"/>
                <w:sz w:val="21"/>
              </w:rPr>
              <w:t>id, RAT, band, center frequency, bandwidth and duplex context.</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Shared by compatible cells and experiment definitions.</w:t>
            </w:r>
          </w:p>
        </w:tc>
      </w:tr>
      <w:tr>
        <w:trPr>
          <w:cantSplit/>
        </w:trPr>
        <w:tc>
          <w:tcPr>
            <w:tcW w:type="dxa" w:w="15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Antenna</w:t>
            </w:r>
          </w:p>
        </w:tc>
        <w:tc>
          <w:tcPr>
            <w:tcW w:type="dxa" w:w="4680"/>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 pattern artifact/version, orientation, array and polarization.</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References installation position and supported engine mapping.</w:t>
            </w:r>
          </w:p>
        </w:tc>
      </w:tr>
      <w:tr>
        <w:trPr>
          <w:cantSplit/>
        </w:trPr>
        <w:tc>
          <w:tcPr>
            <w:tcW w:type="dxa" w:w="15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Topology node</w:t>
            </w:r>
          </w:p>
        </w:tc>
        <w:tc>
          <w:tcPr>
            <w:tcW w:type="dxa" w:w="4680"/>
            <w:vAlign w:val="center"/>
            <w:shd w:fill="FFFFFF"/>
            <w:tcMar>
              <w:top w:w="50" w:type="dxa"/>
              <w:bottom w:w="50" w:type="dxa"/>
              <w:left w:w="90" w:type="dxa"/>
              <w:right w:w="90" w:type="dxa"/>
            </w:tcMar>
          </w:tcPr>
          <w:p>
            <w:pPr>
              <w:spacing w:after="40" w:line="250" w:lineRule="auto"/>
            </w:pPr>
            <w:r>
              <w:rPr>
                <w:rFonts w:ascii="Arial" w:hAnsi="Arial"/>
                <w:b w:val="0"/>
                <w:color w:val="202B35"/>
                <w:sz w:val="21"/>
              </w:rPr>
              <w:t>id, role, declared vendor/version and source.</w:t>
            </w:r>
          </w:p>
        </w:tc>
        <w:tc>
          <w:tcPr>
            <w:tcW w:type="dxa" w:w="37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Edges represent CU, DU, RU and site relationships.</w:t>
            </w:r>
          </w:p>
        </w:tc>
      </w:tr>
      <w:tr>
        <w:trPr>
          <w:cantSplit/>
        </w:trPr>
        <w:tc>
          <w:tcPr>
            <w:tcW w:type="dxa" w:w="15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Identity mapping</w:t>
            </w:r>
          </w:p>
        </w:tc>
        <w:tc>
          <w:tcPr>
            <w:tcW w:type="dxa" w:w="4680"/>
            <w:vAlign w:val="center"/>
            <w:shd w:fill="F1F5F8"/>
            <w:tcMar>
              <w:top w:w="50" w:type="dxa"/>
              <w:bottom w:w="50" w:type="dxa"/>
              <w:left w:w="90" w:type="dxa"/>
              <w:right w:w="90" w:type="dxa"/>
            </w:tcMar>
          </w:tcPr>
          <w:p>
            <w:pPr>
              <w:spacing w:after="40" w:line="250" w:lineRule="auto"/>
            </w:pPr>
            <w:r>
              <w:rPr>
                <w:rFonts w:ascii="Arial" w:hAnsi="Arial"/>
                <w:b w:val="0"/>
                <w:color w:val="202B35"/>
                <w:sz w:val="21"/>
              </w:rPr>
              <w:t>source system, source key, RAT, target ID, interval and confidence.</w:t>
            </w:r>
          </w:p>
        </w:tc>
        <w:tc>
          <w:tcPr>
            <w:tcW w:type="dxa" w:w="37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References one snapshot and retains unresolved alternatives.</w:t>
            </w:r>
          </w:p>
        </w:tc>
      </w:tr>
    </w:tbl>
    <w:p>
      <w:pPr>
        <w:pStyle w:val="Heading2"/>
      </w:pPr>
      <w:r>
        <w:t>Identity resolution</w:t>
      </w:r>
    </w:p>
    <w:p>
      <w:r>
        <w:t>Store supplied PLMN, NCI or ECGI, gNB and vendor identifiers explicitly without inferring them from an opaque serving_cell string. PCI remains a radio attribute and must not act as a globally unique key. Resolution uses source system, RAT, carrier context and validity interval. Preserve multiple candidates when context cannot disambiguate them.</w:t>
      </w:r>
    </w:p>
    <w:p>
      <w:r>
        <w:t>Manual review creates a new interpretation version. It does not rewrite observations or prove operational identity. A deleted or incompatible target becomes unresolved in the working view; an old frozen snapshot retains its captured inventory and interpretation. Bulk remapping must present affected samples and exact old/new targets before commit.</w:t>
      </w:r>
    </w:p>
    <w:p>
      <w:pPr>
        <w:pStyle w:val="Heading2"/>
      </w:pPr>
      <w:r>
        <w:t>Units and physical references</w:t>
      </w:r>
    </w:p>
    <w:p>
      <w:r>
        <w:t>Use latitude and longitude in decimal degrees, height in meters, frequency in hertz, power in dBm and bandwidth in hertz in canonical storage. API schemas name units explicitly. Define azimuth as clockwise from true north and document mechanical versus electrical tilt signs. Reject mixed conventions until a transformation recipe records the conversion.</w:t>
      </w:r>
    </w:p>
    <w:p>
      <w:pPr>
        <w:pStyle w:val="Heading2"/>
      </w:pPr>
      <w:r>
        <w:t>Model evolution</w:t>
      </w:r>
    </w:p>
    <w:p>
      <w:pPr>
        <w:keepNext/>
      </w:pPr>
      <w:r>
        <w:t>Add schemaVersion, source validity timestamps and optional references before relaxing three-sector assumptions. Legacy records retain their original meaning and unknown external identities. A topology edge or antenna pattern can be structurally valid yet unverified; readiness evaluates its evidence independently.</w:t>
      </w:r>
    </w:p>
    <w:p>
      <w:pPr>
        <w:pStyle w:val="Caption"/>
      </w:pPr>
      <w:r>
        <w:t>Source evidence  S01 S03 S07</w:t>
      </w:r>
    </w:p>
    <w:p>
      <w:bookmarkStart w:id="9" w:name="section_9"/>
      <w:pPr>
        <w:pStyle w:val="Heading1"/>
        <w:pageBreakBefore/>
      </w:pPr>
      <w:r>
        <w:t>9 Measurement versions and evidence provenance</w:t>
      </w:r>
      <w:bookmarkEnd w:id="9"/>
    </w:p>
    <w:p>
      <w:r>
        <w:t>Retain original evidence separately from normalized observations and later interpretations. A dataset version identifies the exact source, parsing recipe, sample values, metric definitions and identity mappings used in a study. Selecting a working dataset changes the working context; it cannot change a baseline or a previously accepted run.</w:t>
      </w:r>
    </w:p>
    <w:p>
      <w:pPr>
        <w:pStyle w:val="Heading2"/>
      </w:pPr>
      <w:r>
        <w:t>Evidence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608"/>
        <w:gridCol w:w="3600"/>
      </w:tblGrid>
      <w:tr>
        <w:trPr>
          <w:cantSplit/>
          <w:tblHeader/>
        </w:trPr>
        <w:tc>
          <w:tcPr>
            <w:tcW w:type="dxa" w:w="1728"/>
            <w:vAlign w:val="center"/>
            <w:shd w:fill="16324F"/>
            <w:tcMar>
              <w:top w:w="50" w:type="dxa"/>
              <w:bottom w:w="50" w:type="dxa"/>
              <w:left w:w="90" w:type="dxa"/>
              <w:right w:w="90" w:type="dxa"/>
            </w:tcMar>
          </w:tcPr>
          <w:p>
            <w:pPr>
              <w:spacing w:after="40" w:line="250" w:lineRule="auto"/>
            </w:pPr>
            <w:r>
              <w:rPr>
                <w:rFonts w:ascii="Arial" w:hAnsi="Arial"/>
                <w:b/>
                <w:color w:val="FFFFFF"/>
                <w:sz w:val="21"/>
              </w:rPr>
              <w:t>Record</w:t>
            </w:r>
          </w:p>
        </w:tc>
        <w:tc>
          <w:tcPr>
            <w:tcW w:type="dxa" w:w="4608"/>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content</w:t>
            </w:r>
          </w:p>
        </w:tc>
        <w:tc>
          <w:tcPr>
            <w:tcW w:type="dxa" w:w="3600"/>
            <w:vAlign w:val="center"/>
            <w:shd w:fill="16324F"/>
            <w:tcMar>
              <w:top w:w="50" w:type="dxa"/>
              <w:bottom w:w="50" w:type="dxa"/>
              <w:left w:w="90" w:type="dxa"/>
              <w:right w:w="90" w:type="dxa"/>
            </w:tcMar>
          </w:tcPr>
          <w:p>
            <w:pPr>
              <w:spacing w:after="40" w:line="250" w:lineRule="auto"/>
            </w:pPr>
            <w:r>
              <w:rPr>
                <w:rFonts w:ascii="Arial" w:hAnsi="Arial"/>
                <w:b/>
                <w:color w:val="FFFFFF"/>
                <w:sz w:val="21"/>
              </w:rPr>
              <w:t>Integrity rule</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Raw artifact</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Bytes, media type, byte count, source label and acquisition/import times.</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Digest the retained bytes; do not silently re-encode or rewrite them.</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Normalization recipe</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Parser version, mapped columns, units, missing markers and coordinate transform.</w:t>
            </w:r>
          </w:p>
        </w:tc>
        <w:tc>
          <w:tcPr>
            <w:tcW w:type="dxa" w:w="36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Replay must yield the stored normalized sample values.</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Dataset version</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Source artifact ID, recipe ID, immutable samples and metric definitions.</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Canonical content digest includes interpretation and quality metadata.</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Interpretation version</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Source ID/RAT bindings, method, reviewer and validity context.</w:t>
            </w:r>
          </w:p>
        </w:tc>
        <w:tc>
          <w:tcPr>
            <w:tcW w:type="dxa" w:w="36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New interpretation appends a version; source samples remain unchanged.</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Quality report</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Accepted/rejected rows, KPI populations, duplicates, extent and unresolved IDs.</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Every exclusion has a reason and original row reference.</w:t>
            </w:r>
          </w:p>
        </w:tc>
      </w:tr>
    </w:tbl>
    <w:p>
      <w:pPr>
        <w:pStyle w:val="Heading2"/>
      </w:pPr>
      <w:r>
        <w:t>Origin and verification</w:t>
      </w:r>
    </w:p>
    <w:p>
      <w:r>
        <w:t>Represent origin as synthetic, field-measured, simulation-derived or unknown. Represent verification independently as unverified, reviewed or accepted for a named scope. Importing a field-measured declaration does not prove measurement quality. Synthetic markers and source history cannot be overridden by a conflicting manual declaration. A successful solver output remains simulation-derived.</w:t>
      </w:r>
    </w:p>
    <w:p>
      <w:pPr>
        <w:pStyle w:val="Heading2"/>
      </w:pPr>
      <w:r>
        <w:t>Nullable measurements</w:t>
      </w:r>
    </w:p>
    <w:p>
      <w:r>
        <w:t>An absent metric column or recognized missing value produces null with a reason such as not-collected or source-missing. Zero throughput remains a valid observation. Statistics publish the available count for each metric, and comparisons publish matched counts and exclusions. Trend lines stop at missing observations; route colors use a neutral value when the selected KPI is unavailable.</w:t>
      </w:r>
    </w:p>
    <w:p>
      <w:pPr>
        <w:pStyle w:val="Heading2"/>
      </w:pPr>
      <w:r>
        <w:t>Timing and signal semantics</w:t>
      </w:r>
    </w:p>
    <w:p>
      <w:r>
        <w:t>Retain elapsed time and a declared route/session identity. Absolute time is optional only for offline display; temporal matching requires an acquisition timestamp, timezone and documented clock uncertainty. Record SS or CSI signal type, device method, carrier context and aggregation interval when supplied. Unknown reference-signal semantics permit inspection but block incompatible calibration or comparisons.</w:t>
      </w:r>
    </w:p>
    <w:p>
      <w:pPr>
        <w:keepNext/>
      </w:pPr>
      <w:r>
        <w:t>Spatial filtering preserves original sample IDs. Road snapping, smoothing and resampling create derived artifacts with their parameters and displacement or aggregation metadata; they never replace original GPS observations.</w:t>
      </w:r>
    </w:p>
    <w:p>
      <w:pPr>
        <w:pStyle w:val="Caption"/>
      </w:pPr>
      <w:r>
        <w:t>Source evidence  S03 S07 S08 E05</w:t>
      </w:r>
    </w:p>
    <w:p>
      <w:bookmarkStart w:id="10" w:name="section_10"/>
      <w:pPr>
        <w:pStyle w:val="Heading1"/>
        <w:pageBreakBefore/>
      </w:pPr>
      <w:r>
        <w:t>10 Persistence and artifact storage design</w:t>
      </w:r>
      <w:bookmarkEnd w:id="10"/>
    </w:p>
    <w:p>
      <w:r>
        <w:t>Keep the current SQLite implementation for the local release while introducing repository interfaces. The existing schema stores workspace metadata, projects, activity, tasks, artifacts, task_runs and run_events. Project JSON embeds retained study and measurement history. The proposed normalized schema reduces repeated large snapshots and enables queryable evidence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176"/>
        <w:gridCol w:w="3456"/>
      </w:tblGrid>
      <w:tr>
        <w:trPr>
          <w:cantSplit/>
          <w:tblHeader/>
        </w:trPr>
        <w:tc>
          <w:tcPr>
            <w:tcW w:type="dxa" w:w="2304"/>
            <w:vAlign w:val="center"/>
            <w:shd w:fill="16324F"/>
            <w:tcMar>
              <w:top w:w="50" w:type="dxa"/>
              <w:bottom w:w="50" w:type="dxa"/>
              <w:left w:w="90" w:type="dxa"/>
              <w:right w:w="90" w:type="dxa"/>
            </w:tcMar>
          </w:tcPr>
          <w:p>
            <w:pPr>
              <w:spacing w:after="40" w:line="250" w:lineRule="auto"/>
            </w:pPr>
            <w:r>
              <w:rPr>
                <w:rFonts w:ascii="Arial" w:hAnsi="Arial"/>
                <w:b/>
                <w:color w:val="FFFFFF"/>
                <w:sz w:val="21"/>
              </w:rPr>
              <w:t>Proposed table</w:t>
            </w:r>
          </w:p>
        </w:tc>
        <w:tc>
          <w:tcPr>
            <w:tcW w:type="dxa" w:w="4176"/>
            <w:vAlign w:val="center"/>
            <w:shd w:fill="16324F"/>
            <w:tcMar>
              <w:top w:w="50" w:type="dxa"/>
              <w:bottom w:w="50" w:type="dxa"/>
              <w:left w:w="90" w:type="dxa"/>
              <w:right w:w="90" w:type="dxa"/>
            </w:tcMar>
          </w:tcPr>
          <w:p>
            <w:pPr>
              <w:spacing w:after="40" w:line="250" w:lineRule="auto"/>
            </w:pPr>
            <w:r>
              <w:rPr>
                <w:rFonts w:ascii="Arial" w:hAnsi="Arial"/>
                <w:b/>
                <w:color w:val="FFFFFF"/>
                <w:sz w:val="21"/>
              </w:rPr>
              <w:t>Key fields</w:t>
            </w:r>
          </w:p>
        </w:tc>
        <w:tc>
          <w:tcPr>
            <w:tcW w:type="dxa" w:w="3456"/>
            <w:vAlign w:val="center"/>
            <w:shd w:fill="16324F"/>
            <w:tcMar>
              <w:top w:w="50" w:type="dxa"/>
              <w:bottom w:w="50" w:type="dxa"/>
              <w:left w:w="90" w:type="dxa"/>
              <w:right w:w="90" w:type="dxa"/>
            </w:tcMar>
          </w:tcPr>
          <w:p>
            <w:pPr>
              <w:spacing w:after="40" w:line="250" w:lineRule="auto"/>
            </w:pPr>
            <w:r>
              <w:rPr>
                <w:rFonts w:ascii="Arial" w:hAnsi="Arial"/>
                <w:b/>
                <w:color w:val="FFFFFF"/>
                <w:sz w:val="21"/>
              </w:rPr>
              <w:t>Important constraints</w:t>
            </w:r>
          </w:p>
        </w:tc>
      </w:tr>
      <w:tr>
        <w:trPr>
          <w:cantSplit/>
        </w:trPr>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project_revision</w:t>
            </w:r>
          </w:p>
        </w:tc>
        <w:tc>
          <w:tcPr>
            <w:tcW w:type="dxa" w:w="41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project_id, revision, snapshot_ref, created_at.</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Unique project/revision; append-only accepted revisions.</w:t>
            </w:r>
          </w:p>
        </w:tc>
      </w:tr>
      <w:tr>
        <w:trPr>
          <w:cantSplit/>
        </w:trPr>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network_snapshot</w:t>
            </w:r>
          </w:p>
        </w:tc>
        <w:tc>
          <w:tcPr>
            <w:tcW w:type="dxa" w:w="41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 project_id, schema_version, artifact_ref, digest.</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Immutable content; foreign keys remain project-scoped.</w:t>
            </w:r>
          </w:p>
        </w:tc>
      </w:tr>
      <w:tr>
        <w:trPr>
          <w:cantSplit/>
        </w:trPr>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dataset_version</w:t>
            </w:r>
          </w:p>
        </w:tc>
        <w:tc>
          <w:tcPr>
            <w:tcW w:type="dxa" w:w="41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id, project_id, source_ref, recipe_ref, content_ref, digest.</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Unique retained identity; selection stored separately.</w:t>
            </w:r>
          </w:p>
        </w:tc>
      </w:tr>
      <w:tr>
        <w:trPr>
          <w:cantSplit/>
        </w:trPr>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study_version</w:t>
            </w:r>
          </w:p>
        </w:tc>
        <w:tc>
          <w:tcPr>
            <w:tcW w:type="dxa" w:w="41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study_id, version, definition_ref, policy_ref.</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Sequential immutable versions.</w:t>
            </w:r>
          </w:p>
        </w:tc>
      </w:tr>
      <w:tr>
        <w:trPr>
          <w:cantSplit/>
        </w:trPr>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scenario_revision</w:t>
            </w:r>
          </w:p>
        </w:tc>
        <w:tc>
          <w:tcPr>
            <w:tcW w:type="dxa" w:w="41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scenario_id, version, baseline_id, changes_ref, digest.</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Valid baseline and exact before/after values.</w:t>
            </w:r>
          </w:p>
        </w:tc>
      </w:tr>
      <w:tr>
        <w:trPr>
          <w:cantSplit/>
        </w:trPr>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experiment_run</w:t>
            </w:r>
          </w:p>
        </w:tc>
        <w:tc>
          <w:tcPr>
            <w:tcW w:type="dxa" w:w="41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 project_id, input_manifest_ref, status, retry_of.</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One accepted input manifest; terminal evidence immutable.</w:t>
            </w:r>
          </w:p>
        </w:tc>
      </w:tr>
      <w:tr>
        <w:trPr>
          <w:cantSplit/>
        </w:trPr>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artifact</w:t>
            </w:r>
          </w:p>
        </w:tc>
        <w:tc>
          <w:tcPr>
            <w:tcW w:type="dxa" w:w="41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id, digest, media_type, byte_count, storage_key.</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Content immutable; access checked through project references.</w:t>
            </w:r>
          </w:p>
        </w:tc>
      </w:tr>
      <w:tr>
        <w:trPr>
          <w:cantSplit/>
        </w:trPr>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review_event</w:t>
            </w:r>
          </w:p>
        </w:tc>
        <w:tc>
          <w:tcPr>
            <w:tcW w:type="dxa" w:w="41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 comparison_id, reviewer_id, decision, reason.</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Append-only; amendments reference a prior event.</w:t>
            </w:r>
          </w:p>
        </w:tc>
      </w:tr>
      <w:tr>
        <w:trPr>
          <w:cantSplit/>
        </w:trPr>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request_receipt</w:t>
            </w:r>
          </w:p>
        </w:tc>
        <w:tc>
          <w:tcPr>
            <w:tcW w:type="dxa" w:w="41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scope, key, request_hash, response_json.</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Unique scope/key; incompatible reuse rejected.</w:t>
            </w:r>
          </w:p>
        </w:tc>
      </w:tr>
    </w:tbl>
    <w:p>
      <w:pPr>
        <w:pStyle w:val="Heading2"/>
      </w:pPr>
      <w:r>
        <w:t>Atomic metadata and artifact publication</w:t>
      </w:r>
    </w:p>
    <w:p>
      <w:r>
        <w:t>Write large files into a staging area, stream a digest and validate size/type. Publish immutable content through an atomic filesystem rename or an equivalent object-store operation. Then commit metadata references in a database transaction. A failed transaction leaves an unreferenced staged object that retention may collect later. An acknowledged record must never reference missing content.</w:t>
      </w:r>
    </w:p>
    <w:p>
      <w:pPr>
        <w:pStyle w:val="Heading2"/>
      </w:pPr>
      <w:r>
        <w:t>Repository ports</w:t>
      </w:r>
    </w:p>
    <w:p>
      <w:r>
        <w:t>Define ProjectRepository, EvidenceRepository, StudyRepository, RunRepository and ArtifactStore interfaces. Transactions that create a baseline, experiment or report must bind all referenced versions before commit. Keep status transitions and audit events in the same transaction. Services return a committed receipt rather than a tentative identifier.</w:t>
      </w:r>
    </w:p>
    <w:p>
      <w:pPr>
        <w:pStyle w:val="Heading2"/>
      </w:pPr>
      <w:r>
        <w:t>Local and shared profiles</w:t>
      </w:r>
    </w:p>
    <w:p>
      <w:pPr>
        <w:keepNext/>
      </w:pPr>
      <w:r>
        <w:t>SQLite WAL remains the local default. A shared database and object store are proposed deployment options, selected after concurrency and operational requirements are agreed. Workers access artifacts through manifests and project authorization; the browser does not receive arbitrary filesystem paths.</w:t>
      </w:r>
    </w:p>
    <w:p>
      <w:pPr>
        <w:pStyle w:val="Caption"/>
      </w:pPr>
      <w:r>
        <w:t>Source evidence  S05</w:t>
      </w:r>
    </w:p>
    <w:p>
      <w:bookmarkStart w:id="11" w:name="section_11"/>
      <w:pPr>
        <w:pStyle w:val="Heading1"/>
        <w:pageBreakBefore/>
      </w:pPr>
      <w:r>
        <w:t>11 Schema migration and integrity controls</w:t>
      </w:r>
      <w:bookmarkEnd w:id="11"/>
    </w:p>
    <w:p>
      <w:r>
        <w:t>A migration must preserve existing source bytes, interpretation history and run meaning. Do not convert an unknown origin into field-measured, invent missing acquisition timestamps, or reconstruct an exact frozen request from a legacy result. Legacy records remain readable with explicit absent metadata.</w:t>
      </w:r>
    </w:p>
    <w:p>
      <w:pPr>
        <w:pStyle w:val="Heading2"/>
      </w:pPr>
      <w:r>
        <w:t>Migration sequence</w:t>
      </w:r>
    </w:p>
    <w:p>
      <w:pPr>
        <w:pStyle w:val="ListBullet"/>
      </w:pPr>
      <w:r>
        <w:t>Freeze the migration schema and produce a consistent backup using the database backup API. Record database and artifact inventory digests.</w:t>
      </w:r>
    </w:p>
    <w:p>
      <w:pPr>
        <w:pStyle w:val="ListBullet"/>
      </w:pPr>
      <w:r>
        <w:t>Run an offline preflight that reports invalid records, unsupported versions, size overflows and orphan references without changing the source.</w:t>
      </w:r>
    </w:p>
    <w:p>
      <w:pPr>
        <w:pStyle w:val="ListBullet"/>
      </w:pPr>
      <w:r>
        <w:t>Create additive tables and migrate project data into a staged database. Record old-to-new identifiers and transformation recipes.</w:t>
      </w:r>
    </w:p>
    <w:p>
      <w:pPr>
        <w:pStyle w:val="ListBullet"/>
      </w:pPr>
      <w:r>
        <w:t>Verify row populations, normalized values, immutable content digests, references, nulls and original byte retrieval.</w:t>
      </w:r>
    </w:p>
    <w:p>
      <w:pPr>
        <w:pStyle w:val="ListBullet"/>
      </w:pPr>
      <w:r>
        <w:t>Switch the application to the staged database only after the verification report passes. Keep the old database as the rollback source.</w:t>
      </w:r>
    </w:p>
    <w:p>
      <w:pPr>
        <w:pStyle w:val="Heading2"/>
      </w:pPr>
      <w:r>
        <w:t>Version and serialization rules</w:t>
      </w:r>
    </w:p>
    <w:p>
      <w:r>
        <w:t>Publish a schema catalog for manifests, datasets, network snapshots, experiments and results. Reject unsupported major versions with a specific error. Additive optional fields require a defined default meaning. Hash exact retained UTF-8 canonical JSON bytes with a named serialization version; specify key order, number formatting, Unicode handling and prohibited NaN/Infinity values. Store those bytes so cross-language verification does not depend on reserialization.</w:t>
      </w:r>
    </w:p>
    <w:p>
      <w:r>
        <w:t>Keep raw byte digests distinct from canonical dataset digests. A source file can be identical while its mapping or identity interpretation changes. On read, verify retained digests before granting an input identity claim. On write, compare immutable history against the saved version inside the transaction.</w:t>
      </w:r>
    </w:p>
    <w:p>
      <w:pPr>
        <w:pStyle w:val="Heading2"/>
      </w:pPr>
      <w:r>
        <w:t>Deletion and retention</w:t>
      </w:r>
    </w:p>
    <w:p>
      <w:r>
        <w:t>Project archive blocks new execution and preserves reviewable evidence. Permanent deletion requires an explicit project lifecycle action and reports dependent runs and artifacts. Content shared by references is removed only when no retained reference remains and the retention policy permits it. Never prune dataset history automatically to make a save fit current limits.</w:t>
      </w:r>
    </w:p>
    <w:p>
      <w:pPr>
        <w:pStyle w:val="Heading2"/>
      </w:pPr>
      <w:r>
        <w:t>Rollback and recovery</w:t>
      </w:r>
    </w:p>
    <w:p>
      <w:pPr>
        <w:keepNext/>
      </w:pPr>
      <w:r>
        <w:t>A migration journal records the source version, target version, tool build and completed stages. Crash recovery restarts from a validated stage rather than applying a second transformation to already migrated records. If the previous application cannot read the new schema, rollback restores the prior database and artifact manifest together; executable rollback is tested before release.</w:t>
      </w:r>
    </w:p>
    <w:p>
      <w:pPr>
        <w:pStyle w:val="Caption"/>
      </w:pPr>
      <w:r>
        <w:t>Source evidence  S03 S05 S08 S09 E04</w:t>
      </w:r>
    </w:p>
    <w:p>
      <w:bookmarkStart w:id="12" w:name="section_12"/>
      <w:pPr>
        <w:pStyle w:val="Heading1"/>
        <w:pageBreakBefore/>
      </w:pPr>
      <w:r>
        <w:t>12 Existing API and compatibility contract</w:t>
      </w:r>
      <w:bookmarkEnd w:id="12"/>
    </w:p>
    <w:p>
      <w:r>
        <w:t>The current API is local-only. Its handlers check loopback client and Host values; mutating requests also reject a mismatched Origin. The base deployment has no multi-user authentication. These endpoints remain supported during the first service refactor, with their existing validation and status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2952"/>
        <w:gridCol w:w="3312"/>
      </w:tblGrid>
      <w:tr>
        <w:trPr>
          <w:cantSplit/>
          <w:tblHeader/>
        </w:trPr>
        <w:tc>
          <w:tcPr>
            <w:tcW w:type="dxa" w:w="3672"/>
            <w:vAlign w:val="center"/>
            <w:shd w:fill="16324F"/>
            <w:tcMar>
              <w:top w:w="50" w:type="dxa"/>
              <w:bottom w:w="50" w:type="dxa"/>
              <w:left w:w="90" w:type="dxa"/>
              <w:right w:w="90" w:type="dxa"/>
            </w:tcMar>
          </w:tcPr>
          <w:p>
            <w:pPr>
              <w:spacing w:after="40" w:line="250" w:lineRule="auto"/>
            </w:pPr>
            <w:r>
              <w:rPr>
                <w:rFonts w:ascii="Arial" w:hAnsi="Arial"/>
                <w:b/>
                <w:color w:val="FFFFFF"/>
                <w:sz w:val="21"/>
              </w:rPr>
              <w:t>Method and path</w:t>
            </w:r>
          </w:p>
        </w:tc>
        <w:tc>
          <w:tcPr>
            <w:tcW w:type="dxa" w:w="2952"/>
            <w:vAlign w:val="center"/>
            <w:shd w:fill="16324F"/>
            <w:tcMar>
              <w:top w:w="50" w:type="dxa"/>
              <w:bottom w:w="50" w:type="dxa"/>
              <w:left w:w="90" w:type="dxa"/>
              <w:right w:w="90" w:type="dxa"/>
            </w:tcMar>
          </w:tcPr>
          <w:p>
            <w:pPr>
              <w:spacing w:after="40" w:line="250" w:lineRule="auto"/>
            </w:pPr>
            <w:r>
              <w:rPr>
                <w:rFonts w:ascii="Arial" w:hAnsi="Arial"/>
                <w:b/>
                <w:color w:val="FFFFFF"/>
                <w:sz w:val="21"/>
              </w:rPr>
              <w:t>Behavior</w:t>
            </w:r>
          </w:p>
        </w:tc>
        <w:tc>
          <w:tcPr>
            <w:tcW w:type="dxa" w:w="3312"/>
            <w:vAlign w:val="center"/>
            <w:shd w:fill="16324F"/>
            <w:tcMar>
              <w:top w:w="50" w:type="dxa"/>
              <w:bottom w:w="50" w:type="dxa"/>
              <w:left w:w="90" w:type="dxa"/>
              <w:right w:w="90" w:type="dxa"/>
            </w:tcMar>
          </w:tcPr>
          <w:p>
            <w:pPr>
              <w:spacing w:after="40" w:line="250" w:lineRule="auto"/>
            </w:pPr>
            <w:r>
              <w:rPr>
                <w:rFonts w:ascii="Arial" w:hAnsi="Arial"/>
                <w:b/>
                <w:color w:val="FFFFFF"/>
                <w:sz w:val="21"/>
              </w:rPr>
              <w:t>Contract detail</w:t>
            </w:r>
          </w:p>
        </w:tc>
      </w:tr>
      <w:tr>
        <w:trPr>
          <w:cantSplit/>
        </w:trPr>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GET /api/workspace</w:t>
            </w:r>
          </w:p>
        </w:tc>
        <w:tc>
          <w:tcPr>
            <w:tcW w:type="dxa" w:w="29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 current workspace.</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Returns workspace and revision.</w:t>
            </w:r>
          </w:p>
        </w:tc>
      </w:tr>
      <w:tr>
        <w:trPr>
          <w:cantSplit/>
        </w:trPr>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PUT /api/workspace</w:t>
            </w:r>
          </w:p>
        </w:tc>
        <w:tc>
          <w:tcPr>
            <w:tcW w:type="dxa" w:w="29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Save workspace and artifact index.</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Body contains workspace, artifacts and expected revision; conflict is 409.</w:t>
            </w:r>
          </w:p>
        </w:tc>
      </w:tr>
      <w:tr>
        <w:trPr>
          <w:cantSplit/>
        </w:trPr>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GET /api/projects</w:t>
            </w:r>
          </w:p>
        </w:tc>
        <w:tc>
          <w:tcPr>
            <w:tcW w:type="dxa" w:w="29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 project summaries.</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Current workspace project library.</w:t>
            </w:r>
          </w:p>
        </w:tc>
      </w:tr>
      <w:tr>
        <w:trPr>
          <w:cantSplit/>
        </w:trPr>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GET /api/projects/{id}/tasks</w:t>
            </w:r>
          </w:p>
        </w:tc>
        <w:tc>
          <w:tcPr>
            <w:tcW w:type="dxa" w:w="29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Read planned work.</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No delivery-task executor is implied.</w:t>
            </w:r>
          </w:p>
        </w:tc>
      </w:tr>
      <w:tr>
        <w:trPr>
          <w:cantSplit/>
        </w:trPr>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GET /api/projects/{id}/artifacts</w:t>
            </w:r>
          </w:p>
        </w:tc>
        <w:tc>
          <w:tcPr>
            <w:tcW w:type="dxa" w:w="29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 artifact metadata.</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content=1 includes contents; detail path adds artifactId.</w:t>
            </w:r>
          </w:p>
        </w:tc>
      </w:tr>
      <w:tr>
        <w:trPr>
          <w:cantSplit/>
        </w:trPr>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GET /api/projects/{id}/runs</w:t>
            </w:r>
          </w:p>
        </w:tc>
        <w:tc>
          <w:tcPr>
            <w:tcW w:type="dxa" w:w="29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Read retained runs.</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limit 1 to 200; offset; total and nextOffset.</w:t>
            </w:r>
          </w:p>
        </w:tc>
      </w:tr>
      <w:tr>
        <w:trPr>
          <w:cantSplit/>
        </w:trPr>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GET /api/runs/{id}</w:t>
            </w:r>
          </w:p>
        </w:tc>
        <w:tc>
          <w:tcPr>
            <w:tcW w:type="dxa" w:w="29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 a retained run.</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Includes accepted input, result, lifecycle events and retry link.</w:t>
            </w:r>
          </w:p>
        </w:tc>
      </w:tr>
      <w:tr>
        <w:trPr>
          <w:cantSplit/>
        </w:trPr>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GET /api/rt/capability</w:t>
            </w:r>
          </w:p>
        </w:tc>
        <w:tc>
          <w:tcPr>
            <w:tcW w:type="dxa" w:w="29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Check local runtime detection.</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runContractVersion 1; cancel/retry actions.</w:t>
            </w:r>
          </w:p>
        </w:tc>
      </w:tr>
      <w:tr>
        <w:trPr>
          <w:cantSplit/>
        </w:trPr>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GET /api/rt/jobs/{id}</w:t>
            </w:r>
          </w:p>
        </w:tc>
        <w:tc>
          <w:tcPr>
            <w:tcW w:type="dxa" w:w="29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 accepted job status.</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Manager receipt or retained run status.</w:t>
            </w:r>
          </w:p>
        </w:tc>
      </w:tr>
      <w:tr>
        <w:trPr>
          <w:cantSplit/>
        </w:trPr>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/api/rt/jobs</w:t>
            </w:r>
          </w:p>
        </w:tc>
        <w:tc>
          <w:tcPr>
            <w:tcW w:type="dxa" w:w="29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Submit bounded local path job.</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projectId and optional runCapture; accepted response is 202.</w:t>
            </w:r>
          </w:p>
        </w:tc>
      </w:tr>
      <w:tr>
        <w:trPr>
          <w:cantSplit/>
        </w:trPr>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POST /api/rt/jobs/{id}/cancel</w:t>
            </w:r>
          </w:p>
        </w:tc>
        <w:tc>
          <w:tcPr>
            <w:tcW w:type="dxa" w:w="29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Request worker cancellation.</w:t>
            </w:r>
          </w:p>
        </w:tc>
        <w:tc>
          <w:tcPr>
            <w:tcW w:type="dxa" w:w="3312"/>
            <w:vAlign w:val="center"/>
            <w:shd w:fill="FFFFFF"/>
            <w:tcMar>
              <w:top w:w="50" w:type="dxa"/>
              <w:bottom w:w="50" w:type="dxa"/>
              <w:left w:w="90" w:type="dxa"/>
              <w:right w:w="90" w:type="dxa"/>
            </w:tcMar>
          </w:tcPr>
          <w:p>
            <w:pPr>
              <w:spacing w:after="40" w:line="250" w:lineRule="auto"/>
            </w:pPr>
            <w:r>
              <w:rPr>
                <w:rFonts w:ascii="Arial" w:hAnsi="Arial"/>
                <w:b w:val="0"/>
                <w:color w:val="202B35"/>
                <w:sz w:val="21"/>
              </w:rPr>
              <w:t>Body is exactly projectId; acknowledgement is 202.</w:t>
            </w:r>
          </w:p>
        </w:tc>
      </w:tr>
      <w:tr>
        <w:trPr>
          <w:cantSplit/>
        </w:trPr>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/api/rt/jobs/{id}/retry</w:t>
            </w:r>
          </w:p>
        </w:tc>
        <w:tc>
          <w:tcPr>
            <w:tcW w:type="dxa" w:w="29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Create exact-input retry.</w:t>
            </w:r>
          </w:p>
        </w:tc>
        <w:tc>
          <w:tcPr>
            <w:tcW w:type="dxa" w:w="3312"/>
            <w:vAlign w:val="center"/>
            <w:shd w:fill="F1F5F8"/>
            <w:tcMar>
              <w:top w:w="50" w:type="dxa"/>
              <w:bottom w:w="50" w:type="dxa"/>
              <w:left w:w="90" w:type="dxa"/>
              <w:right w:w="90" w:type="dxa"/>
            </w:tcMar>
          </w:tcPr>
          <w:p>
            <w:pPr>
              <w:spacing w:after="40" w:line="250" w:lineRule="auto"/>
            </w:pPr>
            <w:r>
              <w:rPr>
                <w:rFonts w:ascii="Arial" w:hAnsi="Arial"/>
                <w:b w:val="0"/>
                <w:color w:val="202B35"/>
                <w:sz w:val="21"/>
              </w:rPr>
              <w:t>Body is exactly projectId; retained input cannot be overridden.</w:t>
            </w:r>
          </w:p>
        </w:tc>
      </w:tr>
    </w:tbl>
    <w:p>
      <w:pPr>
        <w:pStyle w:val="Heading2"/>
      </w:pPr>
      <w:r>
        <w:t>Current errors</w:t>
      </w:r>
    </w:p>
    <w:p>
      <w:r>
        <w:t>Malformed or invalid domain input returns 400, unknown records return 404, cross-origin or nonlocal API access returns 403, unavailable runtime returns 503, busy execution or a save conflict returns 409, oversize JSON returns 413, and unsupported media type returns 415. A cancellation receipt does not mean the worker has stopped.</w:t>
      </w:r>
    </w:p>
    <w:p>
      <w:pPr>
        <w:pStyle w:val="Heading2"/>
      </w:pPr>
      <w:r>
        <w:t>Compatibility during migration</w:t>
      </w:r>
    </w:p>
    <w:p>
      <w:pPr>
        <w:keepNext/>
      </w:pPr>
      <w:r>
        <w:t>Keep legacy route and manifest reads while translating into the new service boundary. Retain current limit behavior until a new schema and endpoint explicitly expand it. Legacy path jobs have no frozen identity claim. The new API must not retroactively claim that they were captured, calibrated or replayable.</w:t>
      </w:r>
    </w:p>
    <w:p>
      <w:pPr>
        <w:pStyle w:val="Caption"/>
      </w:pPr>
      <w:r>
        <w:t>Source evidence  S01 S05 S06</w:t>
      </w:r>
    </w:p>
    <w:p>
      <w:bookmarkStart w:id="13" w:name="section_13"/>
      <w:pPr>
        <w:pStyle w:val="Heading1"/>
        <w:pageBreakBefore/>
      </w:pPr>
      <w:r>
        <w:t>13 Proposed versioned API contracts</w:t>
      </w:r>
      <w:bookmarkEnd w:id="13"/>
    </w:p>
    <w:p>
      <w:r>
        <w:t>Introduce /api/v1 resources alongside the existing local routes. The resource paths below are relative to /api/v1/projects/{id}/. Each mutation includes a caller-stable Idempotency-Key; revisioned edits require an expected revision. An acceptance receipt includes resource ID, committed revision and request digest.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888"/>
      </w:tblGrid>
      <w:tr>
        <w:trPr>
          <w:cantSplit/>
          <w:tblHeader/>
        </w:trPr>
        <w:tc>
          <w:tcPr>
            <w:tcW w:type="dxa" w:w="3024"/>
            <w:vAlign w:val="center"/>
            <w:shd w:fill="16324F"/>
            <w:tcMar>
              <w:top w:w="50" w:type="dxa"/>
              <w:bottom w:w="50" w:type="dxa"/>
              <w:left w:w="90" w:type="dxa"/>
              <w:right w:w="90" w:type="dxa"/>
            </w:tcMar>
          </w:tcPr>
          <w:p>
            <w:pPr>
              <w:spacing w:after="40" w:line="250" w:lineRule="auto"/>
            </w:pPr>
            <w:r>
              <w:rPr>
                <w:rFonts w:ascii="Arial" w:hAnsi="Arial"/>
                <w:b/>
                <w:color w:val="FFFFFF"/>
                <w:sz w:val="21"/>
              </w:rPr>
              <w:t>Proposed resource</w:t>
            </w:r>
          </w:p>
        </w:tc>
        <w:tc>
          <w:tcPr>
            <w:tcW w:type="dxa" w:w="3024"/>
            <w:vAlign w:val="center"/>
            <w:shd w:fill="16324F"/>
            <w:tcMar>
              <w:top w:w="50" w:type="dxa"/>
              <w:bottom w:w="50" w:type="dxa"/>
              <w:left w:w="90" w:type="dxa"/>
              <w:right w:w="90" w:type="dxa"/>
            </w:tcMar>
          </w:tcPr>
          <w:p>
            <w:pPr>
              <w:spacing w:after="40" w:line="250" w:lineRule="auto"/>
            </w:pPr>
            <w:r>
              <w:rPr>
                <w:rFonts w:ascii="Arial" w:hAnsi="Arial"/>
                <w:b/>
                <w:color w:val="FFFFFF"/>
                <w:sz w:val="21"/>
              </w:rPr>
              <w:t>Operation</w:t>
            </w:r>
          </w:p>
        </w:tc>
        <w:tc>
          <w:tcPr>
            <w:tcW w:type="dxa" w:w="3888"/>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precondition</w:t>
            </w:r>
          </w:p>
        </w:tc>
      </w:tr>
      <w:tr>
        <w:trPr>
          <w:cantSplit/>
        </w:trPr>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commands</w:t>
            </w:r>
          </w:p>
        </w:tc>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POST typed engineering command.</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Expected project revision and field authorization.</w:t>
            </w:r>
          </w:p>
        </w:tc>
      </w:tr>
      <w:tr>
        <w:trPr>
          <w:cantSplit/>
        </w:trPr>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imports</w:t>
            </w:r>
          </w:p>
        </w:tc>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source artifact and recipe; return review.</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Declared source, bounded upload and parser version.</w:t>
            </w:r>
          </w:p>
        </w:tc>
      </w:tr>
      <w:tr>
        <w:trPr>
          <w:cantSplit/>
        </w:trPr>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datasets</w:t>
            </w:r>
          </w:p>
        </w:tc>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POST reviewed dataset version.</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Import-review digest and compatible inventory reference.</w:t>
            </w:r>
          </w:p>
        </w:tc>
      </w:tr>
      <w:tr>
        <w:trPr>
          <w:cantSplit/>
        </w:trPr>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baselines</w:t>
            </w:r>
          </w:p>
        </w:tc>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immutable baseline.</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Saved study definition and exact network/evidence references.</w:t>
            </w:r>
          </w:p>
        </w:tc>
      </w:tr>
      <w:tr>
        <w:trPr>
          <w:cantSplit/>
        </w:trPr>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scenarios/{sid}/revisions</w:t>
            </w:r>
          </w:p>
        </w:tc>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POST exact changes.</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Parent revision and baseline digest.</w:t>
            </w:r>
          </w:p>
        </w:tc>
      </w:tr>
      <w:tr>
        <w:trPr>
          <w:cantSplit/>
        </w:trPr>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capabilities</w:t>
            </w:r>
          </w:p>
        </w:tc>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action preflight.</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Version references and requested engine/output.</w:t>
            </w:r>
          </w:p>
        </w:tc>
      </w:tr>
      <w:tr>
        <w:trPr>
          <w:cantSplit/>
        </w:trPr>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experiments</w:t>
            </w:r>
          </w:p>
        </w:tc>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POST frozen experiment.</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Preflight inputs revalidated transactionally.</w:t>
            </w:r>
          </w:p>
        </w:tc>
      </w:tr>
      <w:tr>
        <w:trPr>
          <w:cantSplit/>
        </w:trPr>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runs/{rid}/actions</w:t>
            </w:r>
          </w:p>
        </w:tc>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cancel, exact-retry or clone.</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Lifecycle, ownership and action capability.</w:t>
            </w:r>
          </w:p>
        </w:tc>
      </w:tr>
      <w:tr>
        <w:trPr>
          <w:cantSplit/>
        </w:trPr>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comparisons</w:t>
            </w:r>
          </w:p>
        </w:tc>
        <w:tc>
          <w:tcPr>
            <w:tcW w:type="dxa" w:w="30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POST comparison specification.</w:t>
            </w:r>
          </w:p>
        </w:tc>
        <w:tc>
          <w:tcPr>
            <w:tcW w:type="dxa" w:w="38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Completed runs and metric/denominator compatibility.</w:t>
            </w:r>
          </w:p>
        </w:tc>
      </w:tr>
      <w:tr>
        <w:trPr>
          <w:cantSplit/>
        </w:trPr>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reports</w:t>
            </w:r>
          </w:p>
        </w:tc>
        <w:tc>
          <w:tcPr>
            <w:tcW w:type="dxa" w:w="30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POST immutable report bundle.</w:t>
            </w:r>
          </w:p>
        </w:tc>
        <w:tc>
          <w:tcPr>
            <w:tcW w:type="dxa" w:w="38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Comparison and review inputs are retained.</w:t>
            </w:r>
          </w:p>
        </w:tc>
      </w:tr>
    </w:tbl>
    <w:p>
      <w:pPr>
        <w:pStyle w:val="Heading2"/>
      </w:pPr>
      <w:r>
        <w:t>Response and error structure</w:t>
      </w:r>
    </w:p>
    <w:p>
      <w:pPr>
        <w:spacing w:before="60" w:after="100" w:line="240" w:lineRule="auto"/>
      </w:pPr>
      <w:r>
        <w:rPr>
          <w:rFonts w:ascii="Courier New" w:hAnsi="Courier New"/>
          <w:sz w:val="19"/>
        </w:rPr>
        <w:t>{"error": {"code": "INPUT_VERSION_CHANGED",</w:t>
        <w:br/>
        <w:t xml:space="preserve">  "message": "The selected dataset changed",</w:t>
        <w:br/>
        <w:t xml:space="preserve">  "details": [{"path":"datasetVersionId","reason":"revision_mismatch"}]},</w:t>
        <w:br/>
        <w:t xml:space="preserve"> "requestId": "uuid", "retryable": false}</w:t>
      </w:r>
    </w:p>
    <w:p>
      <w:r>
        <w:t>Use 201 for a synchronously created resource and 202 for accepted asynchronous work. Use 409 for revision, capability or lifecycle conflicts, with stable error codes. Proposed validation errors may use 422, but compatibility adapters preserve existing 400 behavior. Paginated resources use opaque cursors scoped to a sort order and filter digest.</w:t>
      </w:r>
    </w:p>
    <w:p>
      <w:pPr>
        <w:pStyle w:val="Heading2"/>
      </w:pPr>
      <w:r>
        <w:t>Idempotency and lost responses</w:t>
      </w:r>
    </w:p>
    <w:p>
      <w:r>
        <w:t>Retain the accepted receipt transactionally. Repeating a key with the same request hash returns the original receipt; repeating it with different content returns 409. Provide a receipt lookup so the UI can resolve uncertain acceptance before submitting again. Runtime unavailability or a failed preflight must not create a success receipt.</w:t>
      </w:r>
    </w:p>
    <w:p>
      <w:bookmarkStart w:id="14" w:name="section_14"/>
      <w:pPr>
        <w:pStyle w:val="Heading1"/>
        <w:pageBreakBefore/>
      </w:pPr>
      <w:r>
        <w:t>14 Job lifecycle and worker contract</w:t>
      </w:r>
      <w:bookmarkEnd w:id="14"/>
    </w:p>
    <w:p>
      <w:r>
        <w:t>Preserve the existing server-owned lifecycle and exact-input recovery. A run is accepted only after its frozen request is retained. The worker receives that accepted manifest, not the current working project. Terminal output is validated and published before the run can expose a completed result.</w:t>
      </w:r>
    </w:p>
    <w:p>
      <w:pPr>
        <w:jc w:val="center"/>
      </w:pPr>
      <w:r>
        <w:drawing>
          <wp:inline xmlns:a="http://schemas.openxmlformats.org/drawingml/2006/main" xmlns:pic="http://schemas.openxmlformats.org/drawingml/2006/picture">
            <wp:extent cx="6263640" cy="2720571"/>
            <wp:docPr id="2" name="Picture 2" descr="Figure 2 Existing local run states and the proposed recovery boundary for independently leased workers"/>
            <wp:cNvGraphicFramePr>
              <a:graphicFrameLocks noChangeAspect="1"/>
            </wp:cNvGraphicFramePr>
            <a:graphic>
              <a:graphicData uri="http://schemas.openxmlformats.org/drawingml/2006/picture">
                <pic:pic>
                  <pic:nvPicPr>
                    <pic:cNvPr id="0" name="run_lifecycle.png"/>
                    <pic:cNvPicPr/>
                  </pic:nvPicPr>
                  <pic:blipFill>
                    <a:blip r:embed="rId12"/>
                    <a:stretch>
                      <a:fillRect/>
                    </a:stretch>
                  </pic:blipFill>
                  <pic:spPr>
                    <a:xfrm>
                      <a:off x="0" y="0"/>
                      <a:ext cx="6263640" cy="2720571"/>
                    </a:xfrm>
                    <a:prstGeom prst="rect"/>
                  </pic:spPr>
                </pic:pic>
              </a:graphicData>
            </a:graphic>
          </wp:inline>
        </w:drawing>
      </w:r>
    </w:p>
    <w:p>
      <w:pPr>
        <w:pStyle w:val="Caption"/>
      </w:pPr>
      <w:r>
        <w:t>Figure 2 Existing local run states and the proposed recovery boundary for independently leased workers</w:t>
      </w:r>
    </w:p>
    <w:p>
      <w:pPr>
        <w:pStyle w:val="Heading2"/>
      </w:pPr>
      <w:r>
        <w:t>Current state semantics</w:t>
      </w:r>
    </w:p>
    <w:p>
      <w:r>
        <w:t>Queued means accepted input is retained. Running means an owned worker has begun execution. Cancelling means a stop request is recorded and worker exit is pending. Cancelled means exit was confirmed and any subsequent output was discarded. Failed records a known failure; interrupted records an unknown outcome after server interruption. Terminal evidence is immutable.</w:t>
      </w:r>
    </w:p>
    <w:p>
      <w:pPr>
        <w:pStyle w:val="Heading2"/>
      </w:pPr>
      <w:r>
        <w:t>Proposed worker interface</w:t>
      </w:r>
    </w:p>
    <w:p>
      <w:pPr>
        <w:spacing w:before="60" w:after="100" w:line="240" w:lineRule="auto"/>
      </w:pPr>
      <w:r>
        <w:rPr>
          <w:rFonts w:ascii="Courier New" w:hAnsi="Courier New"/>
          <w:sz w:val="19"/>
        </w:rPr>
        <w:t>validate(request, engineProfile) -&gt; supported outputs or reasons</w:t>
        <w:br/>
        <w:t>execute(inputManifest, budget, cancellationToken) -&gt; staged results</w:t>
        <w:br/>
        <w:t>validateOutput(stagedResults, inputManifest) -&gt; publication manifest</w:t>
      </w:r>
    </w:p>
    <w:p>
      <w:r>
        <w:t>Record engine build, dependencies, backend, device, seed, start/end times, resource limits and structured failure code. Keep bounded diagnostics separate from raw stdout. Exact retry creates a new run with the original request and parent link; clone creates new input identity and records which options changed.</w:t>
      </w:r>
    </w:p>
    <w:p>
      <w:pPr>
        <w:pStyle w:val="Heading2"/>
      </w:pPr>
      <w:r>
        <w:t>Shared worker scheduling</w:t>
      </w:r>
    </w:p>
    <w:p>
      <w:r>
        <w:t>The shared profile adds a lease owner, expiry, heartbeat and fencing token. Only the current token may commit status or publish output. After lease expiry, reconcile possible staged output before marking interruption or admitting a retry. A queue delivery may repeat; unique run identity and fencing enforce one accepted terminal publication.</w:t>
      </w:r>
    </w:p>
    <w:p>
      <w:pPr>
        <w:keepNext/>
      </w:pPr>
      <w:r>
        <w:t>Keep the local one-worker admission rule until a scheduler and resource accounting are implemented. Cancellation must terminate and reap the actual child process; releasing a slot before exit can oversubscribe resources or publish stale output.</w:t>
      </w:r>
    </w:p>
    <w:p>
      <w:pPr>
        <w:pStyle w:val="Caption"/>
      </w:pPr>
      <w:r>
        <w:t>Source evidence  S03 S05 S06</w:t>
      </w:r>
    </w:p>
    <w:p>
      <w:bookmarkStart w:id="15" w:name="section_15"/>
      <w:pPr>
        <w:pStyle w:val="Heading1"/>
        <w:pageBreakBefore/>
      </w:pPr>
      <w:r>
        <w:t>15 Propagation engines and RF metric contracts</w:t>
      </w:r>
      <w:bookmarkEnd w:id="15"/>
    </w:p>
    <w:p>
      <w:r>
        <w:t>Develop engine support in explicit stages: retain single-link diagnostics, add route sampling, add multi-transmitter radio maps, and then introduce metric mappings and qualified RAN models. Each stage declares supported inputs and outputs. Unsupported candidate changes must block a run rather than disappear during translation.</w:t>
      </w:r>
    </w:p>
    <w:p>
      <w:pPr>
        <w:pStyle w:val="Heading2"/>
      </w:pPr>
      <w:r>
        <w:t>Engine capability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cantSplit/>
          <w:tblHeader/>
        </w:trPr>
        <w:tc>
          <w:tcPr>
            <w:tcW w:type="dxa" w:w="1944"/>
            <w:vAlign w:val="center"/>
            <w:shd w:fill="16324F"/>
            <w:tcMar>
              <w:top w:w="50" w:type="dxa"/>
              <w:bottom w:w="50" w:type="dxa"/>
              <w:left w:w="90" w:type="dxa"/>
              <w:right w:w="90" w:type="dxa"/>
            </w:tcMar>
          </w:tcPr>
          <w:p>
            <w:pPr>
              <w:spacing w:after="40" w:line="250" w:lineRule="auto"/>
            </w:pPr>
            <w:r>
              <w:rPr>
                <w:rFonts w:ascii="Arial" w:hAnsi="Arial"/>
                <w:b/>
                <w:color w:val="FFFFFF"/>
                <w:sz w:val="21"/>
              </w:rPr>
              <w:t>Profile field</w:t>
            </w:r>
          </w:p>
        </w:tc>
        <w:tc>
          <w:tcPr>
            <w:tcW w:type="dxa" w:w="7992"/>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meaning</w:t>
            </w:r>
          </w:p>
        </w:tc>
      </w:tr>
      <w:tr>
        <w:trPr>
          <w:cantSplit/>
        </w:trPr>
        <w:tc>
          <w:tcPr>
            <w:tcW w:type="dxa" w:w="19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Supported changes</w:t>
            </w:r>
          </w:p>
        </w:tc>
        <w:tc>
          <w:tcPr>
            <w:tcW w:type="dxa" w:w="79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Position, height, orientation, pattern, power, frequency and carrier changes actually represented by the engine.</w:t>
            </w:r>
          </w:p>
        </w:tc>
      </w:tr>
      <w:tr>
        <w:trPr>
          <w:cantSplit/>
        </w:trPr>
        <w:tc>
          <w:tcPr>
            <w:tcW w:type="dxa" w:w="19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Scene support</w:t>
            </w:r>
          </w:p>
        </w:tc>
        <w:tc>
          <w:tcPr>
            <w:tcW w:type="dxa" w:w="79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Geometry formats, terrain/hole support, material model and coordinate transform version.</w:t>
            </w:r>
          </w:p>
        </w:tc>
      </w:tr>
      <w:tr>
        <w:trPr>
          <w:cantSplit/>
        </w:trPr>
        <w:tc>
          <w:tcPr>
            <w:tcW w:type="dxa" w:w="19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Output semantics</w:t>
            </w:r>
          </w:p>
        </w:tc>
        <w:tc>
          <w:tcPr>
            <w:tcW w:type="dxa" w:w="79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Path loss, channel response, RSS or a specific mapped reference-signal metric.</w:t>
            </w:r>
          </w:p>
        </w:tc>
      </w:tr>
      <w:tr>
        <w:trPr>
          <w:cantSplit/>
        </w:trPr>
        <w:tc>
          <w:tcPr>
            <w:tcW w:type="dxa" w:w="19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Numerical controls</w:t>
            </w:r>
          </w:p>
        </w:tc>
        <w:tc>
          <w:tcPr>
            <w:tcW w:type="dxa" w:w="79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Depth, interactions, sampling, seed, deterministic mode and convergence policy.</w:t>
            </w:r>
          </w:p>
        </w:tc>
      </w:tr>
      <w:tr>
        <w:trPr>
          <w:cantSplit/>
        </w:trPr>
        <w:tc>
          <w:tcPr>
            <w:tcW w:type="dxa" w:w="19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Resource controls</w:t>
            </w:r>
          </w:p>
        </w:tc>
        <w:tc>
          <w:tcPr>
            <w:tcW w:type="dxa" w:w="79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Maximum geometry, receivers, transmitters, time, memory and admitted concurrency.</w:t>
            </w:r>
          </w:p>
        </w:tc>
      </w:tr>
    </w:tbl>
    <w:p>
      <w:pPr>
        <w:pStyle w:val="Heading2"/>
      </w:pPr>
      <w:r>
        <w:t>Route and radio-map execution</w:t>
      </w:r>
    </w:p>
    <w:p>
      <w:r>
        <w:t>A route experiment freezes receiver positions, heights, selected time samples and all transmitters. Chunk execution deterministically, retain chunk identities and aggregate only validated chunks. Report excluded positions and failed chunks. A radio-map experiment stores grid origin, resolution, mask, receiver orientation and denominator. Result tiles are derived artifacts with the same manifest identity.</w:t>
      </w:r>
    </w:p>
    <w:p>
      <w:pPr>
        <w:pStyle w:val="Heading2"/>
      </w:pPr>
      <w:r>
        <w:t>NR measurement mapping</w:t>
      </w:r>
    </w:p>
    <w:p>
      <w:r>
        <w:t>A propagation path or generic received signal power does not define NR RSRP. An accepted SS-RSRP or CSI-RSRP output requires an explicit reference-signal mapping, antenna/beam model, transmit allocation, carrier and resource context. The chosen metric definition must also state interference, noise and aggregation assumptions. TS 38.215 distinguishes SS and CSI measurement types; use the selected edition as a vocabulary reference, not a claim of conformance.</w:t>
      </w:r>
    </w:p>
    <w:p>
      <w:pPr>
        <w:pStyle w:val="Heading2"/>
      </w:pPr>
      <w:r>
        <w:t>Validation and numerical convergence</w:t>
      </w:r>
    </w:p>
    <w:p>
      <w:r>
        <w:t>Benchmark free-space loss, a controlled reflection scene and antenna orientation against independently calculated or reference results. Increase sampling on representative scenes and record metric stability. Retain actual engine version and deterministic settings; a fixed seed alone does not establish bitwise repeatability. Changing the engine or scene compiler requires qualification against the stored fixtures.</w:t>
      </w:r>
    </w:p>
    <w:p>
      <w:pPr>
        <w:keepNext/>
      </w:pPr>
      <w:r>
        <w:t>Throughput, latency, scheduler and handover predictions need a separate declared link or RAN model. EM-only execution cannot establish those outcomes. NVIDIA Aerial documentation distinguishes EM simulation from RAN protocol simulation; any integration with that stack requires its own adapter and deployment verification.</w:t>
      </w:r>
    </w:p>
    <w:p>
      <w:pPr>
        <w:pStyle w:val="Caption"/>
      </w:pPr>
      <w:r>
        <w:t>Source evidence  S03 S09 E01 E02 E05</w:t>
      </w:r>
    </w:p>
    <w:p>
      <w:bookmarkStart w:id="16" w:name="section_16"/>
      <w:pPr>
        <w:pStyle w:val="Heading1"/>
        <w:pageBreakBefore/>
      </w:pPr>
      <w:r>
        <w:t>16 GIS geometry and shared spatial context</w:t>
      </w:r>
      <w:bookmarkEnd w:id="16"/>
    </w:p>
    <w:p>
      <w:r>
        <w:t>Retain MapLibre for geographic review and project overlays. Map state and engineering inputs have different ownership: changing camera pitch or a layer does not revise RF inputs, while capturing buildings or changing a transmitter position does. A frozen study context renders its own captured data and remains read-only.</w:t>
      </w:r>
    </w:p>
    <w:p>
      <w:pPr>
        <w:pStyle w:val="Heading2"/>
      </w:pPr>
      <w:r>
        <w:t>Coordinate and scene compilation</w:t>
      </w:r>
    </w:p>
    <w:p>
      <w:r>
        <w:t>Store geographic input in WGS84 longitude/latitude order for GeoJSON and explicitly named latitude/longitude fields elsewhere. The scene compiler chooses a documented local metric frame, records its origin and transform version, and retains reversible mappings between solver points and geographic coordinates. RFC 7946 defines the geographic coordinate convention; solver geometry still requires a separate metric transformation.</w:t>
      </w:r>
    </w:p>
    <w:p>
      <w:r>
        <w:t>Represent antenna and receiver height as ground-relative or absolute with a named vertical reference. Keep the existing flat-ground assumption and 1.5 m trace display height visible. Terrain support requires a terrain artifact, vertical-datum handling and ground-height sampling; adding terrain to visual context alone must not change propagation inputs.</w:t>
      </w:r>
    </w:p>
    <w:p>
      <w:pPr>
        <w:pStyle w:val="Heading2"/>
      </w:pPr>
      <w:r>
        <w:t>Explicit geometry acquisition</w:t>
      </w:r>
    </w:p>
    <w:p>
      <w:r>
        <w:t>Visible map buildings become engineering inputs only through a reviewed capture or import operation. Retain source attribution, acquisition time, tile or source identifiers, clipping indicators and inferred heights. Validate rings, self-intersections, duplicates, holes and area bounds before scene compilation. Missing materials remain assumed and prevent accepted calibration when that assumption exceeds the model scope.</w:t>
      </w:r>
    </w:p>
    <w:p>
      <w:pPr>
        <w:pStyle w:val="Heading2"/>
      </w:pPr>
      <w:r>
        <w:t>Shared selection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shd w:fill="16324F"/>
            <w:tcMar>
              <w:top w:w="50" w:type="dxa"/>
              <w:bottom w:w="50" w:type="dxa"/>
              <w:left w:w="90" w:type="dxa"/>
              <w:right w:w="90" w:type="dxa"/>
            </w:tcMar>
          </w:tcPr>
          <w:p>
            <w:pPr>
              <w:spacing w:after="40" w:line="250" w:lineRule="auto"/>
            </w:pPr>
            <w:r>
              <w:rPr>
                <w:rFonts w:ascii="Arial" w:hAnsi="Arial"/>
                <w:b/>
                <w:color w:val="FFFFFF"/>
                <w:sz w:val="21"/>
              </w:rPr>
              <w:t>Shared item</w:t>
            </w:r>
          </w:p>
        </w:tc>
        <w:tc>
          <w:tcPr>
            <w:tcW w:type="dxa" w:w="7920"/>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behavior</w:t>
            </w:r>
          </w:p>
        </w:tc>
      </w:tr>
      <w:tr>
        <w:trPr>
          <w:cantSplit/>
        </w:trPr>
        <w:tc>
          <w:tcPr>
            <w:tcW w:type="dxa" w:w="2016"/>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 and map scope</w:t>
            </w:r>
          </w:p>
        </w:tc>
        <w:tc>
          <w:tcPr>
            <w:tcW w:type="dxa" w:w="79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Key sessions by controller, project and scope; discard late callbacks after a switch.</w:t>
            </w:r>
          </w:p>
        </w:tc>
      </w:tr>
      <w:tr>
        <w:trPr>
          <w:cantSplit/>
        </w:trPr>
        <w:tc>
          <w:tcPr>
            <w:tcW w:type="dxa" w:w="2016"/>
            <w:vAlign w:val="center"/>
            <w:shd w:fill="F1F5F8"/>
            <w:tcMar>
              <w:top w:w="50" w:type="dxa"/>
              <w:bottom w:w="50" w:type="dxa"/>
              <w:left w:w="90" w:type="dxa"/>
              <w:right w:w="90" w:type="dxa"/>
            </w:tcMar>
          </w:tcPr>
          <w:p>
            <w:pPr>
              <w:spacing w:after="40" w:line="250" w:lineRule="auto"/>
            </w:pPr>
            <w:r>
              <w:rPr>
                <w:rFonts w:ascii="Arial" w:hAnsi="Arial"/>
                <w:b w:val="0"/>
                <w:color w:val="202B35"/>
                <w:sz w:val="21"/>
              </w:rPr>
              <w:t>Site and sector</w:t>
            </w:r>
          </w:p>
        </w:tc>
        <w:tc>
          <w:tcPr>
            <w:tcW w:type="dxa" w:w="79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Map, inventory and inspector select the same internal object.</w:t>
            </w:r>
          </w:p>
        </w:tc>
      </w:tr>
      <w:tr>
        <w:trPr>
          <w:cantSplit/>
        </w:trPr>
        <w:tc>
          <w:tcPr>
            <w:tcW w:type="dxa" w:w="2016"/>
            <w:vAlign w:val="center"/>
            <w:shd w:fill="FFFFFF"/>
            <w:tcMar>
              <w:top w:w="50" w:type="dxa"/>
              <w:bottom w:w="50" w:type="dxa"/>
              <w:left w:w="90" w:type="dxa"/>
              <w:right w:w="90" w:type="dxa"/>
            </w:tcMar>
          </w:tcPr>
          <w:p>
            <w:pPr>
              <w:spacing w:after="40" w:line="250" w:lineRule="auto"/>
            </w:pPr>
            <w:r>
              <w:rPr>
                <w:rFonts w:ascii="Arial" w:hAnsi="Arial"/>
                <w:b w:val="0"/>
                <w:color w:val="202B35"/>
                <w:sz w:val="21"/>
              </w:rPr>
              <w:t>Dataset and sample</w:t>
            </w:r>
          </w:p>
        </w:tc>
        <w:tc>
          <w:tcPr>
            <w:tcW w:type="dxa" w:w="79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Use immutable dataset identity and original sample ID; reset a cursor when content changes.</w:t>
            </w:r>
          </w:p>
        </w:tc>
      </w:tr>
      <w:tr>
        <w:trPr>
          <w:cantSplit/>
        </w:trPr>
        <w:tc>
          <w:tcPr>
            <w:tcW w:type="dxa" w:w="2016"/>
            <w:vAlign w:val="center"/>
            <w:shd w:fill="F1F5F8"/>
            <w:tcMar>
              <w:top w:w="50" w:type="dxa"/>
              <w:bottom w:w="50" w:type="dxa"/>
              <w:left w:w="90" w:type="dxa"/>
              <w:right w:w="90" w:type="dxa"/>
            </w:tcMar>
          </w:tcPr>
          <w:p>
            <w:pPr>
              <w:spacing w:after="40" w:line="250" w:lineRule="auto"/>
            </w:pPr>
            <w:r>
              <w:rPr>
                <w:rFonts w:ascii="Arial" w:hAnsi="Arial"/>
                <w:b w:val="0"/>
                <w:color w:val="202B35"/>
                <w:sz w:val="21"/>
              </w:rPr>
              <w:t>Filters and layers</w:t>
            </w:r>
          </w:p>
        </w:tc>
        <w:tc>
          <w:tcPr>
            <w:tcW w:type="dxa" w:w="79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Share RAT, KPI and sample filters while keeping working and frozen input contexts separate.</w:t>
            </w:r>
          </w:p>
        </w:tc>
      </w:tr>
      <w:tr>
        <w:trPr>
          <w:cantSplit/>
        </w:trPr>
        <w:tc>
          <w:tcPr>
            <w:tcW w:type="dxa" w:w="2016"/>
            <w:vAlign w:val="center"/>
            <w:shd w:fill="FFFFFF"/>
            <w:tcMar>
              <w:top w:w="50" w:type="dxa"/>
              <w:bottom w:w="50" w:type="dxa"/>
              <w:left w:w="90" w:type="dxa"/>
              <w:right w:w="90" w:type="dxa"/>
            </w:tcMar>
          </w:tcPr>
          <w:p>
            <w:pPr>
              <w:spacing w:after="40" w:line="250" w:lineRule="auto"/>
            </w:pPr>
            <w:r>
              <w:rPr>
                <w:rFonts w:ascii="Arial" w:hAnsi="Arial"/>
                <w:b w:val="0"/>
                <w:color w:val="202B35"/>
                <w:sz w:val="21"/>
              </w:rPr>
              <w:t>2D and 3D view</w:t>
            </w:r>
          </w:p>
        </w:tc>
        <w:tc>
          <w:tcPr>
            <w:tcW w:type="dxa" w:w="79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Retain project mode, camera and overlays across workflow transitions.</w:t>
            </w:r>
          </w:p>
        </w:tc>
      </w:tr>
    </w:tbl>
    <w:p>
      <w:pPr>
        <w:pStyle w:val="Heading2"/>
      </w:pPr>
      <w:r>
        <w:t>Scale and degraded operation</w:t>
      </w:r>
    </w:p>
    <w:p>
      <w:pPr>
        <w:keepNext/>
      </w:pPr>
      <w:r>
        <w:t>Use viewport filtering, spatial indexes and batched GPU-friendly layers before increasing pilot scale. Decimate only display geometry and retain full evidence for analysis. Public tile failures show a retryable context error while local sites, tracks and geometry remain inspectable. Unlocated sites stay in the list and placement flow rather than receiving invented coordinates.</w:t>
      </w:r>
    </w:p>
    <w:p>
      <w:pPr>
        <w:pStyle w:val="Caption"/>
      </w:pPr>
      <w:r>
        <w:t>Source evidence  S01 S03 S11 E03</w:t>
      </w:r>
    </w:p>
    <w:p>
      <w:bookmarkStart w:id="17" w:name="section_17"/>
      <w:pPr>
        <w:pStyle w:val="Heading1"/>
        <w:pageBreakBefore/>
      </w:pPr>
      <w:r>
        <w:t>17 Alignment and calibration design</w:t>
      </w:r>
      <w:bookmarkEnd w:id="17"/>
    </w:p>
    <w:p>
      <w:r>
        <w:t>Calibration requires physical observations, compatible metrics and a declared fitting scope. Synthetic data can test software mechanics but cannot produce accepted physical calibration. Retain alignment and split manifests to show which evidence influenced the model.</w:t>
      </w:r>
    </w:p>
    <w:p>
      <w:pPr>
        <w:pStyle w:val="Heading2"/>
      </w:pPr>
      <w:r>
        <w:t>Alignment pipeline</w:t>
      </w:r>
    </w:p>
    <w:p>
      <w:pPr>
        <w:pStyle w:val="ListBullet"/>
      </w:pPr>
      <w:r>
        <w:t>Select immutable observation, network, geometry, antenna and metric-definition versions. Check acquisition window, RAT, carrier and signal semantics.</w:t>
      </w:r>
    </w:p>
    <w:p>
      <w:pPr>
        <w:pStyle w:val="ListBullet"/>
      </w:pPr>
      <w:r>
        <w:t>Resolve serving and neighbor identities against the captured inventory and validity interval. Retain unresolved or conflicting cases as exclusions.</w:t>
      </w:r>
    </w:p>
    <w:p>
      <w:pPr>
        <w:pStyle w:val="ListBullet"/>
      </w:pPr>
      <w:r>
        <w:t>Match receiver positions and timestamps using declared tolerances derived from source uncertainty. Record distance, clock offset and matching method.</w:t>
      </w:r>
    </w:p>
    <w:p>
      <w:pPr>
        <w:pStyle w:val="ListBullet"/>
      </w:pPr>
      <w:r>
        <w:t>Generate modeled values for the accepted positions with the qualified engine. Retain failed or outside-scene positions separately.</w:t>
      </w:r>
    </w:p>
    <w:p>
      <w:pPr>
        <w:pStyle w:val="ListBullet"/>
      </w:pPr>
      <w:r>
        <w:t>Create training, validation and untouched test groups before fitting. Freeze the grouping manifest and its digest.</w:t>
      </w:r>
    </w:p>
    <w:p>
      <w:pPr>
        <w:pStyle w:val="Heading2"/>
      </w:pPr>
      <w:r>
        <w:t>Fitting and holdout</w:t>
      </w:r>
    </w:p>
    <w:p>
      <w:r>
        <w:t>Allow only declared identifiable parameters, such as a bounded material class adjustment or a documented power offset. Reject parameter combinations whose effects cannot be distinguished with the available evidence. Preserve the initial model, bounds, objective, optimizer version, seed, convergence trace and fitted parameter artifact.</w:t>
      </w:r>
    </w:p>
    <w:p>
      <w:r>
        <w:t>Group observations by route/session and, where appropriate, spatial area or day. Adjacent samples from the same drive cannot be randomly split across training and test sets if their dependence would leak information. Select tuning parameters on training/validation data; use the untouched test set once for acceptance. Repeated test-set use creates a new evaluation version and is disclosed in the review.</w:t>
      </w:r>
    </w:p>
    <w:p>
      <w:pPr>
        <w:pStyle w:val="Heading2"/>
      </w:pPr>
      <w:r>
        <w:t>Diagnostics and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208"/>
      </w:tblGrid>
      <w:tr>
        <w:trPr>
          <w:cantSplit/>
          <w:tblHeader/>
        </w:trPr>
        <w:tc>
          <w:tcPr>
            <w:tcW w:type="dxa" w:w="1728"/>
            <w:vAlign w:val="center"/>
            <w:shd w:fill="16324F"/>
            <w:tcMar>
              <w:top w:w="50" w:type="dxa"/>
              <w:bottom w:w="50" w:type="dxa"/>
              <w:left w:w="90" w:type="dxa"/>
              <w:right w:w="90" w:type="dxa"/>
            </w:tcMar>
          </w:tcPr>
          <w:p>
            <w:pPr>
              <w:spacing w:after="40" w:line="250" w:lineRule="auto"/>
            </w:pPr>
            <w:r>
              <w:rPr>
                <w:rFonts w:ascii="Arial" w:hAnsi="Arial"/>
                <w:b/>
                <w:color w:val="FFFFFF"/>
                <w:sz w:val="21"/>
              </w:rPr>
              <w:t>Diagnostic</w:t>
            </w:r>
          </w:p>
        </w:tc>
        <w:tc>
          <w:tcPr>
            <w:tcW w:type="dxa" w:w="8208"/>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presentation</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Population</w:t>
            </w:r>
          </w:p>
        </w:tc>
        <w:tc>
          <w:tcPr>
            <w:tcW w:type="dxa" w:w="82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Matched, excluded and available counts by KPI, RAT, carrier, route and area.</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Residuals</w:t>
            </w:r>
          </w:p>
        </w:tc>
        <w:tc>
          <w:tcPr>
            <w:tcW w:type="dxa" w:w="82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Observed minus modeled values with explicit units and sign convention.</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Error</w:t>
            </w:r>
          </w:p>
        </w:tc>
        <w:tc>
          <w:tcPr>
            <w:tcW w:type="dxa" w:w="82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MAE, RMSE, bias, quantiles and spatial residual distribution where appropriate.</w:t>
            </w:r>
          </w:p>
        </w:tc>
      </w:tr>
      <w:tr>
        <w:trPr>
          <w:cantSplit/>
        </w:trPr>
        <w:tc>
          <w:tcPr>
            <w:tcW w:type="dxa" w:w="1728"/>
            <w:vAlign w:val="center"/>
            <w:shd w:fill="F1F5F8"/>
            <w:tcMar>
              <w:top w:w="50" w:type="dxa"/>
              <w:bottom w:w="50" w:type="dxa"/>
              <w:left w:w="90" w:type="dxa"/>
              <w:right w:w="90" w:type="dxa"/>
            </w:tcMar>
          </w:tcPr>
          <w:p>
            <w:pPr>
              <w:spacing w:after="40" w:line="250" w:lineRule="auto"/>
            </w:pPr>
            <w:r>
              <w:rPr>
                <w:rFonts w:ascii="Arial" w:hAnsi="Arial"/>
                <w:b w:val="0"/>
                <w:color w:val="202B35"/>
                <w:sz w:val="21"/>
              </w:rPr>
              <w:t>Uncertainty</w:t>
            </w:r>
          </w:p>
        </w:tc>
        <w:tc>
          <w:tcPr>
            <w:tcW w:type="dxa" w:w="82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Parameter and prediction uncertainty, estimation method and unsupported extrapolation.</w:t>
            </w:r>
          </w:p>
        </w:tc>
      </w:tr>
      <w:tr>
        <w:trPr>
          <w:cantSplit/>
        </w:trPr>
        <w:tc>
          <w:tcPr>
            <w:tcW w:type="dxa" w:w="172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Acceptance</w:t>
            </w:r>
          </w:p>
        </w:tc>
        <w:tc>
          <w:tcPr>
            <w:tcW w:type="dxa" w:w="82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Named policy thresholds, held-out result and accepted area/time/frequency/model scope.</w:t>
            </w:r>
          </w:p>
        </w:tc>
      </w:tr>
    </w:tbl>
    <w:p>
      <w:pPr>
        <w:spacing w:before="80"/>
      </w:pPr>
      <w:r>
        <w:t>The RF owner sets KPI-specific acceptance thresholds before fitting. The system records accepted, rejected or inconclusive with reasons. A model is not accepted merely because aggregate error decreases; remaining spatial bias, weak holdout coverage or incompatible signal semantics can make the result inconclusive.</w:t>
      </w:r>
    </w:p>
    <w:p>
      <w:pPr>
        <w:pStyle w:val="Heading2"/>
      </w:pPr>
      <w:r>
        <w:t>Revalidation</w:t>
      </w:r>
    </w:p>
    <w:p>
      <w:pPr>
        <w:keepNext/>
      </w:pPr>
      <w:r>
        <w:t>Antenna, geometry, carrier, interpretation or engine changes require a new model version and scope evaluation. Preserve the previous acceptance record for its original study.</w:t>
      </w:r>
    </w:p>
    <w:p>
      <w:pPr>
        <w:pStyle w:val="Caption"/>
      </w:pPr>
      <w:r>
        <w:t>Source evidence  S02 S03 E05</w:t>
      </w:r>
    </w:p>
    <w:p>
      <w:bookmarkStart w:id="18" w:name="section_18"/>
      <w:pPr>
        <w:pStyle w:val="Heading1"/>
        <w:pageBreakBefore/>
      </w:pPr>
      <w:r>
        <w:t>18 Comparison review and report design</w:t>
      </w:r>
      <w:bookmarkEnd w:id="18"/>
    </w:p>
    <w:p>
      <w:r>
        <w:t>A comparison evaluates retained results under a named study policy. It can conclude improvement, regression, no material difference or inconclusive. It must not rank runs whose metric definitions, receiver populations or execution assumptions cannot support the intended comparison.</w:t>
      </w:r>
    </w:p>
    <w:p>
      <w:pPr>
        <w:pStyle w:val="Heading2"/>
      </w:pPr>
      <w:r>
        <w:t>Comparability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16324F"/>
            <w:tcMar>
              <w:top w:w="50" w:type="dxa"/>
              <w:bottom w:w="50" w:type="dxa"/>
              <w:left w:w="90" w:type="dxa"/>
              <w:right w:w="90" w:type="dxa"/>
            </w:tcMar>
          </w:tcPr>
          <w:p>
            <w:pPr>
              <w:spacing w:after="40" w:line="250" w:lineRule="auto"/>
            </w:pPr>
            <w:r>
              <w:rPr>
                <w:rFonts w:ascii="Arial" w:hAnsi="Arial"/>
                <w:b/>
                <w:color w:val="FFFFFF"/>
                <w:sz w:val="21"/>
              </w:rPr>
              <w:t>Condition</w:t>
            </w:r>
          </w:p>
        </w:tc>
        <w:tc>
          <w:tcPr>
            <w:tcW w:type="dxa" w:w="8064"/>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match or declared difference</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Inputs</w:t>
            </w:r>
          </w:p>
        </w:tc>
        <w:tc>
          <w:tcPr>
            <w:tcW w:type="dxa" w:w="80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Same baseline evidence and geometry except the explicit candidate changes.</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Metric</w:t>
            </w:r>
          </w:p>
        </w:tc>
        <w:tc>
          <w:tcPr>
            <w:tcW w:type="dxa" w:w="80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Same named definition, units, signal type and aggregation interval.</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Population</w:t>
            </w:r>
          </w:p>
        </w:tc>
        <w:tc>
          <w:tcPr>
            <w:tcW w:type="dxa" w:w="80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Same receiver IDs or a retained matching/intersection rule with exclusions.</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Execution</w:t>
            </w:r>
          </w:p>
        </w:tc>
        <w:tc>
          <w:tcPr>
            <w:tcW w:type="dxa" w:w="80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Compatible engine/version, numerical settings, resource policy and paired seeds.</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Denominator</w:t>
            </w:r>
          </w:p>
        </w:tc>
        <w:tc>
          <w:tcPr>
            <w:tcW w:type="dxa" w:w="80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Study grid area, sampled street length or observation count declared explicitly.</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Uncertainty</w:t>
            </w:r>
          </w:p>
        </w:tc>
        <w:tc>
          <w:tcPr>
            <w:tcW w:type="dxa" w:w="80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Estimation method and dependence groups appropriate to the evidence.</w:t>
            </w:r>
          </w:p>
        </w:tc>
      </w:tr>
    </w:tbl>
    <w:p>
      <w:pPr>
        <w:pStyle w:val="Heading2"/>
      </w:pPr>
      <w:r>
        <w:t>Result calculations</w:t>
      </w:r>
    </w:p>
    <w:p>
      <w:r>
        <w:t>Join results by stable receiver or sample identity and compute candidate minus baseline under a stated sign convention. Display absolute values and differences on synchronized maps with identical scales. Publish matched counts, missing outcomes, clipping and unsupported areas. If receiver populations differ, provide an explicit comparable subset and separate coverage of the unmatched population.</w:t>
      </w:r>
    </w:p>
    <w:p>
      <w:r>
        <w:t>For repeated experiments, compare paired seeds and retain per-pair outcomes. For observed or spatially correlated data, use a grouped uncertainty method rather than treating every adjacent point as independent. The policy defines practical improvement thresholds and guardrails before execution; statistical significance alone cannot override a coverage or service regression.</w:t>
      </w:r>
    </w:p>
    <w:p>
      <w:pPr>
        <w:pStyle w:val="Heading2"/>
      </w:pPr>
      <w:r>
        <w:t>Review workflow</w:t>
      </w:r>
    </w:p>
    <w:p>
      <w:r>
        <w:t>A comparison starts as a generated result. An engineer adds interpretation, unresolved issues and recommended follow-up measurements. A reviewer records an immutable decision with rationale and scope. Amendments reference earlier decisions. Review approval authorizes a recommendation or report; it does not authorize a production network change.</w:t>
      </w:r>
    </w:p>
    <w:p>
      <w:pPr>
        <w:pStyle w:val="Heading2"/>
      </w:pPr>
      <w:r>
        <w:t>Report bundle</w:t>
      </w:r>
    </w:p>
    <w:p>
      <w:r>
        <w:t>The report service freezes study definition, acceptance policy, baseline/candidate identities, exact changes, evidence sources, calibration status, run and engine versions, exclusions, uncertainty, outcome and reviewer records. Include a machine-readable manifest and a readable report. Every figure has units, denominator, data source and version. Exported artifacts retain source attribution and provenance.</w:t>
      </w:r>
    </w:p>
    <w:p>
      <w:pPr>
        <w:pStyle w:val="Heading2"/>
      </w:pPr>
      <w:r>
        <w:t>Stale results</w:t>
      </w:r>
    </w:p>
    <w:p>
      <w:pPr>
        <w:keepNext/>
      </w:pPr>
      <w:r>
        <w:t>Working inputs that change after execution cannot inherit the previous result. Show the captured version and allow historical review. A report referencing a retired model remains reproducible but displays its original scope and later superseding review, when present.</w:t>
      </w:r>
    </w:p>
    <w:p>
      <w:pPr>
        <w:pStyle w:val="Caption"/>
      </w:pPr>
      <w:r>
        <w:t>Source evidence  S02 S03</w:t>
      </w:r>
    </w:p>
    <w:p>
      <w:bookmarkStart w:id="19" w:name="section_19"/>
      <w:pPr>
        <w:pStyle w:val="Heading1"/>
        <w:pageBreakBefore/>
      </w:pPr>
      <w:r>
        <w:t>19 Experiments software comparisons and AI RAN</w:t>
      </w:r>
      <w:bookmarkEnd w:id="19"/>
    </w:p>
    <w:p>
      <w:r>
        <w:t>Use one experiment manifest across supported path, route, radio-map, software-comparison and research workflows. Each experiment type declares its required engine outputs and acceptance policy. Existing A/B and AI-RAN pages remain specifications until a real execution adapter records accepted jobs and output artifacts.</w:t>
      </w:r>
    </w:p>
    <w:p>
      <w:pPr>
        <w:pStyle w:val="Heading2"/>
      </w:pPr>
      <w:r>
        <w:t>Common experiment manifest</w:t>
      </w:r>
    </w:p>
    <w:p>
      <w:r>
        <w:t>Store objective, input version references, engine and resource profile, traffic and mobility assumptions, sampling plan, seeds, arms, requested outputs, guardrails and budget. Freeze the manifest before admitting a run. The service records every attempted execution and the reason an arm was not run; an incomplete pair cannot become a completed paired comparison.</w:t>
      </w:r>
    </w:p>
    <w:p>
      <w:pPr>
        <w:pStyle w:val="Heading2"/>
      </w:pPr>
      <w:r>
        <w:t>Software A B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16324F"/>
            <w:tcMar>
              <w:top w:w="50" w:type="dxa"/>
              <w:bottom w:w="50" w:type="dxa"/>
              <w:left w:w="90" w:type="dxa"/>
              <w:right w:w="90" w:type="dxa"/>
            </w:tcMar>
          </w:tcPr>
          <w:p>
            <w:pPr>
              <w:spacing w:after="40" w:line="250" w:lineRule="auto"/>
            </w:pPr>
            <w:r>
              <w:rPr>
                <w:rFonts w:ascii="Arial" w:hAnsi="Arial"/>
                <w:b/>
                <w:color w:val="FFFFFF"/>
                <w:sz w:val="21"/>
              </w:rPr>
              <w:t>Controlled element</w:t>
            </w:r>
          </w:p>
        </w:tc>
        <w:tc>
          <w:tcPr>
            <w:tcW w:type="dxa" w:w="8064"/>
            <w:vAlign w:val="center"/>
            <w:shd w:fill="16324F"/>
            <w:tcMar>
              <w:top w:w="50" w:type="dxa"/>
              <w:bottom w:w="50" w:type="dxa"/>
              <w:left w:w="90" w:type="dxa"/>
              <w:right w:w="90" w:type="dxa"/>
            </w:tcMar>
          </w:tcPr>
          <w:p>
            <w:pPr>
              <w:spacing w:after="40" w:line="250" w:lineRule="auto"/>
            </w:pPr>
            <w:r>
              <w:rPr>
                <w:rFonts w:ascii="Arial" w:hAnsi="Arial"/>
                <w:b/>
                <w:color w:val="FFFFFF"/>
                <w:sz w:val="21"/>
              </w:rPr>
              <w:t>Contract</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Package</w:t>
            </w:r>
          </w:p>
        </w:tc>
        <w:tc>
          <w:tcPr>
            <w:tcW w:type="dxa" w:w="80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Content digest, build metadata, dependencies and installation method per arm.</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Network and traffic</w:t>
            </w:r>
          </w:p>
        </w:tc>
        <w:tc>
          <w:tcPr>
            <w:tcW w:type="dxa" w:w="80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Identical retained topology, channel context, UE/mobility inputs and observation window.</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Randomness</w:t>
            </w:r>
          </w:p>
        </w:tc>
        <w:tc>
          <w:tcPr>
            <w:tcW w:type="dxa" w:w="80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Matched seed list and pair identifiers; failed pairs remain visible.</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Resources</w:t>
            </w:r>
          </w:p>
        </w:tc>
        <w:tc>
          <w:tcPr>
            <w:tcW w:type="dxa" w:w="8064"/>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Comparable runtime profile; record actual load and hardware differences.</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Guardrails</w:t>
            </w:r>
          </w:p>
        </w:tc>
        <w:tc>
          <w:tcPr>
            <w:tcW w:type="dxa" w:w="806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Predeclared service, resource and stability criteria plus stop behavior.</w:t>
            </w:r>
          </w:p>
        </w:tc>
      </w:tr>
    </w:tbl>
    <w:p>
      <w:pPr>
        <w:spacing w:before="80"/>
      </w:pPr>
      <w:r>
        <w:t>Execute package comparison in an isolated nonproduction environment. A package manifest must not inject arbitrary host commands through the browser. The adapter owns a validated installation procedure and reports requested, available, installed and verified states separately. No winner is declared without completed comparable pairs and sufficient evidence.</w:t>
      </w:r>
    </w:p>
    <w:p>
      <w:pPr>
        <w:pStyle w:val="Heading2"/>
      </w:pPr>
      <w:r>
        <w:t>Dataset generation</w:t>
      </w:r>
    </w:p>
    <w:p>
      <w:r>
        <w:t>A generation plan freezes feature/label definitions, source/model versions, scene variation, temporal/spatial grouping, random seeds and planned output format. Actual generation jobs publish row counts, schema, partition digests, failures and quality checks. Planned rows remain distinct from committed rows. Simulation-derived labels retain their origin and model limitations.</w:t>
      </w:r>
    </w:p>
    <w:p>
      <w:pPr>
        <w:pStyle w:val="Heading2"/>
      </w:pPr>
      <w:r>
        <w:t>Research evaluation</w:t>
      </w:r>
    </w:p>
    <w:p>
      <w:r>
        <w:t>Separate train/validation/test partitions by scene, route, site or time groups as appropriate to the intended generalization. Retain group membership and prevent feature computation from reading test outcomes. A model artifact references the exact dataset and training environment. Evaluate against an independent benchmark and report uncertainty, runtime cost and scope.</w:t>
      </w:r>
    </w:p>
    <w:p>
      <w:pPr>
        <w:keepNext/>
      </w:pPr>
      <w:r>
        <w:t>Channel prediction from EM outputs and handover or scheduler research require different labels and engines. Do not label a synthetic channel-only dataset as an end-to-end RAN benchmark. Energy-saving experiments require a declared energy model or observed consumption along with service guardrails.</w:t>
      </w:r>
    </w:p>
    <w:p>
      <w:pPr>
        <w:pStyle w:val="Caption"/>
      </w:pPr>
      <w:r>
        <w:t>Source evidence  S01 S02 E02</w:t>
      </w:r>
    </w:p>
    <w:p>
      <w:bookmarkStart w:id="20" w:name="section_20"/>
      <w:pPr>
        <w:pStyle w:val="Heading1"/>
        <w:pageBreakBefore/>
      </w:pPr>
      <w:r>
        <w:t>20 Security authorization and sensitive evidence</w:t>
      </w:r>
      <w:bookmarkEnd w:id="20"/>
    </w:p>
    <w:p>
      <w:r>
        <w:t>The current loopback-only API is a local workspace boundary. Remote access requires an authenticated service profile before the server can be exposed to multiple users. Keep project authorization and execution permissions independent from UI route visibility.</w:t>
      </w:r>
    </w:p>
    <w:p>
      <w:pPr>
        <w:pStyle w:val="Heading2"/>
      </w:pPr>
      <w:r>
        <w:t>Proposed access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608"/>
        <w:gridCol w:w="3456"/>
      </w:tblGrid>
      <w:tr>
        <w:trPr>
          <w:cantSplit/>
          <w:tblHeader/>
        </w:trPr>
        <w:tc>
          <w:tcPr>
            <w:tcW w:type="dxa" w:w="1872"/>
            <w:vAlign w:val="center"/>
            <w:shd w:fill="16324F"/>
            <w:tcMar>
              <w:top w:w="50" w:type="dxa"/>
              <w:bottom w:w="50" w:type="dxa"/>
              <w:left w:w="90" w:type="dxa"/>
              <w:right w:w="90" w:type="dxa"/>
            </w:tcMar>
          </w:tcPr>
          <w:p>
            <w:pPr>
              <w:spacing w:after="40" w:line="250" w:lineRule="auto"/>
            </w:pPr>
            <w:r>
              <w:rPr>
                <w:rFonts w:ascii="Arial" w:hAnsi="Arial"/>
                <w:b/>
                <w:color w:val="FFFFFF"/>
                <w:sz w:val="21"/>
              </w:rPr>
              <w:t>Role</w:t>
            </w:r>
          </w:p>
        </w:tc>
        <w:tc>
          <w:tcPr>
            <w:tcW w:type="dxa" w:w="4608"/>
            <w:vAlign w:val="center"/>
            <w:shd w:fill="16324F"/>
            <w:tcMar>
              <w:top w:w="50" w:type="dxa"/>
              <w:bottom w:w="50" w:type="dxa"/>
              <w:left w:w="90" w:type="dxa"/>
              <w:right w:w="90" w:type="dxa"/>
            </w:tcMar>
          </w:tcPr>
          <w:p>
            <w:pPr>
              <w:spacing w:after="40" w:line="250" w:lineRule="auto"/>
            </w:pPr>
            <w:r>
              <w:rPr>
                <w:rFonts w:ascii="Arial" w:hAnsi="Arial"/>
                <w:b/>
                <w:color w:val="FFFFFF"/>
                <w:sz w:val="21"/>
              </w:rPr>
              <w:t>Permitted operations</w:t>
            </w:r>
          </w:p>
        </w:tc>
        <w:tc>
          <w:tcPr>
            <w:tcW w:type="dxa" w:w="3456"/>
            <w:vAlign w:val="center"/>
            <w:shd w:fill="16324F"/>
            <w:tcMar>
              <w:top w:w="50" w:type="dxa"/>
              <w:bottom w:w="50" w:type="dxa"/>
              <w:left w:w="90" w:type="dxa"/>
              <w:right w:w="90" w:type="dxa"/>
            </w:tcMar>
          </w:tcPr>
          <w:p>
            <w:pPr>
              <w:spacing w:after="40" w:line="250" w:lineRule="auto"/>
            </w:pPr>
            <w:r>
              <w:rPr>
                <w:rFonts w:ascii="Arial" w:hAnsi="Arial"/>
                <w:b/>
                <w:color w:val="FFFFFF"/>
                <w:sz w:val="21"/>
              </w:rPr>
              <w:t>Restricted operations</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Reader</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Inspect authorized projects, evidence and reports.</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No engineering writes or job submission.</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Engineer</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Edit working inputs, import evidence and submit supported experiments.</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No independent physical acceptance or network control.</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RF reviewer</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Review calibration and engineering comparisons.</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No administrative credential management by default.</w:t>
            </w:r>
          </w:p>
        </w:tc>
      </w:tr>
      <w:tr>
        <w:trPr>
          <w:cantSplit/>
        </w:trPr>
        <w:tc>
          <w:tcPr>
            <w:tcW w:type="dxa" w:w="18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Operations approver</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Approve a bounded change plan for an authorized deployment.</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Cannot substitute a different change after approval.</w:t>
            </w:r>
          </w:p>
        </w:tc>
      </w:tr>
      <w:tr>
        <w:trPr>
          <w:cantSplit/>
        </w:trPr>
        <w:tc>
          <w:tcPr>
            <w:tcW w:type="dxa" w:w="18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Administrator</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Manage source access, runtime profiles and project membership.</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Does not automatically grant engineering acceptance.</w:t>
            </w:r>
          </w:p>
        </w:tc>
      </w:tr>
    </w:tbl>
    <w:p>
      <w:pPr>
        <w:pStyle w:val="Heading2"/>
      </w:pPr>
      <w:r>
        <w:t>Remote service protection</w:t>
      </w:r>
    </w:p>
    <w:p>
      <w:r>
        <w:t>Use TLS and an established identity provider. Bind sessions and tokens to a user and organization, enforce project authorization on every artifact and run lookup, and protect browser mutations against cross-site requests. Use least-privilege worker credentials that can read accepted manifests and write only designated output locations.</w:t>
      </w:r>
    </w:p>
    <w:p>
      <w:pPr>
        <w:pStyle w:val="Heading2"/>
      </w:pPr>
      <w:r>
        <w:t>Untrusted input and execution</w:t>
      </w:r>
    </w:p>
    <w:p>
      <w:r>
        <w:t>Treat CSV, JSON, GeoJSON, manifests, package metadata and external connector responses as untrusted. Enforce byte, row, vertex and nesting limits before expensive processing. Escape displayed labels and prevent filesystem traversal. Accept artifact IDs rather than browser-provided file paths. Never derive shell commands from user payloads; worker arguments and approved package operations are adapter-owned.</w:t>
      </w:r>
    </w:p>
    <w:p>
      <w:r>
        <w:t>Apply resource admission and process timeouts to simulations, uploads and report rendering. A worker cannot write outside its scratch and artifact staging areas. Validate returned artifact type, dimensions and size before publication. Reject outputs with undeclared verification or calibration claims.</w:t>
      </w:r>
    </w:p>
    <w:p>
      <w:pPr>
        <w:pStyle w:val="Heading2"/>
      </w:pPr>
      <w:r>
        <w:t>Credentials and field data</w:t>
      </w:r>
    </w:p>
    <w:p>
      <w:r>
        <w:t>Keep connector secrets in an OS or service secret store and reference them by opaque alias. Exclude tokens from manifests, logs and client exports. Driver routes and network inventory may be sensitive; project owners define access and retention. Store a redacted derivative as a separate artifact when sharing is required, preserving the controlled source and transformation history.</w:t>
      </w:r>
    </w:p>
    <w:p>
      <w:pPr>
        <w:pStyle w:val="Heading2"/>
      </w:pPr>
      <w:r>
        <w:t>Auditability</w:t>
      </w:r>
    </w:p>
    <w:p>
      <w:pPr>
        <w:keepNext/>
      </w:pPr>
      <w:r>
        <w:t>Record actor, action, project, resource versions, request ID, outcome and timestamp for security-relevant operations. Protect audit retention from ordinary project edits. Access to an artifact requires both a valid reference and project permission; a digest alone is not authorization.</w:t>
      </w:r>
    </w:p>
    <w:p>
      <w:pPr>
        <w:pStyle w:val="Caption"/>
      </w:pPr>
      <w:r>
        <w:t>Source evidence  S05 S06</w:t>
      </w:r>
    </w:p>
    <w:p>
      <w:bookmarkStart w:id="21" w:name="section_21"/>
      <w:pPr>
        <w:pStyle w:val="Heading1"/>
        <w:pageBreakBefore/>
      </w:pPr>
      <w:r>
        <w:t>21 Connected observations and controlled actions</w:t>
      </w:r>
      <w:bookmarkEnd w:id="21"/>
    </w:p>
    <w:p>
      <w:r>
        <w:t>Implement connected observation as a separate adapter capability after the offline evidence and identity model is stable. The first pilot is read-only shadow operation. Inventory and observations create new source versions; they do not overwrite a study baseline or active experiment.</w:t>
      </w:r>
    </w:p>
    <w:p>
      <w:pPr>
        <w:pStyle w:val="Heading2"/>
      </w:pPr>
      <w:r>
        <w:t>Source adapter interface</w:t>
      </w:r>
    </w:p>
    <w:p>
      <w:pPr>
        <w:spacing w:before="60" w:after="100" w:line="240" w:lineRule="auto"/>
      </w:pPr>
      <w:r>
        <w:rPr>
          <w:rFonts w:ascii="Courier New" w:hAnsi="Courier New"/>
          <w:sz w:val="19"/>
        </w:rPr>
        <w:t>describe() -&gt; schema, version, supported entities and units</w:t>
        <w:br/>
        <w:t>collect(cursor, window, credentialAlias) -&gt; source batch</w:t>
        <w:br/>
        <w:t>normalize(batch) -&gt; canonical records and quality report</w:t>
        <w:br/>
        <w:t>health() -&gt; last success, lag, gaps and bounded failures</w:t>
      </w:r>
    </w:p>
    <w:p>
      <w:r>
        <w:t>The adapter records source system, device or endpoint identity, acquisition/publication/ingestion times, sequence or cursor, units and declared freshness. Retain raw response artifacts where permitted. Dedupe by a source-defined identity and preserve correction versions. A missing interval becomes a gap; a later batch does not silently fill the gap with an assumed value.</w:t>
      </w:r>
    </w:p>
    <w:p>
      <w:pPr>
        <w:pStyle w:val="Heading2"/>
      </w:pPr>
      <w:r>
        <w:t>Deployment qualification</w:t>
      </w:r>
    </w:p>
    <w:p>
      <w:r>
        <w:t>Choose inventory, vendor PM, O1-oriented management or E2-related integrations only against the actual deployment. Require supplied interface schemas, authentication behavior, source identity mapping, rate limits and adapter conformance fixtures. The application does not currently establish these interfaces. Collection health remains separate from measured service quality.</w:t>
      </w:r>
    </w:p>
    <w:p>
      <w:pPr>
        <w:pStyle w:val="Heading2"/>
      </w:pPr>
      <w:r>
        <w:t>Controlled change contract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280"/>
      </w:tblGrid>
      <w:tr>
        <w:trPr>
          <w:cantSplit/>
          <w:tblHeader/>
        </w:trPr>
        <w:tc>
          <w:tcPr>
            <w:tcW w:type="dxa" w:w="1656"/>
            <w:vAlign w:val="center"/>
            <w:shd w:fill="16324F"/>
            <w:tcMar>
              <w:top w:w="50" w:type="dxa"/>
              <w:bottom w:w="50" w:type="dxa"/>
              <w:left w:w="90" w:type="dxa"/>
              <w:right w:w="90" w:type="dxa"/>
            </w:tcMar>
          </w:tcPr>
          <w:p>
            <w:pPr>
              <w:spacing w:after="40" w:line="250" w:lineRule="auto"/>
            </w:pPr>
            <w:r>
              <w:rPr>
                <w:rFonts w:ascii="Arial" w:hAnsi="Arial"/>
                <w:b/>
                <w:color w:val="FFFFFF"/>
                <w:sz w:val="21"/>
              </w:rPr>
              <w:t>Step</w:t>
            </w:r>
          </w:p>
        </w:tc>
        <w:tc>
          <w:tcPr>
            <w:tcW w:type="dxa" w:w="8280"/>
            <w:vAlign w:val="center"/>
            <w:shd w:fill="16324F"/>
            <w:tcMar>
              <w:top w:w="50" w:type="dxa"/>
              <w:bottom w:w="50" w:type="dxa"/>
              <w:left w:w="90" w:type="dxa"/>
              <w:right w:w="90" w:type="dxa"/>
            </w:tcMar>
          </w:tcPr>
          <w:p>
            <w:pPr>
              <w:spacing w:after="40" w:line="250" w:lineRule="auto"/>
            </w:pPr>
            <w:r>
              <w:rPr>
                <w:rFonts w:ascii="Arial" w:hAnsi="Arial"/>
                <w:b/>
                <w:color w:val="FFFFFF"/>
                <w:sz w:val="21"/>
              </w:rPr>
              <w:t>Mandatory evidence</w:t>
            </w:r>
          </w:p>
        </w:tc>
      </w:tr>
      <w:tr>
        <w:trPr>
          <w:cantSplit/>
        </w:trPr>
        <w:tc>
          <w:tcPr>
            <w:tcW w:type="dxa" w:w="16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Prepare</w:t>
            </w:r>
          </w:p>
        </w:tc>
        <w:tc>
          <w:tcPr>
            <w:tcW w:type="dxa" w:w="8280"/>
            <w:vAlign w:val="center"/>
            <w:shd w:fill="FFFFFF"/>
            <w:tcMar>
              <w:top w:w="50" w:type="dxa"/>
              <w:bottom w:w="50" w:type="dxa"/>
              <w:left w:w="90" w:type="dxa"/>
              <w:right w:w="90" w:type="dxa"/>
            </w:tcMar>
          </w:tcPr>
          <w:p>
            <w:pPr>
              <w:spacing w:after="40" w:line="250" w:lineRule="auto"/>
            </w:pPr>
            <w:r>
              <w:rPr>
                <w:rFonts w:ascii="Arial" w:hAnsi="Arial"/>
                <w:b w:val="0"/>
                <w:color w:val="202B35"/>
                <w:sz w:val="21"/>
              </w:rPr>
              <w:t>Exact old/new values, target identities, supported adapter and impact scope.</w:t>
            </w:r>
          </w:p>
        </w:tc>
      </w:tr>
      <w:tr>
        <w:trPr>
          <w:cantSplit/>
        </w:trPr>
        <w:tc>
          <w:tcPr>
            <w:tcW w:type="dxa" w:w="16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Review</w:t>
            </w:r>
          </w:p>
        </w:tc>
        <w:tc>
          <w:tcPr>
            <w:tcW w:type="dxa" w:w="8280"/>
            <w:vAlign w:val="center"/>
            <w:shd w:fill="F1F5F8"/>
            <w:tcMar>
              <w:top w:w="50" w:type="dxa"/>
              <w:bottom w:w="50" w:type="dxa"/>
              <w:left w:w="90" w:type="dxa"/>
              <w:right w:w="90" w:type="dxa"/>
            </w:tcMar>
          </w:tcPr>
          <w:p>
            <w:pPr>
              <w:spacing w:after="40" w:line="250" w:lineRule="auto"/>
            </w:pPr>
            <w:r>
              <w:rPr>
                <w:rFonts w:ascii="Arial" w:hAnsi="Arial"/>
                <w:b w:val="0"/>
                <w:color w:val="202B35"/>
                <w:sz w:val="21"/>
              </w:rPr>
              <w:t>Policy checks, simulated/observed evidence and reviewer rationale.</w:t>
            </w:r>
          </w:p>
        </w:tc>
      </w:tr>
      <w:tr>
        <w:trPr>
          <w:cantSplit/>
        </w:trPr>
        <w:tc>
          <w:tcPr>
            <w:tcW w:type="dxa" w:w="16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Approve</w:t>
            </w:r>
          </w:p>
        </w:tc>
        <w:tc>
          <w:tcPr>
            <w:tcW w:type="dxa" w:w="8280"/>
            <w:vAlign w:val="center"/>
            <w:shd w:fill="FFFFFF"/>
            <w:tcMar>
              <w:top w:w="50" w:type="dxa"/>
              <w:bottom w:w="50" w:type="dxa"/>
              <w:left w:w="90" w:type="dxa"/>
              <w:right w:w="90" w:type="dxa"/>
            </w:tcMar>
          </w:tcPr>
          <w:p>
            <w:pPr>
              <w:spacing w:after="40" w:line="250" w:lineRule="auto"/>
            </w:pPr>
            <w:r>
              <w:rPr>
                <w:rFonts w:ascii="Arial" w:hAnsi="Arial"/>
                <w:b w:val="0"/>
                <w:color w:val="202B35"/>
                <w:sz w:val="21"/>
              </w:rPr>
              <w:t>Authorized actor, expiry, approved digest and separation rules.</w:t>
            </w:r>
          </w:p>
        </w:tc>
      </w:tr>
      <w:tr>
        <w:trPr>
          <w:cantSplit/>
        </w:trPr>
        <w:tc>
          <w:tcPr>
            <w:tcW w:type="dxa" w:w="16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Execute</w:t>
            </w:r>
          </w:p>
        </w:tc>
        <w:tc>
          <w:tcPr>
            <w:tcW w:type="dxa" w:w="8280"/>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Recheck target state and validity window; reject drift before mutation.</w:t>
            </w:r>
          </w:p>
        </w:tc>
      </w:tr>
      <w:tr>
        <w:trPr>
          <w:cantSplit/>
        </w:trPr>
        <w:tc>
          <w:tcPr>
            <w:tcW w:type="dxa" w:w="16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Observe</w:t>
            </w:r>
          </w:p>
        </w:tc>
        <w:tc>
          <w:tcPr>
            <w:tcW w:type="dxa" w:w="8280"/>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Predefined post-change metrics, freshness and stop conditions.</w:t>
            </w:r>
          </w:p>
        </w:tc>
      </w:tr>
      <w:tr>
        <w:trPr>
          <w:cantSplit/>
        </w:trPr>
        <w:tc>
          <w:tcPr>
            <w:tcW w:type="dxa" w:w="16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Revert</w:t>
            </w:r>
          </w:p>
        </w:tc>
        <w:tc>
          <w:tcPr>
            <w:tcW w:type="dxa" w:w="8280"/>
            <w:vAlign w:val="center"/>
            <w:shd w:fill="F1F5F8"/>
            <w:tcMar>
              <w:top w:w="50" w:type="dxa"/>
              <w:bottom w:w="50" w:type="dxa"/>
              <w:left w:w="90" w:type="dxa"/>
              <w:right w:w="90" w:type="dxa"/>
            </w:tcMar>
          </w:tcPr>
          <w:p>
            <w:pPr>
              <w:spacing w:after="40" w:line="250" w:lineRule="auto"/>
            </w:pPr>
            <w:r>
              <w:rPr>
                <w:rFonts w:ascii="Arial" w:hAnsi="Arial"/>
                <w:b w:val="0"/>
                <w:color w:val="202B35"/>
                <w:sz w:val="21"/>
              </w:rPr>
              <w:t>Stored rollback plan, adapter result and observed restoration evidence.</w:t>
            </w:r>
          </w:p>
        </w:tc>
      </w:tr>
    </w:tbl>
    <w:p>
      <w:pPr>
        <w:spacing w:before="80"/>
      </w:pPr>
      <w:r>
        <w:t>Execute only the approved digest through the qualified adapter. A changed target state invalidates approval. Approval of a report or experiment is not approval of a network action. If the external system supports no safe reversal or no observable success criterion, the action remains unavailable for that deployment.</w:t>
      </w:r>
    </w:p>
    <w:p>
      <w:pPr>
        <w:pStyle w:val="Heading2"/>
      </w:pPr>
      <w:r>
        <w:t>Scope of initial operational pilot</w:t>
      </w:r>
    </w:p>
    <w:p>
      <w:pPr>
        <w:keepNext/>
      </w:pPr>
      <w:r>
        <w:t>Qualify a bounded nonproduction target first. Test source outage, duplicate delivery, stale identity, partial external success, lost response and rollback failure. A retry checks the external operation receipt and state before repeating a potentially accepted change. Autonomous optimization is deferred until these controls have auditable evidence.</w:t>
      </w:r>
    </w:p>
    <w:p>
      <w:pPr>
        <w:pStyle w:val="Caption"/>
      </w:pPr>
      <w:r>
        <w:t>Source evidence  S02 S03</w:t>
      </w:r>
    </w:p>
    <w:p>
      <w:bookmarkStart w:id="22" w:name="section_22"/>
      <w:pPr>
        <w:pStyle w:val="Heading1"/>
        <w:pageBreakBefore/>
      </w:pPr>
      <w:r>
        <w:t>22 Deployment environments and release operations</w:t>
      </w:r>
      <w:bookmarkEnd w:id="22"/>
    </w:p>
    <w:p>
      <w:r>
        <w:t>Maintain a lightweight local profile and introduce a separate shared service profile. A solver environment is qualified independently from the base app. Display requested and detected resources separately; a hardware alias or successful package import does not prove a compatible GPU execution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320"/>
        <w:gridCol w:w="3672"/>
      </w:tblGrid>
      <w:tr>
        <w:trPr>
          <w:cantSplit/>
          <w:tblHeader/>
        </w:trPr>
        <w:tc>
          <w:tcPr>
            <w:tcW w:type="dxa" w:w="1944"/>
            <w:vAlign w:val="center"/>
            <w:shd w:fill="16324F"/>
            <w:tcMar>
              <w:top w:w="50" w:type="dxa"/>
              <w:bottom w:w="50" w:type="dxa"/>
              <w:left w:w="90" w:type="dxa"/>
              <w:right w:w="90" w:type="dxa"/>
            </w:tcMar>
          </w:tcPr>
          <w:p>
            <w:pPr>
              <w:spacing w:after="40" w:line="250" w:lineRule="auto"/>
            </w:pPr>
            <w:r>
              <w:rPr>
                <w:rFonts w:ascii="Arial" w:hAnsi="Arial"/>
                <w:b/>
                <w:color w:val="FFFFFF"/>
                <w:sz w:val="21"/>
              </w:rPr>
              <w:t>Profile</w:t>
            </w:r>
          </w:p>
        </w:tc>
        <w:tc>
          <w:tcPr>
            <w:tcW w:type="dxa" w:w="4320"/>
            <w:vAlign w:val="center"/>
            <w:shd w:fill="16324F"/>
            <w:tcMar>
              <w:top w:w="50" w:type="dxa"/>
              <w:bottom w:w="50" w:type="dxa"/>
              <w:left w:w="90" w:type="dxa"/>
              <w:right w:w="90" w:type="dxa"/>
            </w:tcMar>
          </w:tcPr>
          <w:p>
            <w:pPr>
              <w:spacing w:after="40" w:line="250" w:lineRule="auto"/>
            </w:pPr>
            <w:r>
              <w:rPr>
                <w:rFonts w:ascii="Arial" w:hAnsi="Arial"/>
                <w:b/>
                <w:color w:val="FFFFFF"/>
                <w:sz w:val="21"/>
              </w:rPr>
              <w:t>Components</w:t>
            </w:r>
          </w:p>
        </w:tc>
        <w:tc>
          <w:tcPr>
            <w:tcW w:type="dxa" w:w="3672"/>
            <w:vAlign w:val="center"/>
            <w:shd w:fill="16324F"/>
            <w:tcMar>
              <w:top w:w="50" w:type="dxa"/>
              <w:bottom w:w="50" w:type="dxa"/>
              <w:left w:w="90" w:type="dxa"/>
              <w:right w:w="90" w:type="dxa"/>
            </w:tcMar>
          </w:tcPr>
          <w:p>
            <w:pPr>
              <w:spacing w:after="40" w:line="250" w:lineRule="auto"/>
            </w:pPr>
            <w:r>
              <w:rPr>
                <w:rFonts w:ascii="Arial" w:hAnsi="Arial"/>
                <w:b/>
                <w:color w:val="FFFFFF"/>
                <w:sz w:val="21"/>
              </w:rPr>
              <w:t>Release requirement</w:t>
            </w:r>
          </w:p>
        </w:tc>
      </w:tr>
      <w:tr>
        <w:trPr>
          <w:cantSplit/>
        </w:trPr>
        <w:tc>
          <w:tcPr>
            <w:tcW w:type="dxa" w:w="19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Local engineering</w:t>
            </w:r>
          </w:p>
        </w:tc>
        <w:tc>
          <w:tcPr>
            <w:tcW w:type="dxa" w:w="43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Static frontend, loopback Python API, SQLite and one optional worker.</w:t>
            </w:r>
          </w:p>
        </w:tc>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Current offline workflow, backup/restore and bounded execution pass.</w:t>
            </w:r>
          </w:p>
        </w:tc>
      </w:tr>
      <w:tr>
        <w:trPr>
          <w:cantSplit/>
        </w:trPr>
        <w:tc>
          <w:tcPr>
            <w:tcW w:type="dxa" w:w="19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Qualified solver host</w:t>
            </w:r>
          </w:p>
        </w:tc>
        <w:tc>
          <w:tcPr>
            <w:tcW w:type="dxa" w:w="43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Pinned engine, scene compiler and detected CPU/GPU backend.</w:t>
            </w:r>
          </w:p>
        </w:tc>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Reference scenes and resource/cancellation tests pass on that host.</w:t>
            </w:r>
          </w:p>
        </w:tc>
      </w:tr>
      <w:tr>
        <w:trPr>
          <w:cantSplit/>
        </w:trPr>
        <w:tc>
          <w:tcPr>
            <w:tcW w:type="dxa" w:w="194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Shared service</w:t>
            </w:r>
          </w:p>
        </w:tc>
        <w:tc>
          <w:tcPr>
            <w:tcW w:type="dxa" w:w="4320"/>
            <w:vAlign w:val="center"/>
            <w:shd w:fill="FFFFFF"/>
            <w:tcMar>
              <w:top w:w="50" w:type="dxa"/>
              <w:bottom w:w="50" w:type="dxa"/>
              <w:left w:w="90" w:type="dxa"/>
              <w:right w:w="90" w:type="dxa"/>
            </w:tcMar>
          </w:tcPr>
          <w:p>
            <w:pPr>
              <w:spacing w:after="40" w:line="250" w:lineRule="auto"/>
            </w:pPr>
            <w:r>
              <w:rPr>
                <w:rFonts w:ascii="Arial" w:hAnsi="Arial"/>
                <w:b w:val="0"/>
                <w:color w:val="202B35"/>
                <w:sz w:val="21"/>
              </w:rPr>
              <w:t>Authenticated API, shared metadata, immutable artifacts and leased workers.</w:t>
            </w:r>
          </w:p>
        </w:tc>
        <w:tc>
          <w:tcPr>
            <w:tcW w:type="dxa" w:w="3672"/>
            <w:vAlign w:val="center"/>
            <w:shd w:fill="FFFFFF"/>
            <w:tcMar>
              <w:top w:w="50" w:type="dxa"/>
              <w:bottom w:w="50" w:type="dxa"/>
              <w:left w:w="90" w:type="dxa"/>
              <w:right w:w="90" w:type="dxa"/>
            </w:tcMar>
          </w:tcPr>
          <w:p>
            <w:pPr>
              <w:spacing w:after="40" w:line="250" w:lineRule="auto"/>
            </w:pPr>
            <w:r>
              <w:rPr>
                <w:rFonts w:ascii="Arial" w:hAnsi="Arial"/>
                <w:b w:val="0"/>
                <w:color w:val="202B35"/>
                <w:sz w:val="21"/>
              </w:rPr>
              <w:t>Isolation, authorization, concurrency and crash-recovery gates pass.</w:t>
            </w:r>
          </w:p>
        </w:tc>
      </w:tr>
      <w:tr>
        <w:trPr>
          <w:cantSplit/>
        </w:trPr>
        <w:tc>
          <w:tcPr>
            <w:tcW w:type="dxa" w:w="1944"/>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Connected pilot</w:t>
            </w:r>
          </w:p>
        </w:tc>
        <w:tc>
          <w:tcPr>
            <w:tcW w:type="dxa" w:w="4320"/>
            <w:vAlign w:val="center"/>
            <w:shd w:fill="F1F5F8"/>
            <w:tcMar>
              <w:top w:w="50" w:type="dxa"/>
              <w:bottom w:w="50" w:type="dxa"/>
              <w:left w:w="90" w:type="dxa"/>
              <w:right w:w="90" w:type="dxa"/>
            </w:tcMar>
          </w:tcPr>
          <w:p>
            <w:pPr>
              <w:spacing w:after="40" w:line="250" w:lineRule="auto"/>
            </w:pPr>
            <w:r>
              <w:rPr>
                <w:rFonts w:ascii="Arial" w:hAnsi="Arial"/>
                <w:b w:val="0"/>
                <w:color w:val="202B35"/>
                <w:sz w:val="21"/>
              </w:rPr>
              <w:t>Shared service plus read collectors.</w:t>
            </w:r>
          </w:p>
        </w:tc>
        <w:tc>
          <w:tcPr>
            <w:tcW w:type="dxa" w:w="3672"/>
            <w:vAlign w:val="center"/>
            <w:shd w:fill="F1F5F8"/>
            <w:tcMar>
              <w:top w:w="50" w:type="dxa"/>
              <w:bottom w:w="50" w:type="dxa"/>
              <w:left w:w="90" w:type="dxa"/>
              <w:right w:w="90" w:type="dxa"/>
            </w:tcMar>
          </w:tcPr>
          <w:p>
            <w:pPr>
              <w:spacing w:after="40" w:line="250" w:lineRule="auto"/>
            </w:pPr>
            <w:r>
              <w:rPr>
                <w:rFonts w:ascii="Arial" w:hAnsi="Arial"/>
                <w:b w:val="0"/>
                <w:color w:val="202B35"/>
                <w:sz w:val="21"/>
              </w:rPr>
              <w:t>Source identity, freshness and read-only deployment tests pass.</w:t>
            </w:r>
          </w:p>
        </w:tc>
      </w:tr>
    </w:tbl>
    <w:p>
      <w:pPr>
        <w:pStyle w:val="Heading2"/>
      </w:pPr>
      <w:r>
        <w:t>Build and configuration</w:t>
      </w:r>
    </w:p>
    <w:p>
      <w:r>
        <w:t>Use the checked-in dependency lockfile for the frontend and an explicit solver environment lock per platform/profile. Separate build-time configuration from runtime source credentials. Record app build, schema catalog, scene compiler, engine package and worker image or environment digest in release metadata. Environment overrides remain documented and validated.</w:t>
      </w:r>
    </w:p>
    <w:p>
      <w:pPr>
        <w:pStyle w:val="Heading2"/>
      </w:pPr>
      <w:r>
        <w:t>Local commands</w:t>
      </w:r>
    </w:p>
    <w:p>
      <w:pPr>
        <w:spacing w:before="60" w:after="100" w:line="240" w:lineRule="auto"/>
      </w:pPr>
      <w:r>
        <w:rPr>
          <w:rFonts w:ascii="Courier New" w:hAnsi="Courier New"/>
          <w:sz w:val="19"/>
        </w:rPr>
        <w:t>npm run setup</w:t>
        <w:br/>
        <w:t>npm start</w:t>
        <w:br/>
        <w:t>npm run check</w:t>
        <w:br/>
        <w:t>npm run test:e2e</w:t>
        <w:br/>
        <w:t>npm run rt:setup</w:t>
        <w:br/>
        <w:t>npm run test:rt</w:t>
      </w:r>
    </w:p>
    <w:p>
      <w:r>
        <w:t>The existing portable launcher selects Python, builds the frontend and starts the API. Preserve Windows path handling, explicit port behavior and configured database location. CI exercises supported operating systems, but a native environment result is required before claiming that a deployment or solver backend is qualified.</w:t>
      </w:r>
    </w:p>
    <w:p>
      <w:pPr>
        <w:pStyle w:val="Heading2"/>
      </w:pPr>
      <w:r>
        <w:t>Release sequence</w:t>
      </w:r>
    </w:p>
    <w:p>
      <w:r>
        <w:t>Build immutable assets and validate configuration. Create a consistent metadata/artifact backup. Apply tested migrations and run read-only integrity checks. Start the new service and verify health, schema compatibility and representative project reads before admitting jobs. Retain the previous release and compatible data backup until acceptance is complete.</w:t>
      </w:r>
    </w:p>
    <w:p>
      <w:pPr>
        <w:pStyle w:val="Heading2"/>
      </w:pPr>
      <w:r>
        <w:t>Rollback boundaries</w:t>
      </w:r>
    </w:p>
    <w:p>
      <w:pPr>
        <w:keepNext/>
      </w:pPr>
      <w:r>
        <w:t>A code rollback is safe only when the prior version can read the current schema. Otherwise restore metadata and artifacts from the same backup generation. Stop admission before switching a worker or engine profile; existing accepted jobs retain their original qualified profile. Restart reconciliation must preserve unknown worker outcomes as interrupted until evidence resolves them.</w:t>
      </w:r>
    </w:p>
    <w:p>
      <w:pPr>
        <w:pStyle w:val="Caption"/>
      </w:pPr>
      <w:r>
        <w:t>Source evidence  S01 S03 S06 E04</w:t>
      </w:r>
    </w:p>
    <w:p>
      <w:bookmarkStart w:id="23" w:name="section_23"/>
      <w:pPr>
        <w:pStyle w:val="Heading1"/>
        <w:pageBreakBefore/>
      </w:pPr>
      <w:r>
        <w:t>23 Observability recovery and support</w:t>
      </w:r>
      <w:bookmarkEnd w:id="23"/>
    </w:p>
    <w:p>
      <w:r>
        <w:t>Instrument the system around committed evidence and actual execution. A health endpoint reports process readiness and dependency state, while a capability query answers whether a specific action is allowed for selected inputs. Neither endpoint implies a physically validated RAN model.</w:t>
      </w:r>
    </w:p>
    <w:p>
      <w:pPr>
        <w:pStyle w:val="Heading2"/>
      </w:pPr>
      <w:r>
        <w:t>Operational telemetry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136"/>
      </w:tblGrid>
      <w:tr>
        <w:trPr>
          <w:cantSplit/>
          <w:tblHeader/>
        </w:trPr>
        <w:tc>
          <w:tcPr>
            <w:tcW w:type="dxa" w:w="1800"/>
            <w:vAlign w:val="center"/>
            <w:shd w:fill="16324F"/>
            <w:tcMar>
              <w:top w:w="50" w:type="dxa"/>
              <w:bottom w:w="50" w:type="dxa"/>
              <w:left w:w="90" w:type="dxa"/>
              <w:right w:w="90" w:type="dxa"/>
            </w:tcMar>
          </w:tcPr>
          <w:p>
            <w:pPr>
              <w:spacing w:after="40" w:line="250" w:lineRule="auto"/>
            </w:pPr>
            <w:r>
              <w:rPr>
                <w:rFonts w:ascii="Arial" w:hAnsi="Arial"/>
                <w:b/>
                <w:color w:val="FFFFFF"/>
                <w:sz w:val="21"/>
              </w:rPr>
              <w:t>Signal</w:t>
            </w:r>
          </w:p>
        </w:tc>
        <w:tc>
          <w:tcPr>
            <w:tcW w:type="dxa" w:w="8136"/>
            <w:vAlign w:val="center"/>
            <w:shd w:fill="16324F"/>
            <w:tcMar>
              <w:top w:w="50" w:type="dxa"/>
              <w:bottom w:w="50" w:type="dxa"/>
              <w:left w:w="90" w:type="dxa"/>
              <w:right w:w="90" w:type="dxa"/>
            </w:tcMar>
          </w:tcPr>
          <w:p>
            <w:pPr>
              <w:spacing w:after="40" w:line="250" w:lineRule="auto"/>
            </w:pPr>
            <w:r>
              <w:rPr>
                <w:rFonts w:ascii="Arial" w:hAnsi="Arial"/>
                <w:b/>
                <w:color w:val="FFFFFF"/>
                <w:sz w:val="21"/>
              </w:rPr>
              <w:t>Required content</w:t>
            </w:r>
          </w:p>
        </w:tc>
      </w:tr>
      <w:tr>
        <w:trPr>
          <w:cantSplit/>
        </w:trPr>
        <w:tc>
          <w:tcPr>
            <w:tcW w:type="dxa" w:w="18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Request log</w:t>
            </w:r>
          </w:p>
        </w:tc>
        <w:tc>
          <w:tcPr>
            <w:tcW w:type="dxa" w:w="8136"/>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Request/command ID, project scope, action, latency, outcome and stable error code.</w:t>
            </w:r>
          </w:p>
        </w:tc>
      </w:tr>
      <w:tr>
        <w:trPr>
          <w:cantSplit/>
        </w:trPr>
        <w:tc>
          <w:tcPr>
            <w:tcW w:type="dxa" w:w="18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Import health</w:t>
            </w:r>
          </w:p>
        </w:tc>
        <w:tc>
          <w:tcPr>
            <w:tcW w:type="dxa" w:w="8136"/>
            <w:vAlign w:val="center"/>
            <w:shd w:fill="F1F5F8"/>
            <w:tcMar>
              <w:top w:w="50" w:type="dxa"/>
              <w:bottom w:w="50" w:type="dxa"/>
              <w:left w:w="90" w:type="dxa"/>
              <w:right w:w="90" w:type="dxa"/>
            </w:tcMar>
          </w:tcPr>
          <w:p>
            <w:pPr>
              <w:spacing w:after="40" w:line="250" w:lineRule="auto"/>
            </w:pPr>
            <w:r>
              <w:rPr>
                <w:rFonts w:ascii="Arial" w:hAnsi="Arial"/>
                <w:b w:val="0"/>
                <w:color w:val="202B35"/>
                <w:sz w:val="21"/>
              </w:rPr>
              <w:t>Bytes, rows, accepted/rejected counts, parser version and source digest.</w:t>
            </w:r>
          </w:p>
        </w:tc>
      </w:tr>
      <w:tr>
        <w:trPr>
          <w:cantSplit/>
        </w:trPr>
        <w:tc>
          <w:tcPr>
            <w:tcW w:type="dxa" w:w="18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Persistence</w:t>
            </w:r>
          </w:p>
        </w:tc>
        <w:tc>
          <w:tcPr>
            <w:tcW w:type="dxa" w:w="8136"/>
            <w:vAlign w:val="center"/>
            <w:shd w:fill="FFFFFF"/>
            <w:tcMar>
              <w:top w:w="50" w:type="dxa"/>
              <w:bottom w:w="50" w:type="dxa"/>
              <w:left w:w="90" w:type="dxa"/>
              <w:right w:w="90" w:type="dxa"/>
            </w:tcMar>
          </w:tcPr>
          <w:p>
            <w:pPr>
              <w:spacing w:after="40" w:line="250" w:lineRule="auto"/>
            </w:pPr>
            <w:r>
              <w:rPr>
                <w:rFonts w:ascii="Arial" w:hAnsi="Arial"/>
                <w:b w:val="0"/>
                <w:color w:val="202B35"/>
                <w:sz w:val="21"/>
              </w:rPr>
              <w:t>Transaction latency, conflict count, digest failures and orphan-reference checks.</w:t>
            </w:r>
          </w:p>
        </w:tc>
      </w:tr>
      <w:tr>
        <w:trPr>
          <w:cantSplit/>
        </w:trPr>
        <w:tc>
          <w:tcPr>
            <w:tcW w:type="dxa" w:w="18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Worker</w:t>
            </w:r>
          </w:p>
        </w:tc>
        <w:tc>
          <w:tcPr>
            <w:tcW w:type="dxa" w:w="8136"/>
            <w:vAlign w:val="center"/>
            <w:shd w:fill="F1F5F8"/>
            <w:tcMar>
              <w:top w:w="50" w:type="dxa"/>
              <w:bottom w:w="50" w:type="dxa"/>
              <w:left w:w="90" w:type="dxa"/>
              <w:right w:w="90" w:type="dxa"/>
            </w:tcMar>
          </w:tcPr>
          <w:p>
            <w:pPr>
              <w:spacing w:after="40" w:line="250" w:lineRule="auto"/>
            </w:pPr>
            <w:r>
              <w:rPr>
                <w:rFonts w:ascii="Arial" w:hAnsi="Arial"/>
                <w:b w:val="0"/>
                <w:color w:val="202B35"/>
                <w:sz w:val="21"/>
              </w:rPr>
              <w:t>Queue age, owner, backend, budget, heartbeat, exit code and terminal reason.</w:t>
            </w:r>
          </w:p>
        </w:tc>
      </w:tr>
      <w:tr>
        <w:trPr>
          <w:cantSplit/>
        </w:trPr>
        <w:tc>
          <w:tcPr>
            <w:tcW w:type="dxa" w:w="18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Collector</w:t>
            </w:r>
          </w:p>
        </w:tc>
        <w:tc>
          <w:tcPr>
            <w:tcW w:type="dxa" w:w="8136"/>
            <w:vAlign w:val="center"/>
            <w:shd w:fill="FFFFFF"/>
            <w:tcMar>
              <w:top w:w="50" w:type="dxa"/>
              <w:bottom w:w="50" w:type="dxa"/>
              <w:left w:w="90" w:type="dxa"/>
              <w:right w:w="90" w:type="dxa"/>
            </w:tcMar>
          </w:tcPr>
          <w:p>
            <w:pPr>
              <w:spacing w:after="40" w:line="250" w:lineRule="auto"/>
            </w:pPr>
            <w:r>
              <w:rPr>
                <w:rFonts w:ascii="Arial" w:hAnsi="Arial"/>
                <w:b w:val="0"/>
                <w:color w:val="202B35"/>
                <w:sz w:val="21"/>
              </w:rPr>
              <w:t>Last successful observation time, ingestion lag, missing windows and adapter failures.</w:t>
            </w:r>
          </w:p>
        </w:tc>
      </w:tr>
      <w:tr>
        <w:trPr>
          <w:cantSplit/>
        </w:trPr>
        <w:tc>
          <w:tcPr>
            <w:tcW w:type="dxa" w:w="18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Artifacts</w:t>
            </w:r>
          </w:p>
        </w:tc>
        <w:tc>
          <w:tcPr>
            <w:tcW w:type="dxa" w:w="8136"/>
            <w:vAlign w:val="center"/>
            <w:shd w:fill="F1F5F8"/>
            <w:tcMar>
              <w:top w:w="50" w:type="dxa"/>
              <w:bottom w:w="50" w:type="dxa"/>
              <w:left w:w="90" w:type="dxa"/>
              <w:right w:w="90" w:type="dxa"/>
            </w:tcMar>
          </w:tcPr>
          <w:p>
            <w:pPr>
              <w:spacing w:after="40" w:line="250" w:lineRule="auto"/>
            </w:pPr>
            <w:r>
              <w:rPr>
                <w:rFonts w:ascii="Arial" w:hAnsi="Arial"/>
                <w:b w:val="0"/>
                <w:color w:val="202B35"/>
                <w:sz w:val="21"/>
              </w:rPr>
              <w:t>Publication failures, invalid references, retention actions and backup generation.</w:t>
            </w:r>
          </w:p>
        </w:tc>
      </w:tr>
    </w:tbl>
    <w:p>
      <w:pPr>
        <w:pStyle w:val="Heading2"/>
      </w:pPr>
      <w:r>
        <w:t>Failure handling</w:t>
      </w:r>
    </w:p>
    <w:p>
      <w:r>
        <w:t>Keep the last confirmed record visible after a polling failure and label its status as last confirmed. Scope guards reject late responses after project changes or accepted recovery actions. After uncertain job acceptance, retain the receipt and resolve it before another submission. A backend restart marks unowned local work interrupted instead of inventing completion or cancellation.</w:t>
      </w:r>
    </w:p>
    <w:p>
      <w:r>
        <w:t>A failed artifact publication cannot mark the run complete. Retain a recoverable staging record with a bounded reason and reconcile it at startup. A duplicate terminal event cannot replace prior output. Digest mismatch quarantines the affected evidence reference and blocks its use for new runs while preserving the record for investigation.</w:t>
      </w:r>
    </w:p>
    <w:p>
      <w:pPr>
        <w:pStyle w:val="Heading2"/>
      </w:pPr>
      <w:r>
        <w:t>Backup and disaster recovery</w:t>
      </w:r>
    </w:p>
    <w:p>
      <w:r>
        <w:t>Produce a consistent SQLite backup through the backup API and snapshot the referenced artifact manifest. Verify every referenced digest in a restore drill. Propose a daily backup with a 24-hour recovery point and a two-hour local restoration target for the first pilot; the operations owner must approve retention and targets after measuring data volume.</w:t>
      </w:r>
    </w:p>
    <w:p>
      <w:pPr>
        <w:pStyle w:val="Heading2"/>
      </w:pPr>
      <w:r>
        <w:t>Support bundle</w:t>
      </w:r>
    </w:p>
    <w:p>
      <w:r>
        <w:t>Provide a user-triggered diagnostic export with app/schema versions, runtime detection, redacted error codes, affected resource IDs and optional selected manifests. Exclude credentials, raw measurements and location data unless the user explicitly includes them. A support bundle does not mark any evidence as verified.</w:t>
      </w:r>
    </w:p>
    <w:p>
      <w:pPr>
        <w:pStyle w:val="Heading2"/>
      </w:pPr>
      <w:r>
        <w:t>Alert policy</w:t>
      </w:r>
    </w:p>
    <w:p>
      <w:pPr>
        <w:keepNext/>
      </w:pPr>
      <w:r>
        <w:t>Alert on repeated commit failures, missing accepted artifacts, stalled owned workers and collector freshness violations. Distinguish source outage from API availability and from model-quality drift. Thresholds and ownership are deployment-specific; avoid default green status when no telemetry has been collected.</w:t>
      </w:r>
    </w:p>
    <w:p>
      <w:pPr>
        <w:pStyle w:val="Caption"/>
      </w:pPr>
      <w:r>
        <w:t>Source evidence  S03 S05 S06 E04</w:t>
      </w:r>
    </w:p>
    <w:p>
      <w:bookmarkStart w:id="24" w:name="section_24"/>
      <w:pPr>
        <w:pStyle w:val="Heading1"/>
        <w:pageBreakBefore/>
      </w:pPr>
      <w:r>
        <w:t>24 Verification strategy and release evidence</w:t>
      </w:r>
      <w:bookmarkEnd w:id="24"/>
    </w:p>
    <w:p>
      <w:r>
        <w:t>Use layered tests that exercise domain meaning and transactional boundaries. Preserve the current domain, component, Python, integration and browser suites during refactoring. Solver qualification and physical model acceptance remain separate gates from UI or control-plane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752"/>
        <w:gridCol w:w="3600"/>
      </w:tblGrid>
      <w:tr>
        <w:trPr>
          <w:cantSplit/>
          <w:tblHeader/>
        </w:trPr>
        <w:tc>
          <w:tcPr>
            <w:tcW w:type="dxa" w:w="1584"/>
            <w:vAlign w:val="center"/>
            <w:shd w:fill="16324F"/>
            <w:tcMar>
              <w:top w:w="50" w:type="dxa"/>
              <w:bottom w:w="50" w:type="dxa"/>
              <w:left w:w="90" w:type="dxa"/>
              <w:right w:w="90" w:type="dxa"/>
            </w:tcMar>
          </w:tcPr>
          <w:p>
            <w:pPr>
              <w:spacing w:after="40" w:line="250" w:lineRule="auto"/>
            </w:pPr>
            <w:r>
              <w:rPr>
                <w:rFonts w:ascii="Arial" w:hAnsi="Arial"/>
                <w:b/>
                <w:color w:val="FFFFFF"/>
                <w:sz w:val="21"/>
              </w:rPr>
              <w:t>Layer</w:t>
            </w:r>
          </w:p>
        </w:tc>
        <w:tc>
          <w:tcPr>
            <w:tcW w:type="dxa" w:w="4752"/>
            <w:vAlign w:val="center"/>
            <w:shd w:fill="16324F"/>
            <w:tcMar>
              <w:top w:w="50" w:type="dxa"/>
              <w:bottom w:w="50" w:type="dxa"/>
              <w:left w:w="90" w:type="dxa"/>
              <w:right w:w="90" w:type="dxa"/>
            </w:tcMar>
          </w:tcPr>
          <w:p>
            <w:pPr>
              <w:spacing w:after="40" w:line="250" w:lineRule="auto"/>
            </w:pPr>
            <w:r>
              <w:rPr>
                <w:rFonts w:ascii="Arial" w:hAnsi="Arial"/>
                <w:b/>
                <w:color w:val="FFFFFF"/>
                <w:sz w:val="21"/>
              </w:rPr>
              <w:t>Meaningful coverage</w:t>
            </w:r>
          </w:p>
        </w:tc>
        <w:tc>
          <w:tcPr>
            <w:tcW w:type="dxa" w:w="3600"/>
            <w:vAlign w:val="center"/>
            <w:shd w:fill="16324F"/>
            <w:tcMar>
              <w:top w:w="50" w:type="dxa"/>
              <w:bottom w:w="50" w:type="dxa"/>
              <w:left w:w="90" w:type="dxa"/>
              <w:right w:w="90" w:type="dxa"/>
            </w:tcMar>
          </w:tcPr>
          <w:p>
            <w:pPr>
              <w:spacing w:after="40" w:line="250" w:lineRule="auto"/>
            </w:pPr>
            <w:r>
              <w:rPr>
                <w:rFonts w:ascii="Arial" w:hAnsi="Arial"/>
                <w:b/>
                <w:color w:val="FFFFFF"/>
                <w:sz w:val="21"/>
              </w:rPr>
              <w:t>Evidence required</w:t>
            </w:r>
          </w:p>
        </w:tc>
      </w:tr>
      <w:tr>
        <w:trPr>
          <w:cantSplit/>
        </w:trPr>
        <w:tc>
          <w:tcPr>
            <w:tcW w:type="dxa" w:w="1584"/>
            <w:vAlign w:val="center"/>
            <w:shd w:fill="FFFFFF"/>
            <w:tcMar>
              <w:top w:w="50" w:type="dxa"/>
              <w:bottom w:w="50" w:type="dxa"/>
              <w:left w:w="90" w:type="dxa"/>
              <w:right w:w="90" w:type="dxa"/>
            </w:tcMar>
          </w:tcPr>
          <w:p>
            <w:pPr>
              <w:spacing w:after="40" w:line="250" w:lineRule="auto"/>
            </w:pPr>
            <w:r>
              <w:rPr>
                <w:rFonts w:ascii="Arial" w:hAnsi="Arial"/>
                <w:b w:val="0"/>
                <w:color w:val="202B35"/>
                <w:sz w:val="21"/>
              </w:rPr>
              <w:t>Domain</w:t>
            </w:r>
          </w:p>
        </w:tc>
        <w:tc>
          <w:tcPr>
            <w:tcW w:type="dxa" w:w="47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Units, nulls, identity, history, exact changes and metric compatibility.</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Deterministic fixtures and rejection cases.</w:t>
            </w:r>
          </w:p>
        </w:tc>
      </w:tr>
      <w:tr>
        <w:trPr>
          <w:cantSplit/>
        </w:trPr>
        <w:tc>
          <w:tcPr>
            <w:tcW w:type="dxa" w:w="158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Persistence</w:t>
            </w:r>
          </w:p>
        </w:tc>
        <w:tc>
          <w:tcPr>
            <w:tcW w:type="dxa" w:w="47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Conflicts, append-only history, atomic artifacts and migrations.</w:t>
            </w:r>
          </w:p>
        </w:tc>
        <w:tc>
          <w:tcPr>
            <w:tcW w:type="dxa" w:w="36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Disposable databases and injected commit/crash failures.</w:t>
            </w:r>
          </w:p>
        </w:tc>
      </w:tr>
      <w:tr>
        <w:trPr>
          <w:cantSplit/>
        </w:trPr>
        <w:tc>
          <w:tcPr>
            <w:tcW w:type="dxa" w:w="158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API</w:t>
            </w:r>
          </w:p>
        </w:tc>
        <w:tc>
          <w:tcPr>
            <w:tcW w:type="dxa" w:w="47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Auth scope, payload limits, receipts and lifecycle transitions.</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Real HTTP requests with controlled worker adapters.</w:t>
            </w:r>
          </w:p>
        </w:tc>
      </w:tr>
      <w:tr>
        <w:trPr>
          <w:cantSplit/>
        </w:trPr>
        <w:tc>
          <w:tcPr>
            <w:tcW w:type="dxa" w:w="1584"/>
            <w:vAlign w:val="center"/>
            <w:shd w:fill="F1F5F8"/>
            <w:tcMar>
              <w:top w:w="50" w:type="dxa"/>
              <w:bottom w:w="50" w:type="dxa"/>
              <w:left w:w="90" w:type="dxa"/>
              <w:right w:w="90" w:type="dxa"/>
            </w:tcMar>
          </w:tcPr>
          <w:p>
            <w:pPr>
              <w:spacing w:after="40" w:line="250" w:lineRule="auto"/>
            </w:pPr>
            <w:r>
              <w:rPr>
                <w:rFonts w:ascii="Arial" w:hAnsi="Arial"/>
                <w:b w:val="0"/>
                <w:color w:val="202B35"/>
                <w:sz w:val="21"/>
              </w:rPr>
              <w:t>UI</w:t>
            </w:r>
          </w:p>
        </w:tc>
        <w:tc>
          <w:tcPr>
            <w:tcW w:type="dxa" w:w="47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Draft recovery, selection, keyboard access and source quality.</w:t>
            </w:r>
          </w:p>
        </w:tc>
        <w:tc>
          <w:tcPr>
            <w:tcW w:type="dxa" w:w="36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Component tests plus browser workflows.</w:t>
            </w:r>
          </w:p>
        </w:tc>
      </w:tr>
      <w:tr>
        <w:trPr>
          <w:cantSplit/>
        </w:trPr>
        <w:tc>
          <w:tcPr>
            <w:tcW w:type="dxa" w:w="1584"/>
            <w:vAlign w:val="center"/>
            <w:shd w:fill="FFFFFF"/>
            <w:tcMar>
              <w:top w:w="50" w:type="dxa"/>
              <w:bottom w:w="50" w:type="dxa"/>
              <w:left w:w="90" w:type="dxa"/>
              <w:right w:w="90" w:type="dxa"/>
            </w:tcMar>
          </w:tcPr>
          <w:p>
            <w:pPr>
              <w:spacing w:after="40" w:line="250" w:lineRule="auto"/>
            </w:pPr>
            <w:r>
              <w:rPr>
                <w:rFonts w:ascii="Arial" w:hAnsi="Arial"/>
                <w:b w:val="0"/>
                <w:color w:val="202B35"/>
                <w:sz w:val="21"/>
              </w:rPr>
              <w:t>Numerical</w:t>
            </w:r>
          </w:p>
        </w:tc>
        <w:tc>
          <w:tcPr>
            <w:tcW w:type="dxa" w:w="47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Reference propagation scenes and convergence.</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Qualified engine/backend reports with tolerances.</w:t>
            </w:r>
          </w:p>
        </w:tc>
      </w:tr>
      <w:tr>
        <w:trPr>
          <w:cantSplit/>
        </w:trPr>
        <w:tc>
          <w:tcPr>
            <w:tcW w:type="dxa" w:w="1584"/>
            <w:vAlign w:val="center"/>
            <w:shd w:fill="F1F5F8"/>
            <w:tcMar>
              <w:top w:w="50" w:type="dxa"/>
              <w:bottom w:w="50" w:type="dxa"/>
              <w:left w:w="90" w:type="dxa"/>
              <w:right w:w="90" w:type="dxa"/>
            </w:tcMar>
          </w:tcPr>
          <w:p>
            <w:pPr>
              <w:spacing w:after="40" w:line="250" w:lineRule="auto"/>
            </w:pPr>
            <w:r>
              <w:rPr>
                <w:rFonts w:ascii="Arial" w:hAnsi="Arial"/>
                <w:b w:val="0"/>
                <w:color w:val="202B35"/>
                <w:sz w:val="21"/>
              </w:rPr>
              <w:t>Physical</w:t>
            </w:r>
          </w:p>
        </w:tc>
        <w:tc>
          <w:tcPr>
            <w:tcW w:type="dxa" w:w="4752"/>
            <w:vAlign w:val="center"/>
            <w:shd w:fill="F1F5F8"/>
            <w:tcMar>
              <w:top w:w="50" w:type="dxa"/>
              <w:bottom w:w="50" w:type="dxa"/>
              <w:left w:w="90" w:type="dxa"/>
              <w:right w:w="90" w:type="dxa"/>
            </w:tcMar>
          </w:tcPr>
          <w:p>
            <w:pPr>
              <w:spacing w:after="40" w:line="250" w:lineRule="auto"/>
            </w:pPr>
            <w:r>
              <w:rPr>
                <w:rFonts w:ascii="Arial" w:hAnsi="Arial"/>
                <w:b w:val="0"/>
                <w:color w:val="202B35"/>
                <w:sz w:val="21"/>
              </w:rPr>
              <w:t>Alignment, held-out error and accepted scope.</w:t>
            </w:r>
          </w:p>
        </w:tc>
        <w:tc>
          <w:tcPr>
            <w:tcW w:type="dxa" w:w="3600"/>
            <w:vAlign w:val="center"/>
            <w:shd w:fill="F1F5F8"/>
            <w:tcMar>
              <w:top w:w="50" w:type="dxa"/>
              <w:bottom w:w="50" w:type="dxa"/>
              <w:left w:w="90" w:type="dxa"/>
              <w:right w:w="90" w:type="dxa"/>
            </w:tcMar>
          </w:tcPr>
          <w:p>
            <w:pPr>
              <w:spacing w:after="40" w:line="250" w:lineRule="auto"/>
            </w:pPr>
            <w:r>
              <w:rPr>
                <w:rFonts w:ascii="Arial" w:hAnsi="Arial"/>
                <w:b w:val="0"/>
                <w:color w:val="202B35"/>
                <w:sz w:val="21"/>
              </w:rPr>
              <w:t>Suitable field dataset and RF reviewer decision.</w:t>
            </w:r>
          </w:p>
        </w:tc>
      </w:tr>
      <w:tr>
        <w:trPr>
          <w:cantSplit/>
        </w:trPr>
        <w:tc>
          <w:tcPr>
            <w:tcW w:type="dxa" w:w="1584"/>
            <w:vAlign w:val="center"/>
            <w:shd w:fill="FFFFFF"/>
            <w:tcMar>
              <w:top w:w="50" w:type="dxa"/>
              <w:bottom w:w="50" w:type="dxa"/>
              <w:left w:w="90" w:type="dxa"/>
              <w:right w:w="90" w:type="dxa"/>
            </w:tcMar>
          </w:tcPr>
          <w:p>
            <w:pPr>
              <w:spacing w:after="40" w:line="250" w:lineRule="auto"/>
            </w:pPr>
            <w:r>
              <w:rPr>
                <w:rFonts w:ascii="Arial" w:hAnsi="Arial"/>
                <w:b w:val="0"/>
                <w:color w:val="202B35"/>
                <w:sz w:val="21"/>
              </w:rPr>
              <w:t>Operations</w:t>
            </w:r>
          </w:p>
        </w:tc>
        <w:tc>
          <w:tcPr>
            <w:tcW w:type="dxa" w:w="4752"/>
            <w:vAlign w:val="center"/>
            <w:shd w:fill="FFFFFF"/>
            <w:tcMar>
              <w:top w:w="50" w:type="dxa"/>
              <w:bottom w:w="50" w:type="dxa"/>
              <w:left w:w="90" w:type="dxa"/>
              <w:right w:w="90" w:type="dxa"/>
            </w:tcMar>
          </w:tcPr>
          <w:p>
            <w:pPr>
              <w:spacing w:after="40" w:line="250" w:lineRule="auto"/>
            </w:pPr>
            <w:r>
              <w:rPr>
                <w:rFonts w:ascii="Arial" w:hAnsi="Arial"/>
                <w:b w:val="0"/>
                <w:color w:val="202B35"/>
                <w:sz w:val="21"/>
              </w:rPr>
              <w:t>Leases, source gaps, restore and rollback.</w:t>
            </w:r>
          </w:p>
        </w:tc>
        <w:tc>
          <w:tcPr>
            <w:tcW w:type="dxa" w:w="3600"/>
            <w:vAlign w:val="center"/>
            <w:shd w:fill="FFFFFF"/>
            <w:tcMar>
              <w:top w:w="50" w:type="dxa"/>
              <w:bottom w:w="50" w:type="dxa"/>
              <w:left w:w="90" w:type="dxa"/>
              <w:right w:w="90" w:type="dxa"/>
            </w:tcMar>
          </w:tcPr>
          <w:p>
            <w:pPr>
              <w:spacing w:after="40" w:line="250" w:lineRule="auto"/>
            </w:pPr>
            <w:r>
              <w:rPr>
                <w:rFonts w:ascii="Arial" w:hAnsi="Arial"/>
                <w:b w:val="0"/>
                <w:color w:val="202B35"/>
                <w:sz w:val="21"/>
              </w:rPr>
              <w:t>Fault injection on the declared pilot environment.</w:t>
            </w:r>
          </w:p>
        </w:tc>
      </w:tr>
    </w:tbl>
    <w:p>
      <w:pPr>
        <w:pStyle w:val="Heading2"/>
      </w:pPr>
      <w:r>
        <w:t>Required failure matrix</w:t>
      </w:r>
    </w:p>
    <w:p>
      <w:r>
        <w:t>Test unavailable KPI columns, zero versus null, mixed RATs, unknown signal type, source-byte tampering, stale mapping during hashing, absent coordinates, tile outages, incompatible candidate fields, solver timeout, accepted cancellation followed by late completion, uncertain acceptance, duplicate requests, restart interruption and cross-project callbacks. Include dataset history limits and migration rollback.</w:t>
      </w:r>
    </w:p>
    <w:p>
      <w:pPr>
        <w:pStyle w:val="Heading2"/>
      </w:pPr>
      <w:r>
        <w:t>Browser journeys</w:t>
      </w:r>
    </w:p>
    <w:p>
      <w:r>
        <w:t>The release journey imports and reviews evidence, retains another interpretation, captures a baseline, creates a candidate, opens frozen propagation inputs, submits and recovers a run, compares supported outputs, exports a report and reloads it. Run at desktop and 390 px mobile width. All map, chart and table selections must identify the same original sample and associated inventory object.</w:t>
      </w:r>
    </w:p>
    <w:p>
      <w:pPr>
        <w:pStyle w:val="Heading2"/>
      </w:pPr>
      <w:r>
        <w:t>Existing baseline evidence</w:t>
      </w:r>
    </w:p>
    <w:p>
      <w:r>
        <w:t>The repository implementation register reports a full gate with 124 Node domain tests, 38 Python tests, 275 component tests, type checking, production build, two integration tests and 40 browser tests. It also records a separate real Sionna smoke test. These counts describe that recorded implementation baseline; future releases produce their own dated results and do not inherit a pass automatically.</w:t>
      </w:r>
    </w:p>
    <w:p>
      <w:pPr>
        <w:pStyle w:val="Heading2"/>
      </w:pPr>
      <w:r>
        <w:t>Release acceptance</w:t>
      </w:r>
    </w:p>
    <w:p>
      <w:pPr>
        <w:keepNext/>
      </w:pPr>
      <w:r>
        <w:t>An implementation package passes only when its requirement tests, data migration checks and relevant broad gate succeed. Store the test environment and artifact identities with the release. A simulated browser worker can verify HTTP and lifecycle behavior, but cannot substitute for numerical or field calibration validation.</w:t>
      </w:r>
    </w:p>
    <w:p>
      <w:pPr>
        <w:pStyle w:val="Caption"/>
      </w:pPr>
      <w:r>
        <w:t>Source evidence  S03</w:t>
      </w:r>
    </w:p>
    <w:p>
      <w:bookmarkStart w:id="25" w:name="section_25"/>
      <w:pPr>
        <w:pStyle w:val="Heading1"/>
        <w:pageBreakBefore/>
      </w:pPr>
      <w:r>
        <w:t>25 Development phases and release gates</w:t>
      </w:r>
      <w:bookmarkEnd w:id="25"/>
    </w:p>
    <w:p>
      <w:r>
        <w:t>Sequence work by dependency and evidence. The current workflow improvements, measurement library, canonical inspector and frozen-run recovery form the baseline; they should not be estimated again as unimplemented features. Calendar commitments require a confirmed team, source access and pilot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896"/>
        <w:gridCol w:w="4032"/>
      </w:tblGrid>
      <w:tr>
        <w:trPr>
          <w:cantSplit/>
          <w:tblHeader/>
        </w:trPr>
        <w:tc>
          <w:tcPr>
            <w:tcW w:type="dxa" w:w="1008"/>
            <w:vAlign w:val="center"/>
            <w:shd w:fill="16324F"/>
            <w:tcMar>
              <w:top w:w="50" w:type="dxa"/>
              <w:bottom w:w="50" w:type="dxa"/>
              <w:left w:w="90" w:type="dxa"/>
              <w:right w:w="90" w:type="dxa"/>
            </w:tcMar>
          </w:tcPr>
          <w:p>
            <w:pPr>
              <w:spacing w:after="40" w:line="250" w:lineRule="auto"/>
              <w:jc w:val="center"/>
            </w:pPr>
            <w:r>
              <w:rPr>
                <w:rFonts w:ascii="Arial" w:hAnsi="Arial"/>
                <w:b/>
                <w:color w:val="FFFFFF"/>
                <w:sz w:val="21"/>
              </w:rPr>
              <w:t>Phase</w:t>
            </w:r>
          </w:p>
        </w:tc>
        <w:tc>
          <w:tcPr>
            <w:tcW w:type="dxa" w:w="4896"/>
            <w:vAlign w:val="center"/>
            <w:shd w:fill="16324F"/>
            <w:tcMar>
              <w:top w:w="50" w:type="dxa"/>
              <w:bottom w:w="50" w:type="dxa"/>
              <w:left w:w="90" w:type="dxa"/>
              <w:right w:w="90" w:type="dxa"/>
            </w:tcMar>
          </w:tcPr>
          <w:p>
            <w:pPr>
              <w:spacing w:after="40" w:line="250" w:lineRule="auto"/>
            </w:pPr>
            <w:r>
              <w:rPr>
                <w:rFonts w:ascii="Arial" w:hAnsi="Arial"/>
                <w:b/>
                <w:color w:val="FFFFFF"/>
                <w:sz w:val="21"/>
              </w:rPr>
              <w:t>Delivery package</w:t>
            </w:r>
          </w:p>
        </w:tc>
        <w:tc>
          <w:tcPr>
            <w:tcW w:type="dxa" w:w="4032"/>
            <w:vAlign w:val="center"/>
            <w:shd w:fill="16324F"/>
            <w:tcMar>
              <w:top w:w="50" w:type="dxa"/>
              <w:bottom w:w="50" w:type="dxa"/>
              <w:left w:w="90" w:type="dxa"/>
              <w:right w:w="90" w:type="dxa"/>
            </w:tcMar>
          </w:tcPr>
          <w:p>
            <w:pPr>
              <w:spacing w:after="40" w:line="250" w:lineRule="auto"/>
            </w:pPr>
            <w:r>
              <w:rPr>
                <w:rFonts w:ascii="Arial" w:hAnsi="Arial"/>
                <w:b/>
                <w:color w:val="FFFFFF"/>
                <w:sz w:val="21"/>
              </w:rPr>
              <w:t>Exit gate</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R0</w:t>
            </w:r>
          </w:p>
        </w:tc>
        <w:tc>
          <w:tcPr>
            <w:tcW w:type="dxa" w:w="4896"/>
            <w:vAlign w:val="center"/>
            <w:shd w:fill="FFFFFF"/>
            <w:tcMar>
              <w:top w:w="50" w:type="dxa"/>
              <w:bottom w:w="50" w:type="dxa"/>
              <w:left w:w="90" w:type="dxa"/>
              <w:right w:w="90" w:type="dxa"/>
            </w:tcMar>
          </w:tcPr>
          <w:p>
            <w:pPr>
              <w:spacing w:after="40" w:line="250" w:lineRule="auto"/>
            </w:pPr>
            <w:r>
              <w:rPr>
                <w:rFonts w:ascii="Arial" w:hAnsi="Arial"/>
                <w:b w:val="0"/>
                <w:color w:val="202B35"/>
                <w:sz w:val="21"/>
              </w:rPr>
              <w:t>Typed service ports, source/schema register, domain ownership and recorded regression baseline.</w:t>
            </w:r>
          </w:p>
        </w:tc>
        <w:tc>
          <w:tcPr>
            <w:tcW w:type="dxa" w:w="4032"/>
            <w:vAlign w:val="center"/>
            <w:shd w:fill="FFFFFF"/>
            <w:tcMar>
              <w:top w:w="50" w:type="dxa"/>
              <w:bottom w:w="50" w:type="dxa"/>
              <w:left w:w="90" w:type="dxa"/>
              <w:right w:w="90" w:type="dxa"/>
            </w:tcMar>
          </w:tcPr>
          <w:p>
            <w:pPr>
              <w:spacing w:after="40" w:line="250" w:lineRule="auto"/>
            </w:pPr>
            <w:r>
              <w:rPr>
                <w:rFonts w:ascii="Arial" w:hAnsi="Arial"/>
                <w:b w:val="0"/>
                <w:color w:val="202B35"/>
                <w:sz w:val="21"/>
              </w:rPr>
              <w:t>Existing saved projects, routes, imports and run recovery remain compatible.</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R1</w:t>
            </w:r>
          </w:p>
        </w:tc>
        <w:tc>
          <w:tcPr>
            <w:tcW w:type="dxa" w:w="4896"/>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External identities, carrier/topology/antenna model, normalized storage and staged migration.</w:t>
            </w:r>
          </w:p>
        </w:tc>
        <w:tc>
          <w:tcPr>
            <w:tcW w:type="dxa" w:w="4032"/>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Real pilot sources replay correctly; legacy evidence and frozen versions remain intact.</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R2</w:t>
            </w:r>
          </w:p>
        </w:tc>
        <w:tc>
          <w:tcPr>
            <w:tcW w:type="dxa" w:w="4896"/>
            <w:vAlign w:val="center"/>
            <w:shd w:fill="FFFFFF"/>
            <w:tcMar>
              <w:top w:w="50" w:type="dxa"/>
              <w:bottom w:w="50" w:type="dxa"/>
              <w:left w:w="90" w:type="dxa"/>
              <w:right w:w="90" w:type="dxa"/>
            </w:tcMar>
          </w:tcPr>
          <w:p>
            <w:pPr>
              <w:spacing w:after="40" w:line="250" w:lineRule="auto"/>
            </w:pPr>
            <w:r>
              <w:rPr>
                <w:rFonts w:ascii="Arial" w:hAnsi="Arial"/>
                <w:b w:val="0"/>
                <w:color w:val="202B35"/>
                <w:sz w:val="21"/>
              </w:rPr>
              <w:t>Qualified route/radio-map adapters, resource admission, manifests and clone workflow.</w:t>
            </w:r>
          </w:p>
        </w:tc>
        <w:tc>
          <w:tcPr>
            <w:tcW w:type="dxa" w:w="4032"/>
            <w:vAlign w:val="center"/>
            <w:shd w:fill="FFFFFF"/>
            <w:tcMar>
              <w:top w:w="50" w:type="dxa"/>
              <w:bottom w:w="50" w:type="dxa"/>
              <w:left w:w="90" w:type="dxa"/>
              <w:right w:w="90" w:type="dxa"/>
            </w:tcMar>
          </w:tcPr>
          <w:p>
            <w:pPr>
              <w:spacing w:after="40" w:line="250" w:lineRule="auto"/>
            </w:pPr>
            <w:r>
              <w:rPr>
                <w:rFonts w:ascii="Arial" w:hAnsi="Arial"/>
                <w:b w:val="0"/>
                <w:color w:val="202B35"/>
                <w:sz w:val="21"/>
              </w:rPr>
              <w:t>Supported candidate changes affect output; reference scenes and lifecycle gates pass.</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R3</w:t>
            </w:r>
          </w:p>
        </w:tc>
        <w:tc>
          <w:tcPr>
            <w:tcW w:type="dxa" w:w="4896"/>
            <w:vAlign w:val="center"/>
            <w:shd w:fill="F1F5F8"/>
            <w:tcMar>
              <w:top w:w="50" w:type="dxa"/>
              <w:bottom w:w="50" w:type="dxa"/>
              <w:left w:w="90" w:type="dxa"/>
              <w:right w:w="90" w:type="dxa"/>
            </w:tcMar>
          </w:tcPr>
          <w:p>
            <w:pPr>
              <w:spacing w:after="40" w:line="250" w:lineRule="auto"/>
            </w:pPr>
            <w:r>
              <w:rPr>
                <w:rFonts w:ascii="Arial" w:hAnsi="Arial"/>
                <w:b w:val="0"/>
                <w:color w:val="202B35"/>
                <w:sz w:val="21"/>
              </w:rPr>
              <w:t>Alignment, held-out calibration, comparable results, review and reports.</w:t>
            </w:r>
          </w:p>
        </w:tc>
        <w:tc>
          <w:tcPr>
            <w:tcW w:type="dxa" w:w="4032"/>
            <w:vAlign w:val="center"/>
            <w:shd w:fill="F1F5F8"/>
            <w:tcMar>
              <w:top w:w="50" w:type="dxa"/>
              <w:bottom w:w="50" w:type="dxa"/>
              <w:left w:w="90" w:type="dxa"/>
              <w:right w:w="90" w:type="dxa"/>
            </w:tcMar>
          </w:tcPr>
          <w:p>
            <w:pPr>
              <w:spacing w:after="40" w:line="250" w:lineRule="auto"/>
            </w:pPr>
            <w:r>
              <w:rPr>
                <w:rFonts w:ascii="Arial" w:hAnsi="Arial"/>
                <w:b w:val="0"/>
                <w:color w:val="202B35"/>
                <w:sz w:val="21"/>
              </w:rPr>
              <w:t>A real pilot study is reproducible and accepted for a declared RF scope.</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R4</w:t>
            </w:r>
          </w:p>
        </w:tc>
        <w:tc>
          <w:tcPr>
            <w:tcW w:type="dxa" w:w="4896"/>
            <w:vAlign w:val="center"/>
            <w:shd w:fill="FFFFFF"/>
            <w:tcMar>
              <w:top w:w="50" w:type="dxa"/>
              <w:bottom w:w="50" w:type="dxa"/>
              <w:left w:w="90" w:type="dxa"/>
              <w:right w:w="90" w:type="dxa"/>
            </w:tcMar>
          </w:tcPr>
          <w:p>
            <w:pPr>
              <w:spacing w:after="40" w:line="250" w:lineRule="auto"/>
            </w:pPr>
            <w:r>
              <w:rPr>
                <w:rFonts w:ascii="Arial" w:hAnsi="Arial"/>
                <w:b w:val="0"/>
                <w:color w:val="202B35"/>
                <w:sz w:val="21"/>
              </w:rPr>
              <w:t>Authenticated service, source adapters, freshness and read-only shadow collection.</w:t>
            </w:r>
          </w:p>
        </w:tc>
        <w:tc>
          <w:tcPr>
            <w:tcW w:type="dxa" w:w="4032"/>
            <w:vAlign w:val="center"/>
            <w:shd w:fill="FFFFFF"/>
            <w:tcMar>
              <w:top w:w="50" w:type="dxa"/>
              <w:bottom w:w="50" w:type="dxa"/>
              <w:left w:w="90" w:type="dxa"/>
              <w:right w:w="90" w:type="dxa"/>
            </w:tcMar>
          </w:tcPr>
          <w:p>
            <w:pPr>
              <w:spacing w:after="40" w:line="250" w:lineRule="auto"/>
            </w:pPr>
            <w:r>
              <w:rPr>
                <w:rFonts w:ascii="Arial" w:hAnsi="Arial"/>
                <w:b w:val="0"/>
                <w:color w:val="202B35"/>
                <w:sz w:val="21"/>
              </w:rPr>
              <w:t>No network writes; identity, access, gaps and restoration are verified.</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R5</w:t>
            </w:r>
          </w:p>
        </w:tc>
        <w:tc>
          <w:tcPr>
            <w:tcW w:type="dxa" w:w="4896"/>
            <w:vAlign w:val="center"/>
            <w:shd w:fill="F1F5F8"/>
            <w:tcMar>
              <w:top w:w="50" w:type="dxa"/>
              <w:bottom w:w="50" w:type="dxa"/>
              <w:left w:w="90" w:type="dxa"/>
              <w:right w:w="90" w:type="dxa"/>
            </w:tcMar>
          </w:tcPr>
          <w:p>
            <w:pPr>
              <w:spacing w:after="40" w:line="250" w:lineRule="auto"/>
            </w:pPr>
            <w:r>
              <w:rPr>
                <w:rFonts w:ascii="Arial" w:hAnsi="Arial"/>
                <w:b w:val="0"/>
                <w:color w:val="202B35"/>
                <w:sz w:val="21"/>
              </w:rPr>
              <w:t>Qualified change adapter, approval, post-change monitoring and rollback.</w:t>
            </w:r>
          </w:p>
        </w:tc>
        <w:tc>
          <w:tcPr>
            <w:tcW w:type="dxa" w:w="4032"/>
            <w:vAlign w:val="center"/>
            <w:shd w:fill="F1F5F8"/>
            <w:tcMar>
              <w:top w:w="50" w:type="dxa"/>
              <w:bottom w:w="50" w:type="dxa"/>
              <w:left w:w="90" w:type="dxa"/>
              <w:right w:w="90" w:type="dxa"/>
            </w:tcMar>
          </w:tcPr>
          <w:p>
            <w:pPr>
              <w:spacing w:after="40" w:line="250" w:lineRule="auto"/>
            </w:pPr>
            <w:r>
              <w:rPr>
                <w:rFonts w:ascii="Arial" w:hAnsi="Arial"/>
                <w:b w:val="0"/>
                <w:color w:val="202B35"/>
                <w:sz w:val="21"/>
              </w:rPr>
              <w:t>Nonproduction change can be reviewed, executed, observed and reversed.</w:t>
            </w:r>
          </w:p>
        </w:tc>
      </w:tr>
    </w:tbl>
    <w:p>
      <w:pPr>
        <w:pStyle w:val="Heading2"/>
      </w:pPr>
      <w:r>
        <w:t>Dependencies and parallel work</w:t>
      </w:r>
    </w:p>
    <w:p>
      <w:r>
        <w:t>Data model and evidence contracts precede route calibration and comparisons. Report layout and read-only result views can develop against schema fixtures while engines are qualified. Shared deployment can start with authentication and repository interfaces, but connected operations wait for source and identity contracts. RF validation needs real antenna, inventory and observation data before acceptance.</w:t>
      </w:r>
    </w:p>
    <w:p>
      <w:pPr>
        <w:pStyle w:val="Heading2"/>
      </w:pPr>
      <w:r>
        <w:t>Definition of done</w:t>
      </w:r>
    </w:p>
    <w:p>
      <w:r>
        <w:t>Each package includes documented input/output schemas, domain validation, API behavior, failure handling, migration impact, tests, source attribution and an updated implementation register. UI delivery includes keyboard/mobile review and actual persisted workflows. Engine delivery includes an independently qualified environment and declared numerical limits.</w:t>
      </w:r>
    </w:p>
    <w:p>
      <w:pPr>
        <w:pStyle w:val="Heading2"/>
      </w:pPr>
      <w:r>
        <w:t>Review responsibilities</w:t>
      </w:r>
    </w:p>
    <w:p>
      <w:r>
        <w:t>A software architect approves interface and storage decisions. Data and backend owners approve migrations and integrity evidence. The RF owner approves metric mappings, reference scenes and calibration scope. Product reviewers validate the engineering task flow with representative users. Operations approves access, backup, collection and eventual control procedures. These are responsibilities to assign, not assumed named staff.</w:t>
      </w:r>
    </w:p>
    <w:p>
      <w:pPr>
        <w:pStyle w:val="Heading2"/>
      </w:pPr>
      <w:r>
        <w:t>Estimation method</w:t>
      </w:r>
    </w:p>
    <w:p>
      <w:pPr>
        <w:keepNext/>
      </w:pPr>
      <w:r>
        <w:t>Estimate bounded tasks after spike evidence resolves engine support, source formats and migration volume. Separate software effort from data acquisition, environment qualification and user/RF review. Track an explicit dependency for unavailable field data; do not compensate by accepting synthetic calibration or by weakening release criteria.</w:t>
      </w:r>
    </w:p>
    <w:p>
      <w:pPr>
        <w:pStyle w:val="Caption"/>
      </w:pPr>
      <w:r>
        <w:t>Source evidence  S02 S03</w:t>
      </w:r>
    </w:p>
    <w:p>
      <w:bookmarkStart w:id="26" w:name="section_26"/>
      <w:pPr>
        <w:pStyle w:val="Heading1"/>
        <w:pageBreakBefore/>
      </w:pPr>
      <w:r>
        <w:t>26 Implementation backlog</w:t>
      </w:r>
      <w:bookmarkEnd w:id="26"/>
    </w:p>
    <w:p>
      <w:r>
        <w:t>The following packages make the proposed architecture concrete. P0 preserves integrity and establishes essential contracts. P1 completes RF decision support. P2 enables connected and specialized operation. Assign owners and estimates when pilot inputs are confirmed.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08"/>
        <w:gridCol w:w="4392"/>
      </w:tblGrid>
      <w:tr>
        <w:trPr>
          <w:cantSplit/>
          <w:tblHeader/>
        </w:trPr>
        <w:tc>
          <w:tcPr>
            <w:tcW w:type="dxa" w:w="936"/>
            <w:vAlign w:val="center"/>
            <w:shd w:fill="16324F"/>
            <w:tcMar>
              <w:top w:w="50" w:type="dxa"/>
              <w:bottom w:w="50" w:type="dxa"/>
              <w:left w:w="90" w:type="dxa"/>
              <w:right w:w="90" w:type="dxa"/>
            </w:tcMar>
          </w:tcPr>
          <w:p>
            <w:pPr>
              <w:spacing w:after="40" w:line="250" w:lineRule="auto"/>
              <w:jc w:val="center"/>
            </w:pPr>
            <w:r>
              <w:rPr>
                <w:rFonts w:ascii="Arial" w:hAnsi="Arial"/>
                <w:b/>
                <w:color w:val="FFFFFF"/>
                <w:sz w:val="21"/>
              </w:rPr>
              <w:t>ID</w:t>
            </w:r>
          </w:p>
        </w:tc>
        <w:tc>
          <w:tcPr>
            <w:tcW w:type="dxa" w:w="4608"/>
            <w:vAlign w:val="center"/>
            <w:shd w:fill="16324F"/>
            <w:tcMar>
              <w:top w:w="50" w:type="dxa"/>
              <w:bottom w:w="50" w:type="dxa"/>
              <w:left w:w="90" w:type="dxa"/>
              <w:right w:w="90" w:type="dxa"/>
            </w:tcMar>
          </w:tcPr>
          <w:p>
            <w:pPr>
              <w:spacing w:after="40" w:line="250" w:lineRule="auto"/>
            </w:pPr>
            <w:r>
              <w:rPr>
                <w:rFonts w:ascii="Arial" w:hAnsi="Arial"/>
                <w:b/>
                <w:color w:val="FFFFFF"/>
                <w:sz w:val="21"/>
              </w:rPr>
              <w:t>Priority and work</w:t>
            </w:r>
          </w:p>
        </w:tc>
        <w:tc>
          <w:tcPr>
            <w:tcW w:type="dxa" w:w="4392"/>
            <w:vAlign w:val="center"/>
            <w:shd w:fill="16324F"/>
            <w:tcMar>
              <w:top w:w="50" w:type="dxa"/>
              <w:bottom w:w="50" w:type="dxa"/>
              <w:left w:w="90" w:type="dxa"/>
              <w:right w:w="90" w:type="dxa"/>
            </w:tcMar>
          </w:tcPr>
          <w:p>
            <w:pPr>
              <w:spacing w:after="40" w:line="250" w:lineRule="auto"/>
            </w:pPr>
            <w:r>
              <w:rPr>
                <w:rFonts w:ascii="Arial" w:hAnsi="Arial"/>
                <w:b/>
                <w:color w:val="FFFFFF"/>
                <w:sz w:val="21"/>
              </w:rPr>
              <w:t>Completion evidence</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SD01</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P0 Define typed project, evidence, study and run ports.</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Adapters replace broad boundary types; current regression gate passes.</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SD02</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P0 Publish schema catalog and canonical byte format.</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JS/Python fixtures verify the same retained digest without reserialization.</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SD03</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P0 Add explicit external identity and carrier model.</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Ambiguous, expired and incompatible associations remain unresolved.</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SD04</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P0 Normalize retained evidence behind repositories.</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Staged migration preserves bytes, values, references and all historical digests.</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SD05</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P0 Add mutation receipts and idempotency.</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Lost-response replay yields one accepted resource and original receipt.</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SD06</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P1 Qualify geometry and antenna scene compiler.</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Transform round-trip and pattern/orientation reference fixtures pass.</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SD07</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P1 Add route and multi-transmitter engine adapters.</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Chunk failures and supported changes are visible; convergence report passes.</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SD08</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P1 Add clone and resource admission.</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Changed options create new identity; exact retry remains unchanged.</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SD09</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P1 Implement alignment and grouped split manifests.</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Spatial/time/signal mismatches and leakage fixtures are rejected.</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SD10</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P1 Add calibration model and acceptance workflow.</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Held-out residual report and scoped RF review are reproducible.</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SD11</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P1 Add comparison, review and report bundle.</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Equivalent arms, denominator, uncertainty and inconclusive cases are covered.</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SD12</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P1 Complete legacy presenter and accessibility migration.</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Persistence parity, keyboard workflow and mobile review pass.</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SD13</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P2 Add authenticated shared profile and leased workers.</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Project isolation, stale-worker fencing and restore tests pass.</w:t>
            </w:r>
          </w:p>
        </w:tc>
      </w:tr>
      <w:tr>
        <w:trPr>
          <w:cantSplit/>
        </w:trPr>
        <w:tc>
          <w:tcPr>
            <w:tcW w:type="dxa" w:w="936"/>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SD14</w:t>
            </w:r>
          </w:p>
        </w:tc>
        <w:tc>
          <w:tcPr>
            <w:tcW w:type="dxa" w:w="460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P2 Add deployment-specific read collectors.</w:t>
            </w:r>
          </w:p>
        </w:tc>
        <w:tc>
          <w:tcPr>
            <w:tcW w:type="dxa" w:w="4392"/>
            <w:vAlign w:val="center"/>
            <w:shd w:fill="F1F5F8"/>
            <w:tcMar>
              <w:top w:w="50" w:type="dxa"/>
              <w:bottom w:w="50" w:type="dxa"/>
              <w:left w:w="90" w:type="dxa"/>
              <w:right w:w="90" w:type="dxa"/>
            </w:tcMar>
          </w:tcPr>
          <w:p>
            <w:pPr>
              <w:spacing w:after="40" w:line="250" w:lineRule="auto"/>
            </w:pPr>
            <w:r>
              <w:rPr>
                <w:rFonts w:ascii="Arial" w:hAnsi="Arial"/>
                <w:b w:val="0"/>
                <w:color w:val="202B35"/>
                <w:sz w:val="21"/>
              </w:rPr>
              <w:t>Freshness, corrections, source outages and read-only boundaries pass.</w:t>
            </w:r>
          </w:p>
        </w:tc>
      </w:tr>
      <w:tr>
        <w:trPr>
          <w:cantSplit/>
        </w:trPr>
        <w:tc>
          <w:tcPr>
            <w:tcW w:type="dxa" w:w="936"/>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SD15</w:t>
            </w:r>
          </w:p>
        </w:tc>
        <w:tc>
          <w:tcPr>
            <w:tcW w:type="dxa" w:w="4608"/>
            <w:vAlign w:val="center"/>
            <w:shd w:fill="FFFFFF"/>
            <w:tcMar>
              <w:top w:w="50" w:type="dxa"/>
              <w:bottom w:w="50" w:type="dxa"/>
              <w:left w:w="90" w:type="dxa"/>
              <w:right w:w="90" w:type="dxa"/>
            </w:tcMar>
          </w:tcPr>
          <w:p>
            <w:pPr>
              <w:spacing w:after="40" w:line="250" w:lineRule="auto"/>
            </w:pPr>
            <w:r>
              <w:rPr>
                <w:rFonts w:ascii="Arial" w:hAnsi="Arial"/>
                <w:b w:val="0"/>
                <w:color w:val="202B35"/>
                <w:sz w:val="21"/>
              </w:rPr>
              <w:t>P2 Add qualified change adapter and rollback.</w:t>
            </w:r>
          </w:p>
        </w:tc>
        <w:tc>
          <w:tcPr>
            <w:tcW w:type="dxa" w:w="4392"/>
            <w:vAlign w:val="center"/>
            <w:shd w:fill="FFFFFF"/>
            <w:tcMar>
              <w:top w:w="50" w:type="dxa"/>
              <w:bottom w:w="50" w:type="dxa"/>
              <w:left w:w="90" w:type="dxa"/>
              <w:right w:w="90" w:type="dxa"/>
            </w:tcMar>
          </w:tcPr>
          <w:p>
            <w:pPr>
              <w:spacing w:after="40" w:line="250" w:lineRule="auto"/>
            </w:pPr>
            <w:r>
              <w:rPr>
                <w:rFonts w:ascii="Arial" w:hAnsi="Arial"/>
                <w:b w:val="0"/>
                <w:color w:val="202B35"/>
                <w:sz w:val="21"/>
              </w:rPr>
              <w:t>Nonproduction approval/precondition/reversal journey is retained.</w:t>
            </w:r>
          </w:p>
        </w:tc>
      </w:tr>
    </w:tbl>
    <w:p>
      <w:pPr>
        <w:pStyle w:val="Heading2"/>
      </w:pPr>
      <w:r>
        <w:t>First development package</w:t>
      </w:r>
    </w:p>
    <w:p>
      <w:r>
        <w:t>Start with SD01, SD02 and SD03 plus a migration spike for SD04. Preserve the existing immutable dataset and study protections while introducing the canonical identity model. In parallel, obtain the real pilot measurement and antenna sources needed to define SD06 through SD11. Finish current workflow regression evidence before moving data storage.</w:t>
      </w:r>
    </w:p>
    <w:p>
      <w:bookmarkStart w:id="27" w:name="section_27"/>
      <w:pPr>
        <w:pStyle w:val="Heading1"/>
        <w:pageBreakBefore/>
      </w:pPr>
      <w:r>
        <w:t>27 Risks open decisions and architecture review</w:t>
      </w:r>
      <w:bookmarkEnd w:id="27"/>
    </w:p>
    <w:p>
      <w:r>
        <w:t>The largest delivery risks concern missing physical evidence and unclear model semantics. Resolve them before estimating an accepted calibration release. Technical migration work can proceed with controlled fixtures, but acceptance still depends on suitable real sources and a qualified execution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456"/>
        <w:gridCol w:w="4104"/>
      </w:tblGrid>
      <w:tr>
        <w:trPr>
          <w:cantSplit/>
          <w:tblHeader/>
        </w:trPr>
        <w:tc>
          <w:tcPr>
            <w:tcW w:type="dxa" w:w="2376"/>
            <w:vAlign w:val="center"/>
            <w:shd w:fill="16324F"/>
            <w:tcMar>
              <w:top w:w="50" w:type="dxa"/>
              <w:bottom w:w="50" w:type="dxa"/>
              <w:left w:w="90" w:type="dxa"/>
              <w:right w:w="90" w:type="dxa"/>
            </w:tcMar>
          </w:tcPr>
          <w:p>
            <w:pPr>
              <w:spacing w:after="40" w:line="250" w:lineRule="auto"/>
            </w:pPr>
            <w:r>
              <w:rPr>
                <w:rFonts w:ascii="Arial" w:hAnsi="Arial"/>
                <w:b/>
                <w:color w:val="FFFFFF"/>
                <w:sz w:val="21"/>
              </w:rPr>
              <w:t>Risk</w:t>
            </w:r>
          </w:p>
        </w:tc>
        <w:tc>
          <w:tcPr>
            <w:tcW w:type="dxa" w:w="3456"/>
            <w:vAlign w:val="center"/>
            <w:shd w:fill="16324F"/>
            <w:tcMar>
              <w:top w:w="50" w:type="dxa"/>
              <w:bottom w:w="50" w:type="dxa"/>
              <w:left w:w="90" w:type="dxa"/>
              <w:right w:w="90" w:type="dxa"/>
            </w:tcMar>
          </w:tcPr>
          <w:p>
            <w:pPr>
              <w:spacing w:after="40" w:line="250" w:lineRule="auto"/>
            </w:pPr>
            <w:r>
              <w:rPr>
                <w:rFonts w:ascii="Arial" w:hAnsi="Arial"/>
                <w:b/>
                <w:color w:val="FFFFFF"/>
                <w:sz w:val="21"/>
              </w:rPr>
              <w:t>Consequence</w:t>
            </w:r>
          </w:p>
        </w:tc>
        <w:tc>
          <w:tcPr>
            <w:tcW w:type="dxa" w:w="4104"/>
            <w:vAlign w:val="center"/>
            <w:shd w:fill="16324F"/>
            <w:tcMar>
              <w:top w:w="50" w:type="dxa"/>
              <w:bottom w:w="50" w:type="dxa"/>
              <w:left w:w="90" w:type="dxa"/>
              <w:right w:w="90" w:type="dxa"/>
            </w:tcMar>
          </w:tcPr>
          <w:p>
            <w:pPr>
              <w:spacing w:after="40" w:line="250" w:lineRule="auto"/>
            </w:pPr>
            <w:r>
              <w:rPr>
                <w:rFonts w:ascii="Arial" w:hAnsi="Arial"/>
                <w:b/>
                <w:color w:val="FFFFFF"/>
                <w:sz w:val="21"/>
              </w:rPr>
              <w:t>Mitigation and owner</w:t>
            </w:r>
          </w:p>
        </w:tc>
      </w:tr>
      <w:tr>
        <w:trPr>
          <w:cantSplit/>
        </w:trPr>
        <w:tc>
          <w:tcPr>
            <w:tcW w:type="dxa" w:w="23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Insufficient pilot sources</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Calibration cannot be accepted.</w:t>
            </w:r>
          </w:p>
        </w:tc>
        <w:tc>
          <w:tcPr>
            <w:tcW w:type="dxa" w:w="41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RF/data owner obtains antenna, inventory and measurement metadata.</w:t>
            </w:r>
          </w:p>
        </w:tc>
      </w:tr>
      <w:tr>
        <w:trPr>
          <w:cantSplit/>
        </w:trPr>
        <w:tc>
          <w:tcPr>
            <w:tcW w:type="dxa" w:w="23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Unknown KPI semantics</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Modeled and measured values may be incomparable.</w:t>
            </w:r>
          </w:p>
        </w:tc>
        <w:tc>
          <w:tcPr>
            <w:tcW w:type="dxa" w:w="41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RF owner defines signal type, aggregation and metric mapping.</w:t>
            </w:r>
          </w:p>
        </w:tc>
      </w:tr>
      <w:tr>
        <w:trPr>
          <w:cantSplit/>
        </w:trPr>
        <w:tc>
          <w:tcPr>
            <w:tcW w:type="dxa" w:w="23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Identity ambiguity</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Samples can attach to the wrong cell.</w:t>
            </w:r>
          </w:p>
        </w:tc>
        <w:tc>
          <w:tcPr>
            <w:tcW w:type="dxa" w:w="41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Data owner retains unresolved alternatives and validity context.</w:t>
            </w:r>
          </w:p>
        </w:tc>
      </w:tr>
      <w:tr>
        <w:trPr>
          <w:cantSplit/>
        </w:trPr>
        <w:tc>
          <w:tcPr>
            <w:tcW w:type="dxa" w:w="23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Large embedded snapshots</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Writes and migration may exceed bounds.</w:t>
            </w:r>
          </w:p>
        </w:tc>
        <w:tc>
          <w:tcPr>
            <w:tcW w:type="dxa" w:w="41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Backend owner normalizes storage and verifies staged migration.</w:t>
            </w:r>
          </w:p>
        </w:tc>
      </w:tr>
      <w:tr>
        <w:trPr>
          <w:cantSplit/>
        </w:trPr>
        <w:tc>
          <w:tcPr>
            <w:tcW w:type="dxa" w:w="23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Engine support mismatch</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A candidate appears evaluated while changes are ignored.</w:t>
            </w:r>
          </w:p>
        </w:tc>
        <w:tc>
          <w:tcPr>
            <w:tcW w:type="dxa" w:w="41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Simulation owner rejects unsupported fields and tests actual effect.</w:t>
            </w:r>
          </w:p>
        </w:tc>
      </w:tr>
      <w:tr>
        <w:trPr>
          <w:cantSplit/>
        </w:trPr>
        <w:tc>
          <w:tcPr>
            <w:tcW w:type="dxa" w:w="23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Numerical drift</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Repeated results differ across versions or hardware.</w:t>
            </w:r>
          </w:p>
        </w:tc>
        <w:tc>
          <w:tcPr>
            <w:tcW w:type="dxa" w:w="41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Simulation owner qualifies profiles and publishes tolerance evidence.</w:t>
            </w:r>
          </w:p>
        </w:tc>
      </w:tr>
      <w:tr>
        <w:trPr>
          <w:cantSplit/>
        </w:trPr>
        <w:tc>
          <w:tcPr>
            <w:tcW w:type="dxa" w:w="2376"/>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Remote service exposure</w:t>
            </w:r>
          </w:p>
        </w:tc>
        <w:tc>
          <w:tcPr>
            <w:tcW w:type="dxa" w:w="3456"/>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Unauthorized evidence or job access.</w:t>
            </w:r>
          </w:p>
        </w:tc>
        <w:tc>
          <w:tcPr>
            <w:tcW w:type="dxa" w:w="41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Platform owner delivers authentication and project isolation before exposure.</w:t>
            </w:r>
          </w:p>
        </w:tc>
      </w:tr>
      <w:tr>
        <w:trPr>
          <w:cantSplit/>
        </w:trPr>
        <w:tc>
          <w:tcPr>
            <w:tcW w:type="dxa" w:w="2376"/>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External partial success</w:t>
            </w:r>
          </w:p>
        </w:tc>
        <w:tc>
          <w:tcPr>
            <w:tcW w:type="dxa" w:w="3456"/>
            <w:vAlign w:val="center"/>
            <w:shd w:fill="F1F5F8"/>
            <w:tcMar>
              <w:top w:w="50" w:type="dxa"/>
              <w:bottom w:w="50" w:type="dxa"/>
              <w:left w:w="90" w:type="dxa"/>
              <w:right w:w="90" w:type="dxa"/>
            </w:tcMar>
          </w:tcPr>
          <w:p>
            <w:pPr>
              <w:spacing w:after="40" w:line="250" w:lineRule="auto"/>
            </w:pPr>
            <w:r>
              <w:rPr>
                <w:rFonts w:ascii="Arial" w:hAnsi="Arial"/>
                <w:b w:val="0"/>
                <w:color w:val="202B35"/>
                <w:sz w:val="21"/>
              </w:rPr>
              <w:t>A change may be applied despite an uncertain response.</w:t>
            </w:r>
          </w:p>
        </w:tc>
        <w:tc>
          <w:tcPr>
            <w:tcW w:type="dxa" w:w="41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Operations owner checks receipts/state and validates reversal.</w:t>
            </w:r>
          </w:p>
        </w:tc>
      </w:tr>
    </w:tbl>
    <w:p>
      <w:pPr>
        <w:pStyle w:val="Heading2"/>
      </w:pPr>
      <w:r>
        <w:t>Decisions required for the first pilot</w:t>
      </w:r>
    </w:p>
    <w:p>
      <w:pPr>
        <w:pStyle w:val="ListBullet"/>
      </w:pPr>
      <w:r>
        <w:t>Choose the accepted objective: weak-zone explanation, coverage improvement, new-site planning or mobility troubleshooting.</w:t>
      </w:r>
    </w:p>
    <w:p>
      <w:pPr>
        <w:pStyle w:val="ListBullet"/>
      </w:pPr>
      <w:r>
        <w:t>Supply actual inventory, antenna patterns, measurement definitions, timestamps and permitted use/retention terms.</w:t>
      </w:r>
    </w:p>
    <w:p>
      <w:pPr>
        <w:pStyle w:val="ListBullet"/>
      </w:pPr>
      <w:r>
        <w:t>Select the initial engine outputs and hardware profile; define the allowed candidate change fields.</w:t>
      </w:r>
    </w:p>
    <w:p>
      <w:pPr>
        <w:pStyle w:val="ListBullet"/>
      </w:pPr>
      <w:r>
        <w:t>Agree on pilot scale, error/coverage policy, reviewer responsibilities and the accepted geographical/time/frequency scope.</w:t>
      </w:r>
    </w:p>
    <w:p>
      <w:pPr>
        <w:pStyle w:val="ListBullet"/>
      </w:pPr>
      <w:r>
        <w:t>Choose whether the next release stays local or needs authenticated shared access; qualify operational interfaces separately.</w:t>
      </w:r>
    </w:p>
    <w:p>
      <w:pPr>
        <w:pStyle w:val="Heading2"/>
      </w:pPr>
      <w:r>
        <w:t>Architecture decision records</w:t>
      </w:r>
    </w:p>
    <w:p>
      <w:r>
        <w:t>Create ADR01 for module/service boundaries, ADR02 for canonical serialization and digests, ADR03 for local/shared persistence, ADR04 for network identity and schema migration, ADR05 for engine capability and RF metric mapping, and ADR06 for worker lifecycle and idempotency. Each record includes alternatives, the selected decision, evidence, consequences and the condition that would trigger reconsideration.</w:t>
      </w:r>
    </w:p>
    <w:p>
      <w:pPr>
        <w:keepNext/>
      </w:pPr>
      <w:r>
        <w:t>Approval of this design establishes software direction and release gates. It does not establish field calibration, operational connectivity or authorization for a production network change.</w:t>
      </w:r>
    </w:p>
    <w:p>
      <w:pPr>
        <w:pStyle w:val="Caption"/>
      </w:pPr>
      <w:r>
        <w:t>Source evidence  S02 S03</w:t>
      </w:r>
    </w:p>
    <w:p>
      <w:bookmarkStart w:id="28" w:name="section_28"/>
      <w:pPr>
        <w:pStyle w:val="Heading1"/>
        <w:pageBreakBefore/>
      </w:pPr>
      <w:r>
        <w:t>Appendix A Proposed schema contracts</w:t>
      </w:r>
      <w:bookmarkEnd w:id="28"/>
    </w:p>
    <w:p>
      <w:r>
        <w:t>These types define proposed versioned boundaries. They are design contracts rather than accepted payloads for the current /api/rt/jobs endpoint. An implementation schema must also enforce numeric bounds, string lengths, references and compatibility rules.</w:t>
      </w:r>
    </w:p>
    <w:p>
      <w:pPr>
        <w:spacing w:before="60" w:after="100" w:line="240" w:lineRule="auto"/>
      </w:pPr>
      <w:r>
        <w:rPr>
          <w:rFonts w:ascii="Courier New" w:hAnsi="Courier New"/>
          <w:sz w:val="19"/>
        </w:rPr>
        <w:t>type Digest = string;  // full SHA 256 hexadecimal value</w:t>
        <w:br/>
        <w:t>type EvidenceOrigin = "synthetic" | "field-measured"</w:t>
        <w:br/>
        <w:t xml:space="preserve">  | "simulation-derived" | "unknown";</w:t>
        <w:br/>
        <w:br/>
        <w:t>type ArtifactRef = {</w:t>
        <w:br/>
        <w:t xml:space="preserve">  id: string; sha256: Digest; mediaType: string;</w:t>
        <w:br/>
        <w:t xml:space="preserve">  byteCount: number; schemaVersion?: number;</w:t>
        <w:br/>
        <w:t>};</w:t>
        <w:br/>
        <w:br/>
        <w:t>type Position = {</w:t>
        <w:br/>
        <w:t xml:space="preserve">  latitudeDeg: number; longitudeDeg: number;</w:t>
        <w:br/>
        <w:t xml:space="preserve">  heightM: number | null;</w:t>
        <w:br/>
        <w:t xml:space="preserve">  heightReference: "ground-relative" | "absolute" | "unknown";</w:t>
        <w:br/>
        <w:t xml:space="preserve">  verticalDatum: string | null; uncertaintyM: number | null;</w:t>
        <w:br/>
        <w:t>};</w:t>
        <w:br/>
        <w:br/>
        <w:t>type MetricDefinition = {</w:t>
        <w:br/>
        <w:t xml:space="preserve">  id: string; version: number; name: string; unit: string;</w:t>
        <w:br/>
        <w:t xml:space="preserve">  signalType: "SS" | "CSI" | "LTE-RS" | "other" | "unknown";</w:t>
        <w:br/>
        <w:t xml:space="preserve">  aggregation: string; direction: "higher" | "lower" | "target";</w:t>
        <w:br/>
        <w:t>};</w:t>
        <w:br/>
        <w:br/>
        <w:t>type ExperimentManifest = {</w:t>
        <w:br/>
        <w:t xml:space="preserve">  schemaVersion: 1; projectId: string; studyVersionId: string;</w:t>
        <w:br/>
        <w:t xml:space="preserve">  networkSnapshotId: string; datasetVersionIds: string[];</w:t>
        <w:br/>
        <w:t xml:space="preserve">  scenarioRevisionId: string | null;</w:t>
        <w:br/>
        <w:t xml:space="preserve">  geometryRef: ArtifactRef; antennaRefs: ArtifactRef[];</w:t>
        <w:br/>
        <w:t xml:space="preserve">  metricDefinitionIds: string[]; engineProfileId: string;</w:t>
        <w:br/>
        <w:t xml:space="preserve">  optionsRef: ArtifactRef; receiverPlanRef: ArtifactRef;</w:t>
        <w:br/>
        <w:t xml:space="preserve">  seedPlanRef: ArtifactRef; inputDigest: Digest;</w:t>
        <w:br/>
        <w:t xml:space="preserve">  acceptancePolicyId: string; preparedAt: string;</w:t>
        <w:br/>
        <w:t>};</w:t>
      </w:r>
    </w:p>
    <w:p>
      <w:pPr>
        <w:pStyle w:val="Heading2"/>
      </w:pPr>
      <w:r>
        <w:t>Schema invariants</w:t>
      </w:r>
    </w:p>
    <w:p>
      <w:r>
        <w:t>IDs must resolve within the project. Time values use UTC ISO 8601 with source timezone retained separately when relevant. Digests refer to exact stored bytes and a named serialization contract. Empty optional values remain null, not invented defaults. A metric definition with unknown signal context may be displayable but is not automatically eligible for calibration.</w:t>
      </w:r>
    </w:p>
    <w:p>
      <w:pPr>
        <w:pStyle w:val="Heading2"/>
      </w:pPr>
      <w:r>
        <w:t>Result and calibration records</w:t>
      </w:r>
    </w:p>
    <w:p>
      <w:r>
        <w:t>A result bundle contains run ID, accepted input digest, actual engine/environment identity, output artifact references, units, receiver or grid definition, available/excluded counts, numerical limits and simulated origin. A calibration record adds matched data, split manifest, parameter bounds, fitted model reference, diagnostics, accepted scope and append-only review decision.</w:t>
      </w:r>
    </w:p>
    <w:p>
      <w:pPr>
        <w:pStyle w:val="Heading2"/>
      </w:pPr>
      <w:r>
        <w:t>Identity and version behavior</w:t>
      </w:r>
    </w:p>
    <w:p>
      <w:r>
        <w:t>Dataset interpretation is part of the dataset version digest. Working selection is a mutable reference outside the immutable dataset. Candidate revisions refer to an unchanged baseline and retain before/after values. A retry references the same experiment manifest; a clone references a new manifest and retains its parent/change explanation.</w:t>
      </w:r>
    </w:p>
    <w:p>
      <w:bookmarkStart w:id="29" w:name="section_29"/>
      <w:pPr>
        <w:pStyle w:val="Heading1"/>
        <w:pageBreakBefore/>
      </w:pPr>
      <w:r>
        <w:t>Appendix B End to end sequences</w:t>
      </w:r>
      <w:bookmarkEnd w:id="29"/>
    </w:p>
    <w:p>
      <w:pPr>
        <w:pStyle w:val="Heading2"/>
      </w:pPr>
      <w:r>
        <w:t>Import and retain a dataset</w:t>
      </w:r>
    </w:p>
    <w:p>
      <w:pPr>
        <w:pStyle w:val="ListBullet"/>
      </w:pPr>
      <w:r>
        <w:t>The browser uploads the original source and selected recipe for bounded review. The service validates bytes and returns a review ID and digest.</w:t>
      </w:r>
    </w:p>
    <w:p>
      <w:pPr>
        <w:pStyle w:val="ListBullet"/>
      </w:pPr>
      <w:r>
        <w:t>The engineer confirms column/unit mapping, origin and quality. Identity associations remain unresolved unless explicitly interpreted.</w:t>
      </w:r>
    </w:p>
    <w:p>
      <w:pPr>
        <w:pStyle w:val="ListBullet"/>
      </w:pPr>
      <w:r>
        <w:t>Commit revalidates the review dependencies and project revision. The artifact store publishes immutable source/normalized content; metadata and the idempotent receipt commit transactionally.</w:t>
      </w:r>
    </w:p>
    <w:p>
      <w:pPr>
        <w:pStyle w:val="ListBullet"/>
      </w:pPr>
      <w:r>
        <w:t>The browser adopts the authoritative version and working selection. Other views reset the sample cursor if dataset content changed while preserving camera and filter preferences.</w:t>
      </w:r>
    </w:p>
    <w:p>
      <w:pPr>
        <w:pStyle w:val="Heading2"/>
      </w:pPr>
      <w:r>
        <w:t>Execute a candidate and recover acceptance</w:t>
      </w:r>
    </w:p>
    <w:p>
      <w:pPr>
        <w:pStyle w:val="ListBullet"/>
      </w:pPr>
      <w:r>
        <w:t>The engineer selects a saved candidate revision. The application resolves its baseline and checks which changes the requested engine can evaluate.</w:t>
      </w:r>
    </w:p>
    <w:p>
      <w:pPr>
        <w:pStyle w:val="ListBullet"/>
      </w:pPr>
      <w:r>
        <w:t>Preflight returns input versions, limits and supported outputs. The browser submits the frozen manifest with a stable idempotency key.</w:t>
      </w:r>
    </w:p>
    <w:p>
      <w:pPr>
        <w:pStyle w:val="ListBullet"/>
      </w:pPr>
      <w:r>
        <w:t>The server rechecks retained references and creates a queued run with the receipt. A worker receives only accepted artifacts and records actual environment identity.</w:t>
      </w:r>
    </w:p>
    <w:p>
      <w:pPr>
        <w:pStyle w:val="ListBullet"/>
      </w:pPr>
      <w:r>
        <w:t>If the response is lost, the browser queries the receipt and accepted run. It does not submit a new run while acceptance is unresolved.</w:t>
      </w:r>
    </w:p>
    <w:p>
      <w:pPr>
        <w:pStyle w:val="ListBullet"/>
      </w:pPr>
      <w:r>
        <w:t>Output validation publishes the result manifest before completion is visible. Cancellation records cancelling and waits for exit; late output is discarded.</w:t>
      </w:r>
    </w:p>
    <w:p>
      <w:pPr>
        <w:pStyle w:val="Heading2"/>
      </w:pPr>
      <w:r>
        <w:t>Calibrate compare and review</w:t>
      </w:r>
    </w:p>
    <w:p>
      <w:pPr>
        <w:pStyle w:val="ListBullet"/>
      </w:pPr>
      <w:r>
        <w:t>The service aligns observation and model versions, retaining matched/excluded IDs and uncertainty. The RF owner approves the grouping and fitting policy.</w:t>
      </w:r>
    </w:p>
    <w:p>
      <w:pPr>
        <w:pStyle w:val="ListBullet"/>
      </w:pPr>
      <w:r>
        <w:t>Training and validation produce a new calibration artifact. The untouched holdout generates diagnostics and a scoped acceptance decision.</w:t>
      </w:r>
    </w:p>
    <w:p>
      <w:pPr>
        <w:pStyle w:val="ListBullet"/>
      </w:pPr>
      <w:r>
        <w:t>Baseline/candidate results pass comparability checks. The comparison retains denominator, paired or matched populations, uncertainty and guardrails.</w:t>
      </w:r>
    </w:p>
    <w:p>
      <w:pPr>
        <w:pStyle w:val="ListBullet"/>
      </w:pPr>
      <w:r>
        <w:t>The reviewer records improvement, regression, no material difference or inconclusive, then publishes a reproducible report bundle.</w:t>
      </w:r>
    </w:p>
    <w:p>
      <w:pPr>
        <w:pStyle w:val="Heading2"/>
      </w:pPr>
      <w:r>
        <w:t>Concurrent save and restart</w:t>
      </w:r>
    </w:p>
    <w:p>
      <w:r>
        <w:t>A stale revision produces 409 and preserves the browser draft. Read-only server comparison identifies conflicting fields; an explicit recovery action decides whether to retry or reload. On restart, the local server marks unowned queued/running/cancelling runs interrupted. Exact retry creates a new linked record from retained input, while the original outcome remains unchanged.</w:t>
      </w:r>
    </w:p>
    <w:p>
      <w:pPr>
        <w:pStyle w:val="Heading2"/>
      </w:pPr>
      <w:r>
        <w:t>Recommended package layout</w:t>
      </w:r>
    </w:p>
    <w:p>
      <w:pPr>
        <w:spacing w:before="60" w:after="100" w:line="240" w:lineRule="auto"/>
      </w:pPr>
      <w:r>
        <w:rPr>
          <w:rFonts w:ascii="Courier New" w:hAnsi="Courier New"/>
          <w:sz w:val="19"/>
        </w:rPr>
        <w:t>src/domain/{network,evidence,study,experiment}</w:t>
        <w:br/>
        <w:t>src/application/{commands,queries,capabilities}</w:t>
        <w:br/>
        <w:t>src/api/{schemas,transport}</w:t>
        <w:br/>
        <w:t>src/features/{study,measurement,planner,results}</w:t>
        <w:br/>
        <w:t>backend/{services,repositories,adapters,workers}</w:t>
      </w:r>
    </w:p>
    <w:p>
      <w:r>
        <w:t>These proposed logical folders can be introduced around existing modules. A directory move alone does not satisfy a design requirement.</w:t>
      </w:r>
    </w:p>
    <w:p>
      <w:bookmarkStart w:id="30" w:name="section_30"/>
      <w:pPr>
        <w:pStyle w:val="Heading1"/>
        <w:pageBreakBefore/>
      </w:pPr>
      <w:r>
        <w:t>Appendix C Acceptance traceability</w:t>
      </w:r>
      <w:bookmarkEnd w:id="30"/>
    </w:p>
    <w:p>
      <w:r>
        <w:t>The matrix defines representative end-to-end acceptance evidence. The full test suite also covers units, bounds, authorization, nulls and failure races. R0 through R5 refer to the release gates in Section 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704"/>
        <w:gridCol w:w="1224"/>
      </w:tblGrid>
      <w:tr>
        <w:trPr>
          <w:cantSplit/>
          <w:tblHeader/>
        </w:trPr>
        <w:tc>
          <w:tcPr>
            <w:tcW w:type="dxa" w:w="1008"/>
            <w:vAlign w:val="center"/>
            <w:shd w:fill="16324F"/>
            <w:tcMar>
              <w:top w:w="50" w:type="dxa"/>
              <w:bottom w:w="50" w:type="dxa"/>
              <w:left w:w="90" w:type="dxa"/>
              <w:right w:w="90" w:type="dxa"/>
            </w:tcMar>
          </w:tcPr>
          <w:p>
            <w:pPr>
              <w:spacing w:after="40" w:line="250" w:lineRule="auto"/>
              <w:jc w:val="center"/>
            </w:pPr>
            <w:r>
              <w:rPr>
                <w:rFonts w:ascii="Arial" w:hAnsi="Arial"/>
                <w:b/>
                <w:color w:val="FFFFFF"/>
                <w:sz w:val="21"/>
              </w:rPr>
              <w:t>ID</w:t>
            </w:r>
          </w:p>
        </w:tc>
        <w:tc>
          <w:tcPr>
            <w:tcW w:type="dxa" w:w="7704"/>
            <w:vAlign w:val="center"/>
            <w:shd w:fill="16324F"/>
            <w:tcMar>
              <w:top w:w="50" w:type="dxa"/>
              <w:bottom w:w="50" w:type="dxa"/>
              <w:left w:w="90" w:type="dxa"/>
              <w:right w:w="90" w:type="dxa"/>
            </w:tcMar>
          </w:tcPr>
          <w:p>
            <w:pPr>
              <w:spacing w:after="40" w:line="250" w:lineRule="auto"/>
            </w:pPr>
            <w:r>
              <w:rPr>
                <w:rFonts w:ascii="Arial" w:hAnsi="Arial"/>
                <w:b/>
                <w:color w:val="FFFFFF"/>
                <w:sz w:val="21"/>
              </w:rPr>
              <w:t>Scenario and pass condition</w:t>
            </w:r>
          </w:p>
        </w:tc>
        <w:tc>
          <w:tcPr>
            <w:tcW w:type="dxa" w:w="1224"/>
            <w:vAlign w:val="center"/>
            <w:shd w:fill="16324F"/>
            <w:tcMar>
              <w:top w:w="50" w:type="dxa"/>
              <w:bottom w:w="50" w:type="dxa"/>
              <w:left w:w="90" w:type="dxa"/>
              <w:right w:w="90" w:type="dxa"/>
            </w:tcMar>
          </w:tcPr>
          <w:p>
            <w:pPr>
              <w:spacing w:after="40" w:line="250" w:lineRule="auto"/>
            </w:pPr>
            <w:r>
              <w:rPr>
                <w:rFonts w:ascii="Arial" w:hAnsi="Arial"/>
                <w:b/>
                <w:color w:val="FFFFFF"/>
                <w:sz w:val="21"/>
              </w:rPr>
              <w:t>Gate</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FR01</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Import mapped partial-KPI CSV; retrieve exact source, replay recipe and retain available counts.</w:t>
            </w:r>
          </w:p>
        </w:tc>
        <w:tc>
          <w:tcPr>
            <w:tcW w:type="dxa" w:w="12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R1</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FR02</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Map source ID/RAT; missing/expired/incompatible targets remain unresolved without source edits.</w:t>
            </w:r>
          </w:p>
        </w:tc>
        <w:tc>
          <w:tcPr>
            <w:tcW w:type="dxa" w:w="12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R1</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FR03</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Attempt overwrite through controller, JSON and HTTP; every path rejects atomically.</w:t>
            </w:r>
          </w:p>
        </w:tc>
        <w:tc>
          <w:tcPr>
            <w:tcW w:type="dxa" w:w="12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R0 R1</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FR04</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Edit/revert RF values; prior revisions and baseline digests remain unchanged.</w:t>
            </w:r>
          </w:p>
        </w:tc>
        <w:tc>
          <w:tcPr>
            <w:tcW w:type="dxa" w:w="12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R0 R1</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FR05</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Unsupported sector change blocks the isotropic path engine with a corrective reason.</w:t>
            </w:r>
          </w:p>
        </w:tc>
        <w:tc>
          <w:tcPr>
            <w:tcW w:type="dxa" w:w="12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R0 R2</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FR06</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Submit frozen route/radio-map inputs; output manifest contains exact versions and actual backend.</w:t>
            </w:r>
          </w:p>
        </w:tc>
        <w:tc>
          <w:tcPr>
            <w:tcW w:type="dxa" w:w="12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R2</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FR07</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Lose receipt, cancel during completion, restart and retry; one acceptance and immutable history remain.</w:t>
            </w:r>
          </w:p>
        </w:tc>
        <w:tc>
          <w:tcPr>
            <w:tcW w:type="dxa" w:w="12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R0 R2</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FR08</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Reject synthetic/semantically mismatched evidence; retain grouped splits and held-out residuals.</w:t>
            </w:r>
          </w:p>
        </w:tc>
        <w:tc>
          <w:tcPr>
            <w:tcW w:type="dxa" w:w="12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R3</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FR09</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Mismatch metric/denominator or missing arm; yield inconclusive with visible exclusions.</w:t>
            </w:r>
          </w:p>
        </w:tc>
        <w:tc>
          <w:tcPr>
            <w:tcW w:type="dxa" w:w="12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R3</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FR10</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Export and reload bundle; every figure and decision resolves to retained inputs and runs.</w:t>
            </w:r>
          </w:p>
        </w:tc>
        <w:tc>
          <w:tcPr>
            <w:tcW w:type="dxa" w:w="12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R3</w:t>
            </w:r>
          </w:p>
        </w:tc>
      </w:tr>
      <w:tr>
        <w:trPr>
          <w:cantSplit/>
        </w:trPr>
        <w:tc>
          <w:tcPr>
            <w:tcW w:type="dxa" w:w="1008"/>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FR11</w:t>
            </w:r>
          </w:p>
        </w:tc>
        <w:tc>
          <w:tcPr>
            <w:tcW w:type="dxa" w:w="77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Duplicate, stale and missing source batches preserve corrections, gaps and health; no writes occur.</w:t>
            </w:r>
          </w:p>
        </w:tc>
        <w:tc>
          <w:tcPr>
            <w:tcW w:type="dxa" w:w="1224"/>
            <w:vAlign w:val="center"/>
            <w:shd w:fill="FFFFFF"/>
            <w:tcMar>
              <w:top w:w="50" w:type="dxa"/>
              <w:bottom w:w="50" w:type="dxa"/>
              <w:left w:w="90" w:type="dxa"/>
              <w:right w:w="90" w:type="dxa"/>
            </w:tcMar>
          </w:tcPr>
          <w:p>
            <w:pPr>
              <w:spacing w:after="40" w:line="250" w:lineRule="auto"/>
            </w:pPr>
            <w:r>
              <w:rPr>
                <w:rFonts w:ascii="Arial" w:hAnsi="Arial"/>
                <w:b w:val="0"/>
                <w:color w:val="202B35"/>
                <w:sz w:val="21"/>
              </w:rPr>
              <w:t>R4</w:t>
            </w:r>
          </w:p>
        </w:tc>
      </w:tr>
      <w:tr>
        <w:trPr>
          <w:cantSplit/>
        </w:trPr>
        <w:tc>
          <w:tcPr>
            <w:tcW w:type="dxa" w:w="1008"/>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FR12</w:t>
            </w:r>
          </w:p>
        </w:tc>
        <w:tc>
          <w:tcPr>
            <w:tcW w:type="dxa" w:w="77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Target drift blocks execution; approved nonproduction change and reversal retain observed receipts.</w:t>
            </w:r>
          </w:p>
        </w:tc>
        <w:tc>
          <w:tcPr>
            <w:tcW w:type="dxa" w:w="1224"/>
            <w:vAlign w:val="center"/>
            <w:shd w:fill="F1F5F8"/>
            <w:tcMar>
              <w:top w:w="50" w:type="dxa"/>
              <w:bottom w:w="50" w:type="dxa"/>
              <w:left w:w="90" w:type="dxa"/>
              <w:right w:w="90" w:type="dxa"/>
            </w:tcMar>
          </w:tcPr>
          <w:p>
            <w:pPr>
              <w:spacing w:after="40" w:line="250" w:lineRule="auto"/>
            </w:pPr>
            <w:r>
              <w:rPr>
                <w:rFonts w:ascii="Arial" w:hAnsi="Arial"/>
                <w:b w:val="0"/>
                <w:color w:val="202B35"/>
                <w:sz w:val="21"/>
              </w:rPr>
              <w:t>R5</w:t>
            </w:r>
          </w:p>
        </w:tc>
      </w:tr>
    </w:tbl>
    <w:p>
      <w:pPr>
        <w:pStyle w:val="Heading2"/>
      </w:pPr>
      <w:r>
        <w:t>Integrity and recovery acceptance</w:t>
      </w:r>
    </w:p>
    <w:p>
      <w:r>
        <w:t>A migration compares old/new source bytes, normalized values, version digests and reference populations. A crash between staging and metadata commit cannot expose missing content. A terminal run cannot change its result or error. A stale worker token cannot publish after lease reassignment. Restore recreates one coherent database/artifact generation.</w:t>
      </w:r>
    </w:p>
    <w:p>
      <w:pPr>
        <w:pStyle w:val="Heading2"/>
      </w:pPr>
      <w:r>
        <w:t>User acceptance</w:t>
      </w:r>
    </w:p>
    <w:p>
      <w:r>
        <w:t>Representative RF engineers must complete evidence import, issue diagnosis, candidate creation, result review and report handoff without losing context or misclassifying provenance. Use the existing synthetic example for interaction testing and a separately sourced physical pilot for model acceptance. Small usability pilots guide revisions; they are not field-accuracy evidence.</w:t>
      </w:r>
    </w:p>
    <w:p>
      <w:bookmarkStart w:id="31" w:name="section_31"/>
      <w:pPr>
        <w:pStyle w:val="Heading1"/>
        <w:pageBreakBefore/>
      </w:pPr>
      <w:r>
        <w:t>Appendix D Source register</w:t>
      </w:r>
      <w:bookmarkEnd w:id="31"/>
    </w:p>
    <w:p>
      <w:r>
        <w:t>Repository evidence was inspected on 2 October 2026 in UI_UX_Mockup_Typescript. The base commit is 46c34d9792fad9934f4ade64d672799c7371efa4; the inspected working tree includes later modifications. Current code and the implementation register take precedence over earlier planning descriptions.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6768"/>
        <w:gridCol w:w="2304"/>
      </w:tblGrid>
      <w:tr>
        <w:trPr>
          <w:cantSplit/>
          <w:tblHeader/>
        </w:trPr>
        <w:tc>
          <w:tcPr>
            <w:tcW w:type="dxa" w:w="864"/>
            <w:vAlign w:val="center"/>
            <w:shd w:fill="16324F"/>
            <w:tcMar>
              <w:top w:w="50" w:type="dxa"/>
              <w:bottom w:w="50" w:type="dxa"/>
              <w:left w:w="90" w:type="dxa"/>
              <w:right w:w="90" w:type="dxa"/>
            </w:tcMar>
          </w:tcPr>
          <w:p>
            <w:pPr>
              <w:spacing w:after="40" w:line="250" w:lineRule="auto"/>
              <w:jc w:val="center"/>
            </w:pPr>
            <w:r>
              <w:rPr>
                <w:rFonts w:ascii="Arial" w:hAnsi="Arial"/>
                <w:b/>
                <w:color w:val="FFFFFF"/>
                <w:sz w:val="21"/>
              </w:rPr>
              <w:t>ID</w:t>
            </w:r>
          </w:p>
        </w:tc>
        <w:tc>
          <w:tcPr>
            <w:tcW w:type="dxa" w:w="6768"/>
            <w:vAlign w:val="center"/>
            <w:shd w:fill="16324F"/>
            <w:tcMar>
              <w:top w:w="50" w:type="dxa"/>
              <w:bottom w:w="50" w:type="dxa"/>
              <w:left w:w="90" w:type="dxa"/>
              <w:right w:w="90" w:type="dxa"/>
            </w:tcMar>
          </w:tcPr>
          <w:p>
            <w:pPr>
              <w:spacing w:after="40" w:line="250" w:lineRule="auto"/>
            </w:pPr>
            <w:r>
              <w:rPr>
                <w:rFonts w:ascii="Arial" w:hAnsi="Arial"/>
                <w:b/>
                <w:color w:val="FFFFFF"/>
                <w:sz w:val="21"/>
              </w:rPr>
              <w:t>Repository path</w:t>
            </w:r>
          </w:p>
        </w:tc>
        <w:tc>
          <w:tcPr>
            <w:tcW w:type="dxa" w:w="2304"/>
            <w:vAlign w:val="center"/>
            <w:shd w:fill="16324F"/>
            <w:tcMar>
              <w:top w:w="50" w:type="dxa"/>
              <w:bottom w:w="50" w:type="dxa"/>
              <w:left w:w="90" w:type="dxa"/>
              <w:right w:w="90" w:type="dxa"/>
            </w:tcMar>
          </w:tcPr>
          <w:p>
            <w:pPr>
              <w:spacing w:after="40" w:line="250" w:lineRule="auto"/>
            </w:pPr>
            <w:r>
              <w:rPr>
                <w:rFonts w:ascii="Arial" w:hAnsi="Arial"/>
                <w:b/>
                <w:color w:val="FFFFFF"/>
                <w:sz w:val="21"/>
              </w:rPr>
              <w:t>Digest prefix</w:t>
            </w:r>
          </w:p>
        </w:tc>
      </w:tr>
      <w:tr>
        <w:trPr>
          <w:cantSplit/>
        </w:trPr>
        <w:tc>
          <w:tcPr>
            <w:tcW w:type="dxa" w:w="864"/>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S01</w:t>
            </w:r>
          </w:p>
        </w:tc>
        <w:tc>
          <w:tcPr>
            <w:tcW w:type="dxa" w:w="67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README.md</w:t>
            </w:r>
          </w:p>
        </w:tc>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e58da14ca010</w:t>
            </w:r>
          </w:p>
        </w:tc>
      </w:tr>
      <w:tr>
        <w:trPr>
          <w:cantSplit/>
        </w:trPr>
        <w:tc>
          <w:tcPr>
            <w:tcW w:type="dxa" w:w="864"/>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S02</w:t>
            </w:r>
          </w:p>
        </w:tc>
        <w:tc>
          <w:tcPr>
            <w:tcW w:type="dxa" w:w="67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docs/ran-digital-twin-enhancement-plan.md</w:t>
            </w:r>
          </w:p>
        </w:tc>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bba7181d80cf</w:t>
            </w:r>
          </w:p>
        </w:tc>
      </w:tr>
      <w:tr>
        <w:trPr>
          <w:cantSplit/>
        </w:trPr>
        <w:tc>
          <w:tcPr>
            <w:tcW w:type="dxa" w:w="864"/>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S03</w:t>
            </w:r>
          </w:p>
        </w:tc>
        <w:tc>
          <w:tcPr>
            <w:tcW w:type="dxa" w:w="67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docs/ran-enhancement-implementation.md</w:t>
            </w:r>
          </w:p>
        </w:tc>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8777962f0bc7</w:t>
            </w:r>
          </w:p>
        </w:tc>
      </w:tr>
      <w:tr>
        <w:trPr>
          <w:cantSplit/>
        </w:trPr>
        <w:tc>
          <w:tcPr>
            <w:tcW w:type="dxa" w:w="864"/>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S04</w:t>
            </w:r>
          </w:p>
        </w:tc>
        <w:tc>
          <w:tcPr>
            <w:tcW w:type="dxa" w:w="67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src/app/AppController.ts</w:t>
            </w:r>
          </w:p>
        </w:tc>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7662cc81765c</w:t>
            </w:r>
          </w:p>
        </w:tc>
      </w:tr>
      <w:tr>
        <w:trPr>
          <w:cantSplit/>
        </w:trPr>
        <w:tc>
          <w:tcPr>
            <w:tcW w:type="dxa" w:w="864"/>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S05</w:t>
            </w:r>
          </w:p>
        </w:tc>
        <w:tc>
          <w:tcPr>
            <w:tcW w:type="dxa" w:w="67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storage.py</w:t>
            </w:r>
          </w:p>
        </w:tc>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adc8821414ac</w:t>
            </w:r>
          </w:p>
        </w:tc>
      </w:tr>
      <w:tr>
        <w:trPr>
          <w:cantSplit/>
        </w:trPr>
        <w:tc>
          <w:tcPr>
            <w:tcW w:type="dxa" w:w="864"/>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S06</w:t>
            </w:r>
          </w:p>
        </w:tc>
        <w:tc>
          <w:tcPr>
            <w:tcW w:type="dxa" w:w="67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serve.py</w:t>
            </w:r>
          </w:p>
        </w:tc>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8cb7010dfe4f</w:t>
            </w:r>
          </w:p>
        </w:tc>
      </w:tr>
      <w:tr>
        <w:trPr>
          <w:cantSplit/>
        </w:trPr>
        <w:tc>
          <w:tcPr>
            <w:tcW w:type="dxa" w:w="864"/>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S07</w:t>
            </w:r>
          </w:p>
        </w:tc>
        <w:tc>
          <w:tcPr>
            <w:tcW w:type="dxa" w:w="67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drive_storage.py</w:t>
            </w:r>
          </w:p>
        </w:tc>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6b0d9b68208d</w:t>
            </w:r>
          </w:p>
        </w:tc>
      </w:tr>
      <w:tr>
        <w:trPr>
          <w:cantSplit/>
        </w:trPr>
        <w:tc>
          <w:tcPr>
            <w:tcW w:type="dxa" w:w="864"/>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S08</w:t>
            </w:r>
          </w:p>
        </w:tc>
        <w:tc>
          <w:tcPr>
            <w:tcW w:type="dxa" w:w="67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measurement_storage.py</w:t>
            </w:r>
          </w:p>
        </w:tc>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97a33909f16e</w:t>
            </w:r>
          </w:p>
        </w:tc>
      </w:tr>
      <w:tr>
        <w:trPr>
          <w:cantSplit/>
        </w:trPr>
        <w:tc>
          <w:tcPr>
            <w:tcW w:type="dxa" w:w="864"/>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S09</w:t>
            </w:r>
          </w:p>
        </w:tc>
        <w:tc>
          <w:tcPr>
            <w:tcW w:type="dxa" w:w="67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study_run.py</w:t>
            </w:r>
          </w:p>
        </w:tc>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d6ffca6375ef</w:t>
            </w:r>
          </w:p>
        </w:tc>
      </w:tr>
      <w:tr>
        <w:trPr>
          <w:cantSplit/>
        </w:trPr>
        <w:tc>
          <w:tcPr>
            <w:tcW w:type="dxa" w:w="864"/>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S10</w:t>
            </w:r>
          </w:p>
        </w:tc>
        <w:tc>
          <w:tcPr>
            <w:tcW w:type="dxa" w:w="67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docs/frontend-refactoring-design.md</w:t>
            </w:r>
          </w:p>
        </w:tc>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326e15f14489</w:t>
            </w:r>
          </w:p>
        </w:tc>
      </w:tr>
      <w:tr>
        <w:trPr>
          <w:cantSplit/>
        </w:trPr>
        <w:tc>
          <w:tcPr>
            <w:tcW w:type="dxa" w:w="864"/>
            <w:vAlign w:val="center"/>
            <w:shd w:fill="FFFFFF"/>
            <w:tcMar>
              <w:top w:w="50" w:type="dxa"/>
              <w:bottom w:w="50" w:type="dxa"/>
              <w:left w:w="90" w:type="dxa"/>
              <w:right w:w="90" w:type="dxa"/>
            </w:tcMar>
          </w:tcPr>
          <w:p>
            <w:pPr>
              <w:spacing w:after="40" w:line="250" w:lineRule="auto"/>
              <w:jc w:val="center"/>
            </w:pPr>
            <w:r>
              <w:rPr>
                <w:rFonts w:ascii="Arial" w:hAnsi="Arial"/>
                <w:b w:val="0"/>
                <w:color w:val="202B35"/>
                <w:sz w:val="21"/>
              </w:rPr>
              <w:t>S11</w:t>
            </w:r>
          </w:p>
        </w:tc>
        <w:tc>
          <w:tcPr>
            <w:tcW w:type="dxa" w:w="6768"/>
            <w:vAlign w:val="center"/>
            <w:shd w:fill="FFFFFF"/>
            <w:tcMar>
              <w:top w:w="50" w:type="dxa"/>
              <w:bottom w:w="50" w:type="dxa"/>
              <w:left w:w="90" w:type="dxa"/>
              <w:right w:w="90" w:type="dxa"/>
            </w:tcMar>
          </w:tcPr>
          <w:p>
            <w:pPr>
              <w:spacing w:after="40" w:line="250" w:lineRule="auto"/>
            </w:pPr>
            <w:r>
              <w:rPr>
                <w:rFonts w:ascii="Arial" w:hAnsi="Arial"/>
                <w:b w:val="0"/>
                <w:color w:val="202B35"/>
                <w:sz w:val="21"/>
              </w:rPr>
              <w:t>src/features/city-map/ProjectMapSession.ts</w:t>
            </w:r>
          </w:p>
        </w:tc>
        <w:tc>
          <w:tcPr>
            <w:tcW w:type="dxa" w:w="2304"/>
            <w:vAlign w:val="center"/>
            <w:shd w:fill="FFFFFF"/>
            <w:tcMar>
              <w:top w:w="50" w:type="dxa"/>
              <w:bottom w:w="50" w:type="dxa"/>
              <w:left w:w="90" w:type="dxa"/>
              <w:right w:w="90" w:type="dxa"/>
            </w:tcMar>
          </w:tcPr>
          <w:p>
            <w:pPr>
              <w:spacing w:after="40" w:line="250" w:lineRule="auto"/>
            </w:pPr>
            <w:r>
              <w:rPr>
                <w:rFonts w:ascii="Arial" w:hAnsi="Arial"/>
                <w:b w:val="0"/>
                <w:color w:val="202B35"/>
                <w:sz w:val="21"/>
              </w:rPr>
              <w:t>1ed1392cb330</w:t>
            </w:r>
          </w:p>
        </w:tc>
      </w:tr>
      <w:tr>
        <w:trPr>
          <w:cantSplit/>
        </w:trPr>
        <w:tc>
          <w:tcPr>
            <w:tcW w:type="dxa" w:w="864"/>
            <w:vAlign w:val="center"/>
            <w:shd w:fill="F1F5F8"/>
            <w:tcMar>
              <w:top w:w="50" w:type="dxa"/>
              <w:bottom w:w="50" w:type="dxa"/>
              <w:left w:w="90" w:type="dxa"/>
              <w:right w:w="90" w:type="dxa"/>
            </w:tcMar>
          </w:tcPr>
          <w:p>
            <w:pPr>
              <w:spacing w:after="40" w:line="250" w:lineRule="auto"/>
              <w:jc w:val="center"/>
            </w:pPr>
            <w:r>
              <w:rPr>
                <w:rFonts w:ascii="Arial" w:hAnsi="Arial"/>
                <w:b w:val="0"/>
                <w:color w:val="202B35"/>
                <w:sz w:val="21"/>
              </w:rPr>
              <w:t>S12</w:t>
            </w:r>
          </w:p>
        </w:tc>
        <w:tc>
          <w:tcPr>
            <w:tcW w:type="dxa" w:w="6768"/>
            <w:vAlign w:val="center"/>
            <w:shd w:fill="F1F5F8"/>
            <w:tcMar>
              <w:top w:w="50" w:type="dxa"/>
              <w:bottom w:w="50" w:type="dxa"/>
              <w:left w:w="90" w:type="dxa"/>
              <w:right w:w="90" w:type="dxa"/>
            </w:tcMar>
          </w:tcPr>
          <w:p>
            <w:pPr>
              <w:spacing w:after="40" w:line="250" w:lineRule="auto"/>
            </w:pPr>
            <w:r>
              <w:rPr>
                <w:rFonts w:ascii="Arial" w:hAnsi="Arial"/>
                <w:b w:val="0"/>
                <w:color w:val="202B35"/>
                <w:sz w:val="21"/>
              </w:rPr>
              <w:t>package.json</w:t>
            </w:r>
          </w:p>
        </w:tc>
        <w:tc>
          <w:tcPr>
            <w:tcW w:type="dxa" w:w="2304"/>
            <w:vAlign w:val="center"/>
            <w:shd w:fill="F1F5F8"/>
            <w:tcMar>
              <w:top w:w="50" w:type="dxa"/>
              <w:bottom w:w="50" w:type="dxa"/>
              <w:left w:w="90" w:type="dxa"/>
              <w:right w:w="90" w:type="dxa"/>
            </w:tcMar>
          </w:tcPr>
          <w:p>
            <w:pPr>
              <w:spacing w:after="40" w:line="250" w:lineRule="auto"/>
            </w:pPr>
            <w:r>
              <w:rPr>
                <w:rFonts w:ascii="Arial" w:hAnsi="Arial"/>
                <w:b w:val="0"/>
                <w:color w:val="202B35"/>
                <w:sz w:val="21"/>
              </w:rPr>
              <w:t>9ff83d15123c</w:t>
            </w:r>
          </w:p>
        </w:tc>
      </w:tr>
    </w:tbl>
    <w:p>
      <w:pPr>
        <w:pStyle w:val="Caption"/>
        <w:spacing w:before="80"/>
      </w:pPr>
      <w:r>
        <w:t>Digest prefixes identify the inspected files in this register. Integrity validation in the application uses full SHA-256 values over retained content. Source labels used in sections refer to the records above; they do not imply that proposed requirements are already implemented.</w:t>
      </w:r>
    </w:p>
    <w:p>
      <w:pPr>
        <w:pStyle w:val="Heading2"/>
      </w:pPr>
      <w:r>
        <w:t>Official technical references</w:t>
      </w:r>
    </w:p>
    <w:p>
      <w:hyperlink r:id="rId13">
        <w:r>
          <w:rPr>
            <w:color w:val="16324F"/>
          </w:rPr>
          <w:t>E01 Sionna RT introduction and solver concepts</w:t>
        </w:r>
      </w:hyperlink>
    </w:p>
    <w:p>
      <w:hyperlink r:id="rId14">
        <w:r>
          <w:rPr>
            <w:color w:val="16324F"/>
          </w:rPr>
          <w:t>E02 NVIDIA Aerial Digital Twin 1.2 simulation modes</w:t>
        </w:r>
      </w:hyperlink>
    </w:p>
    <w:p>
      <w:hyperlink r:id="rId15">
        <w:r>
          <w:rPr>
            <w:color w:val="16324F"/>
          </w:rPr>
          <w:t>E03 RFC 7946 GeoJSON geographic coordinates</w:t>
        </w:r>
      </w:hyperlink>
    </w:p>
    <w:p>
      <w:hyperlink r:id="rId16">
        <w:r>
          <w:rPr>
            <w:color w:val="16324F"/>
          </w:rPr>
          <w:t>E04 SQLite online backup API</w:t>
        </w:r>
      </w:hyperlink>
    </w:p>
    <w:p>
      <w:hyperlink r:id="rId17">
        <w:r>
          <w:rPr>
            <w:color w:val="16324F"/>
          </w:rPr>
          <w:t>E05 ETSI TS 138 215 V18.3.0 NR measurements</w:t>
        </w:r>
      </w:hyperlink>
    </w:p>
    <w:p>
      <w:r>
        <w:t>External references were checked on 2 October 2026. E01 currently renders as Sionna 2.2.0 documentation, while the repository documents a tested Sionna-RT 2.1.0 environment. Qualify behavior against the pinned runtime before adoption. E02 is an archived 1.2.0 edition and E05 is Release 18 from August 2024; neither is presented as the latest applicable standard.</w:t>
      </w:r>
    </w:p>
    <w:p>
      <w:bookmarkStart w:id="32" w:name="section_32"/>
      <w:pPr>
        <w:pStyle w:val="Heading1"/>
        <w:pageBreakBefore/>
      </w:pPr>
      <w:r>
        <w:t>Appendix E Glossary and design review checklist</w:t>
      </w:r>
      <w:bookmarkEnd w:id="3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vAlign w:val="center"/>
            <w:shd w:fill="16324F"/>
            <w:tcMar>
              <w:top w:w="50" w:type="dxa"/>
              <w:bottom w:w="50" w:type="dxa"/>
              <w:left w:w="90" w:type="dxa"/>
              <w:right w:w="90" w:type="dxa"/>
            </w:tcMar>
          </w:tcPr>
          <w:p>
            <w:pPr>
              <w:spacing w:after="40" w:line="250" w:lineRule="auto"/>
            </w:pPr>
            <w:r>
              <w:rPr>
                <w:rFonts w:ascii="Arial" w:hAnsi="Arial"/>
                <w:b/>
                <w:color w:val="FFFFFF"/>
                <w:sz w:val="21"/>
              </w:rPr>
              <w:t>Term</w:t>
            </w:r>
          </w:p>
        </w:tc>
        <w:tc>
          <w:tcPr>
            <w:tcW w:type="dxa" w:w="7488"/>
            <w:vAlign w:val="center"/>
            <w:shd w:fill="16324F"/>
            <w:tcMar>
              <w:top w:w="50" w:type="dxa"/>
              <w:bottom w:w="50" w:type="dxa"/>
              <w:left w:w="90" w:type="dxa"/>
              <w:right w:w="90" w:type="dxa"/>
            </w:tcMar>
          </w:tcPr>
          <w:p>
            <w:pPr>
              <w:spacing w:after="40" w:line="250" w:lineRule="auto"/>
            </w:pPr>
            <w:r>
              <w:rPr>
                <w:rFonts w:ascii="Arial" w:hAnsi="Arial"/>
                <w:b/>
                <w:color w:val="FFFFFF"/>
                <w:sz w:val="21"/>
              </w:rPr>
              <w:t>Meaning in this design</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Baseline</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Immutable study definition and captured engineering inputs.</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Candidate</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Versioned proposed changes against one retained baseline.</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Capability</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Evidence-backed permission to perform a specific supported action.</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Calibration</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Fitting and held-out evaluation of declared model parameters against suitable physical evidence.</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Comparison</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Assessment of compatible retained outputs under one study policy and denominator.</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Dataset interpretation</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Versioned meaning or identity associations applied without rewriting observations.</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EM</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Electromagnetic propagation modeling; it does not by itself execute RAN protocols.</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Engine profile</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Qualified inputs, outputs, versions, numerical settings and resource limits.</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Evidence origin</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Whether data are synthetic, field-measured, simulation-derived or unknown.</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Exact retry</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A new linked run using the original retained manifest and options.</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Frozen input</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Accepted immutable bytes and references used by a run.</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Input digest</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Content identity; it does not establish physical accuracy or authorization.</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RAT</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Radio access technology, such as LTE or NR.</w:t>
            </w:r>
          </w:p>
        </w:tc>
      </w:tr>
      <w:tr>
        <w:trPr>
          <w:cantSplit/>
        </w:trPr>
        <w:tc>
          <w:tcPr>
            <w:tcW w:type="dxa" w:w="2448"/>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Review outcome</w:t>
            </w:r>
          </w:p>
        </w:tc>
        <w:tc>
          <w:tcPr>
            <w:tcW w:type="dxa" w:w="7488"/>
            <w:vAlign w:val="center"/>
            <w:shd w:fill="F1F5F8"/>
            <w:tcMar>
              <w:top w:w="50" w:type="dxa"/>
              <w:bottom w:w="50" w:type="dxa"/>
              <w:left w:w="90" w:type="dxa"/>
              <w:right w:w="90" w:type="dxa"/>
            </w:tcMar>
          </w:tcPr>
          <w:p>
            <w:pPr>
              <w:spacing w:after="40" w:line="250" w:lineRule="auto"/>
            </w:pPr>
            <w:r>
              <w:rPr>
                <w:rFonts w:ascii="Arial" w:hAnsi="Arial"/>
                <w:b w:val="0"/>
                <w:color w:val="202B35"/>
                <w:sz w:val="21"/>
              </w:rPr>
              <w:t>Recorded engineering decision with rationale and acceptance scope.</w:t>
            </w:r>
          </w:p>
        </w:tc>
      </w:tr>
      <w:tr>
        <w:trPr>
          <w:cantSplit/>
        </w:trPr>
        <w:tc>
          <w:tcPr>
            <w:tcW w:type="dxa" w:w="2448"/>
            <w:vAlign w:val="center"/>
            <w:shd w:fill="FFFFFF"/>
            <w:tcMar>
              <w:top w:w="50" w:type="dxa"/>
              <w:bottom w:w="50" w:type="dxa"/>
              <w:left w:w="90" w:type="dxa"/>
              <w:right w:w="90" w:type="dxa"/>
            </w:tcMar>
          </w:tcPr>
          <w:p>
            <w:pPr>
              <w:spacing w:after="40" w:line="250" w:lineRule="auto"/>
            </w:pPr>
            <w:r>
              <w:rPr>
                <w:rFonts w:ascii="Arial" w:hAnsi="Arial"/>
                <w:b w:val="0"/>
                <w:color w:val="202B35"/>
                <w:sz w:val="21"/>
              </w:rPr>
              <w:t>Verification</w:t>
            </w:r>
          </w:p>
        </w:tc>
        <w:tc>
          <w:tcPr>
            <w:tcW w:type="dxa" w:w="7488"/>
            <w:vAlign w:val="center"/>
            <w:shd w:fill="FFFFFF"/>
            <w:tcMar>
              <w:top w:w="50" w:type="dxa"/>
              <w:bottom w:w="50" w:type="dxa"/>
              <w:left w:w="90" w:type="dxa"/>
              <w:right w:w="90" w:type="dxa"/>
            </w:tcMar>
          </w:tcPr>
          <w:p>
            <w:pPr>
              <w:spacing w:after="40" w:line="250" w:lineRule="auto"/>
            </w:pPr>
            <w:r>
              <w:rPr>
                <w:rFonts w:ascii="Arial" w:hAnsi="Arial"/>
                <w:b w:val="0"/>
                <w:color w:val="202B35"/>
                <w:sz w:val="21"/>
              </w:rPr>
              <w:t>Independent quality or acceptance status scoped to declared evidence.</w:t>
            </w:r>
          </w:p>
        </w:tc>
      </w:tr>
    </w:tbl>
    <w:p>
      <w:pPr>
        <w:pStyle w:val="Heading2"/>
      </w:pPr>
      <w:r>
        <w:t>Before implementation approval</w:t>
      </w:r>
    </w:p>
    <w:p>
      <w:pPr>
        <w:pStyle w:val="ListBullet"/>
      </w:pPr>
      <w:r>
        <w:t>Confirm the first pilot objective, source access, allowed use, initial engine outputs and reference hardware.</w:t>
      </w:r>
    </w:p>
    <w:p>
      <w:pPr>
        <w:pStyle w:val="ListBullet"/>
      </w:pPr>
      <w:r>
        <w:t>Assign RF, data, architecture, product and operational reviewers for the release gates.</w:t>
      </w:r>
    </w:p>
    <w:p>
      <w:pPr>
        <w:pStyle w:val="ListBullet"/>
      </w:pPr>
      <w:r>
        <w:t>Approve canonical schemas, serialization, identity rules and migration/rollback contracts.</w:t>
      </w:r>
    </w:p>
    <w:p>
      <w:pPr>
        <w:pStyle w:val="ListBullet"/>
      </w:pPr>
      <w:r>
        <w:t>Agree on metric definitions, comparison denominators, holdout grouping and acceptance policy before fitting.</w:t>
      </w:r>
    </w:p>
    <w:p>
      <w:pPr>
        <w:pStyle w:val="ListBullet"/>
      </w:pPr>
      <w:r>
        <w:t>Approve measured performance budgets and capacity changes only after representative load results exist.</w:t>
      </w:r>
    </w:p>
    <w:p>
      <w:pPr>
        <w:pStyle w:val="Heading2"/>
      </w:pPr>
      <w:r>
        <w:t>Before release approval</w:t>
      </w:r>
    </w:p>
    <w:p>
      <w:r>
        <w:t>Confirm that the relevant R0 through R5 gate has dated implementation evidence. Verify historical input integrity, source-byte retrieval, conflict recovery, numerical qualification and report reproducibility. Confirm keyboard/mobile usability and coherent restoration. Connected collection and network-changing capabilities require their own deployment evidence and permissions.</w:t>
      </w:r>
    </w:p>
    <w:sectPr w:rsidR="00FC693F" w:rsidRPr="0006063C" w:rsidSect="00034616">
      <w:headerReference w:type="default" r:id="rId9"/>
      <w:footerReference w:type="default" r:id="rId10"/>
      <w:pgSz w:w="12240" w:h="15840"/>
      <w:pgMar w:top="936" w:right="1008" w:bottom="936" w:left="1008"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ATLAS RAN TWIN   SOFTWARE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rial" w:hAnsi="Arial"/>
      <w:color w:val="202B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pPr>
    <w:rPr>
      <w:rFonts w:asciiTheme="majorHAnsi" w:eastAsiaTheme="majorEastAsia" w:hAnsiTheme="majorHAnsi" w:cstheme="majorBidi" w:ascii="Arial" w:hAnsi="Arial"/>
      <w:b w:val="0"/>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80" w:line="254" w:lineRule="auto"/>
    </w:pPr>
    <w:rPr>
      <w:rFonts w:ascii="Arial" w:hAnsi="Arial"/>
      <w:color w:val="202B35"/>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4" w:lineRule="auto"/>
      <w:contextualSpacing/>
    </w:pPr>
    <w:rPr>
      <w:rFonts w:ascii="Arial" w:hAnsi="Arial"/>
      <w:color w:val="202B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4" w:lineRule="auto"/>
      <w:contextualSpacing/>
    </w:pPr>
    <w:rPr>
      <w:rFonts w:ascii="Arial" w:hAnsi="Arial"/>
      <w:color w:val="202B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4" w:lineRule="auto" w:after="80"/>
    </w:pPr>
    <w:rPr>
      <w:rFonts w:ascii="Arial" w:hAnsi="Arial"/>
      <w:b w:val="0"/>
      <w:bCs/>
      <w:color w:val="5365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nvlabs.github.io/sionna/rt/tutorials/Introduction.html" TargetMode="External"/><Relationship Id="rId14" Type="http://schemas.openxmlformats.org/officeDocument/2006/relationships/hyperlink" Target="https://docs.nvidia.com/aerial/aerial-dt/archive/1.2.0/text/ran_digital_twin.html" TargetMode="External"/><Relationship Id="rId15" Type="http://schemas.openxmlformats.org/officeDocument/2006/relationships/hyperlink" Target="https://www.rfc-editor.org/rfc/rfc7946" TargetMode="External"/><Relationship Id="rId16" Type="http://schemas.openxmlformats.org/officeDocument/2006/relationships/hyperlink" Target="https://www.sqlite.org/backup.html" TargetMode="External"/><Relationship Id="rId17" Type="http://schemas.openxmlformats.org/officeDocument/2006/relationships/hyperlink" Target="https://www.etsi.org/deliver/etsi_ts/138200_138299/138215/18.03.00_60/ts_138215v180300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RAN Twin Software Design for Further Development</dc:title>
  <dc:subject>Architecture and implementation contracts for the next development phases</dc:subject>
  <dc:creator>Atlas RAN Twin project</dc:creator>
  <cp:keywords>RAN digital twin, software design, RF validation,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