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tbl>
      <w:tblPr>
        <w:tblW w:type="auto" w:w="0"/>
        <w:jc w:val="center"/>
        <w:tblLook w:firstColumn="1" w:firstRow="1" w:lastColumn="0" w:lastRow="0" w:noHBand="0" w:noVBand="1" w:val="04A0"/>
      </w:tblPr>
      <w:tblGrid>
        <w:gridCol w:w="9866"/>
      </w:tblGrid>
      <w:tr>
        <w:tc>
          <w:tcPr>
            <w:tcW w:type="dxa" w:w="9866"/>
            <w:shd w:fill="1D3155"/>
            <w:tcMar>
              <w:top w:w="500" w:type="dxa"/>
              <w:start w:w="450" w:type="dxa"/>
              <w:bottom w:w="500" w:type="dxa"/>
              <w:end w:w="450" w:type="dxa"/>
            </w:tcMar>
          </w:tcPr>
          <w:p>
            <w:r>
              <w:rPr>
                <w:rFonts w:ascii="Arial" w:hAnsi="Arial" w:eastAsia="Arial" w:cs="Arial"/>
                <w:b/>
                <w:color w:val="29B5E8"/>
                <w:sz w:val="26"/>
              </w:rPr>
              <w:t>ICLO × SNOWFLAKE</w:t>
              <w:br/>
            </w:r>
            <w:r>
              <w:br/>
            </w:r>
            <w:r>
              <w:rPr>
                <w:rFonts w:ascii="Arial" w:hAnsi="Arial" w:eastAsia="Arial" w:cs="Arial"/>
                <w:b/>
                <w:color w:val="FFFFFF"/>
                <w:sz w:val="50"/>
              </w:rPr>
              <w:t>U.S. Self-Funded Employer</w:t>
              <w:br/>
              <w:t>Dental-Benefit PoC</w:t>
              <w:br/>
            </w:r>
            <w:r>
              <w:br/>
            </w:r>
            <w:r>
              <w:rPr>
                <w:rFonts w:ascii="Arial" w:hAnsi="Arial" w:eastAsia="Arial" w:cs="Arial"/>
                <w:b w:val="0"/>
                <w:color w:val="FFFFFF"/>
                <w:sz w:val="24"/>
              </w:rPr>
              <w:t>Snowflake HLS GTM &amp; Architecture Joint-Validation Proposal</w:t>
              <w:br/>
            </w:r>
            <w:r>
              <w:br/>
            </w:r>
            <w:r>
              <w:rPr>
                <w:rFonts w:ascii="Arial" w:hAnsi="Arial" w:eastAsia="Arial" w:cs="Arial"/>
                <w:b w:val="0"/>
                <w:color w:val="29B5E8"/>
                <w:sz w:val="20"/>
              </w:rPr>
              <w:t>August 2026</w:t>
            </w:r>
          </w:p>
        </w:tc>
      </w:tr>
    </w:tbl>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Arial" w:hAnsi="Arial" w:eastAsia="Arial" w:cs="Arial"/>
                <w:b/>
                <w:color w:val="FFFFFF"/>
                <w:sz w:val="18"/>
              </w:rPr>
              <w:t>POSITIONING</w:t>
            </w:r>
          </w:p>
        </w:tc>
        <w:tc>
          <w:tcPr>
            <w:tcW w:type="dxa" w:w="4933"/>
            <w:shd w:fill="EAF7FC"/>
            <w:vAlign w:val="center"/>
            <w:tcMar>
              <w:top w:w="130" w:type="dxa"/>
              <w:start w:w="150" w:type="dxa"/>
              <w:bottom w:w="130" w:type="dxa"/>
              <w:end w:w="150" w:type="dxa"/>
            </w:tcMar>
          </w:tcPr>
          <w:p>
            <w:r>
              <w:rPr>
                <w:rFonts w:ascii="Arial" w:hAnsi="Arial" w:eastAsia="Arial" w:cs="Arial"/>
                <w:b w:val="0"/>
                <w:color w:val="1D3155"/>
                <w:sz w:val="20"/>
              </w:rPr>
              <w:t>This converts ICLO's existing Snowflake startup support into a structured 90-day validation.</w:t>
            </w:r>
          </w:p>
        </w:tc>
      </w:tr>
    </w:tbl>
    <w:p>
      <w:pPr>
        <w:spacing w:after="0"/>
      </w:pPr>
    </w:p>
    <w:p>
      <w:r>
        <w:br w:type="page"/>
      </w:r>
    </w:p>
    <w:p>
      <w:pPr>
        <w:spacing w:after="80"/>
      </w:pPr>
      <w:r>
        <w:rPr>
          <w:rFonts w:ascii="Arial" w:hAnsi="Arial" w:eastAsia="Arial" w:cs="Arial"/>
          <w:b/>
          <w:color w:val="008A94"/>
          <w:sz w:val="20"/>
        </w:rPr>
        <w:t>EXECUTIVE DECISION BRIEF</w:t>
      </w:r>
    </w:p>
    <w:p>
      <w:pPr>
        <w:pStyle w:val="Heading1"/>
        <w:spacing w:after="100"/>
      </w:pPr>
      <w:r>
        <w:t>A U.S. Self-Funded Employer Dental-Benefit PoC</w:t>
      </w:r>
    </w:p>
    <w:p>
      <w:pPr>
        <w:spacing w:after="200"/>
      </w:pPr>
      <w:r>
        <w:rPr>
          <w:rFonts w:ascii="Arial" w:hAnsi="Arial" w:eastAsia="Arial" w:cs="Arial"/>
          <w:b w:val="0"/>
          <w:color w:val="63738A"/>
          <w:sz w:val="23"/>
        </w:rPr>
        <w:t>Employees use dental benefits more easily; employers gain evidence for plan, administrator, access and workforce-benefit decisions.</w:t>
      </w:r>
    </w:p>
    <w:tbl>
      <w:tblPr>
        <w:tblW w:type="auto" w:w="0"/>
        <w:jc w:val="center"/>
        <w:tblLayout w:type="fixed"/>
        <w:tblLook w:firstColumn="1" w:firstRow="1" w:lastColumn="0" w:lastRow="0" w:noHBand="0" w:noVBand="1" w:val="04A0"/>
      </w:tblPr>
      <w:tblGrid>
        <w:gridCol w:w="3289"/>
        <w:gridCol w:w="3289"/>
        <w:gridCol w:w="3289"/>
      </w:tblGrid>
      <w:tr>
        <w:tc>
          <w:tcPr>
            <w:tcW w:type="dxa" w:w="3289"/>
            <w:shd w:fill="EAF6F5"/>
            <w:tcMar>
              <w:top w:w="180" w:type="dxa"/>
              <w:start w:w="160" w:type="dxa"/>
              <w:bottom w:w="180" w:type="dxa"/>
              <w:end w:w="160" w:type="dxa"/>
            </w:tcMar>
            <w:vAlign w:val="center"/>
          </w:tcPr>
          <w:p>
            <w:r>
              <w:rPr>
                <w:rFonts w:ascii="Arial" w:hAnsi="Arial" w:eastAsia="Arial" w:cs="Arial"/>
                <w:b/>
                <w:color w:val="1D3155"/>
                <w:sz w:val="22"/>
              </w:rPr>
              <w:t>1. Business fit</w:t>
              <w:br/>
            </w:r>
            <w:r>
              <w:rPr>
                <w:rFonts w:ascii="Arial" w:hAnsi="Arial" w:eastAsia="Arial" w:cs="Arial"/>
                <w:b w:val="0"/>
                <w:color w:val="63738A"/>
                <w:sz w:val="19"/>
              </w:rPr>
              <w:t>Agree on the most natural Snowflake HLS sales play</w:t>
            </w:r>
          </w:p>
        </w:tc>
        <w:tc>
          <w:tcPr>
            <w:tcW w:type="dxa" w:w="3289"/>
            <w:shd w:fill="EAF7FC"/>
            <w:tcMar>
              <w:top w:w="180" w:type="dxa"/>
              <w:start w:w="160" w:type="dxa"/>
              <w:bottom w:w="180" w:type="dxa"/>
              <w:end w:w="160" w:type="dxa"/>
            </w:tcMar>
            <w:vAlign w:val="center"/>
          </w:tcPr>
          <w:p>
            <w:r>
              <w:rPr>
                <w:rFonts w:ascii="Arial" w:hAnsi="Arial" w:eastAsia="Arial" w:cs="Arial"/>
                <w:b/>
                <w:color w:val="1D3155"/>
                <w:sz w:val="22"/>
              </w:rPr>
              <w:t>2. Architecture</w:t>
              <w:br/>
            </w:r>
            <w:r>
              <w:rPr>
                <w:rFonts w:ascii="Arial" w:hAnsi="Arial" w:eastAsia="Arial" w:cs="Arial"/>
                <w:b w:val="0"/>
                <w:color w:val="63738A"/>
                <w:sz w:val="19"/>
              </w:rPr>
              <w:t>Secure an HLS technical working session</w:t>
            </w:r>
          </w:p>
        </w:tc>
        <w:tc>
          <w:tcPr>
            <w:tcW w:type="dxa" w:w="3289"/>
            <w:shd w:fill="FFF7E8"/>
            <w:tcMar>
              <w:top w:w="180" w:type="dxa"/>
              <w:start w:w="160" w:type="dxa"/>
              <w:bottom w:w="180" w:type="dxa"/>
              <w:end w:w="160" w:type="dxa"/>
            </w:tcMar>
            <w:vAlign w:val="center"/>
          </w:tcPr>
          <w:p>
            <w:r>
              <w:rPr>
                <w:rFonts w:ascii="Arial" w:hAnsi="Arial" w:eastAsia="Arial" w:cs="Arial"/>
                <w:b/>
                <w:color w:val="1D3155"/>
                <w:sz w:val="22"/>
              </w:rPr>
              <w:t>3. Account evidence</w:t>
              <w:br/>
            </w:r>
            <w:r>
              <w:rPr>
                <w:rFonts w:ascii="Arial" w:hAnsi="Arial" w:eastAsia="Arial" w:cs="Arial"/>
                <w:b w:val="0"/>
                <w:color w:val="63738A"/>
                <w:sz w:val="19"/>
              </w:rPr>
              <w:t>Validate one employer or administrator account team before introductions</w:t>
            </w:r>
          </w:p>
        </w:tc>
      </w:tr>
    </w:tbl>
    <w:p>
      <w:pPr>
        <w:spacing w:after="0"/>
      </w:pPr>
    </w:p>
    <w:p>
      <w:r>
        <w:rPr>
          <w:rFonts w:ascii="Arial" w:hAnsi="Arial" w:eastAsia="Arial" w:cs="Arial"/>
          <w:b w:val="0"/>
          <w:color w:val="1D3155"/>
          <w:sz w:val="22"/>
        </w:rPr>
        <w:t>ICLO helps employees understand and use their dental benefits, navigate to plan-matching in-network options, and converts the journey into claims-verified, aggregate evidence for the employer. The current PoC scope is a U.S. self-funded employer dental benefit administered by a dental carrier or TPA.</w:t>
      </w:r>
    </w:p>
    <w:tbl>
      <w:tblPr>
        <w:tblW w:type="auto" w:w="0"/>
        <w:jc w:val="center"/>
        <w:tblLayout w:type="fixed"/>
        <w:tblLook w:firstColumn="1" w:firstRow="1" w:lastColumn="0" w:lastRow="0" w:noHBand="0" w:noVBand="1" w:val="04A0"/>
      </w:tblPr>
      <w:tblGrid>
        <w:gridCol w:w="3288"/>
        <w:gridCol w:w="6463"/>
      </w:tblGrid>
      <w:tr>
        <w:trPr>
          <w:tblHeader w:val="true"/>
        </w:trPr>
        <w:tc>
          <w:tcPr>
            <w:tcW w:type="dxa" w:w="4933"/>
            <w:shd w:fill="008A94"/>
            <w:tcMar>
              <w:top w:w="120" w:type="dxa"/>
              <w:start w:w="100" w:type="dxa"/>
              <w:bottom w:w="120" w:type="dxa"/>
              <w:end w:w="100" w:type="dxa"/>
            </w:tcMar>
          </w:tcPr>
          <w:p>
            <w:r>
              <w:rPr>
                <w:rFonts w:ascii="Arial" w:hAnsi="Arial" w:eastAsia="Arial" w:cs="Arial"/>
                <w:b/>
                <w:color w:val="FFFFFF"/>
                <w:sz w:val="18"/>
              </w:rPr>
              <w:t>Employer decision</w:t>
            </w:r>
          </w:p>
        </w:tc>
        <w:tc>
          <w:tcPr>
            <w:tcW w:type="dxa" w:w="4933"/>
            <w:shd w:fill="008A94"/>
            <w:tcMar>
              <w:top w:w="120" w:type="dxa"/>
              <w:start w:w="100" w:type="dxa"/>
              <w:bottom w:w="120" w:type="dxa"/>
              <w:end w:w="100" w:type="dxa"/>
            </w:tcMar>
          </w:tcPr>
          <w:p>
            <w:r>
              <w:rPr>
                <w:rFonts w:ascii="Arial" w:hAnsi="Arial" w:eastAsia="Arial" w:cs="Arial"/>
                <w:b/>
                <w:color w:val="FFFFFF"/>
                <w:sz w:val="18"/>
              </w:rPr>
              <w:t>Evidence needed</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Plan + administrator fit</w:t>
            </w:r>
          </w:p>
        </w:tc>
        <w:tc>
          <w:tcPr>
            <w:tcW w:type="dxa" w:w="6463"/>
            <w:shd w:fill="FFFFFF"/>
            <w:tcMar>
              <w:top w:w="100" w:type="dxa"/>
              <w:start w:w="100" w:type="dxa"/>
              <w:bottom w:w="100" w:type="dxa"/>
              <w:end w:w="100" w:type="dxa"/>
            </w:tcMar>
            <w:vAlign w:val="center"/>
          </w:tcPr>
          <w:p>
            <w:r>
              <w:rPr>
                <w:rFonts w:ascii="Arial" w:hAnsi="Arial" w:eastAsia="Arial" w:cs="Arial"/>
                <w:b w:val="0"/>
                <w:color w:val="1D3155"/>
                <w:sz w:val="18"/>
              </w:rPr>
              <w:t>Eligibility quality, benefit rules, service levels and dental claims access</w:t>
            </w:r>
          </w:p>
        </w:tc>
      </w:tr>
      <w:tr>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Network access</w:t>
            </w:r>
          </w:p>
        </w:tc>
        <w:tc>
          <w:tcPr>
            <w:tcW w:type="dxa" w:w="6463"/>
            <w:shd w:fill="F3F7FA"/>
            <w:tcMar>
              <w:top w:w="100" w:type="dxa"/>
              <w:start w:w="100" w:type="dxa"/>
              <w:bottom w:w="100" w:type="dxa"/>
              <w:end w:w="100" w:type="dxa"/>
            </w:tcMar>
            <w:vAlign w:val="center"/>
          </w:tcPr>
          <w:p>
            <w:r>
              <w:rPr>
                <w:rFonts w:ascii="Arial" w:hAnsi="Arial" w:eastAsia="Arial" w:cs="Arial"/>
                <w:b w:val="0"/>
                <w:color w:val="1D3155"/>
                <w:sz w:val="18"/>
              </w:rPr>
              <w:t>Workforce geography, provider overlap and real appointment availability</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Utilization + cost allocation</w:t>
            </w:r>
          </w:p>
        </w:tc>
        <w:tc>
          <w:tcPr>
            <w:tcW w:type="dxa" w:w="6463"/>
            <w:shd w:fill="FFFFFF"/>
            <w:tcMar>
              <w:top w:w="100" w:type="dxa"/>
              <w:start w:w="100" w:type="dxa"/>
              <w:bottom w:w="100" w:type="dxa"/>
              <w:end w:w="100" w:type="dxa"/>
            </w:tcMar>
            <w:vAlign w:val="center"/>
          </w:tcPr>
          <w:p>
            <w:r>
              <w:rPr>
                <w:rFonts w:ascii="Arial" w:hAnsi="Arial" w:eastAsia="Arial" w:cs="Arial"/>
                <w:b w:val="0"/>
                <w:color w:val="1D3155"/>
                <w:sz w:val="18"/>
              </w:rPr>
              <w:t>Preventive completion; allowed, plan-paid and employee OOP</w:t>
            </w:r>
          </w:p>
        </w:tc>
      </w:tr>
      <w:tr>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Evidence reliability</w:t>
            </w:r>
          </w:p>
        </w:tc>
        <w:tc>
          <w:tcPr>
            <w:tcW w:type="dxa" w:w="6463"/>
            <w:shd w:fill="F3F7FA"/>
            <w:tcMar>
              <w:top w:w="100" w:type="dxa"/>
              <w:start w:w="100" w:type="dxa"/>
              <w:bottom w:w="100" w:type="dxa"/>
              <w:end w:w="100" w:type="dxa"/>
            </w:tcMar>
            <w:vAlign w:val="center"/>
          </w:tcPr>
          <w:p>
            <w:r>
              <w:rPr>
                <w:rFonts w:ascii="Arial" w:hAnsi="Arial" w:eastAsia="Arial" w:cs="Arial"/>
                <w:b w:val="0"/>
                <w:color w:val="1D3155"/>
                <w:sz w:val="18"/>
              </w:rPr>
              <w:t>Denominator, source dates, claims lag, run-out and completeness</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Workforce value</w:t>
            </w:r>
          </w:p>
        </w:tc>
        <w:tc>
          <w:tcPr>
            <w:tcW w:type="dxa" w:w="6463"/>
            <w:shd w:fill="FFFFFF"/>
            <w:tcMar>
              <w:top w:w="100" w:type="dxa"/>
              <w:start w:w="100" w:type="dxa"/>
              <w:bottom w:w="100" w:type="dxa"/>
              <w:end w:w="100" w:type="dxa"/>
            </w:tcMar>
            <w:vAlign w:val="center"/>
          </w:tcPr>
          <w:p>
            <w:r>
              <w:rPr>
                <w:rFonts w:ascii="Arial" w:hAnsi="Arial" w:eastAsia="Arial" w:cs="Arial"/>
                <w:b w:val="0"/>
                <w:color w:val="1D3155"/>
                <w:sz w:val="18"/>
              </w:rPr>
              <w:t>Participation, employee experience, turnover and multi-year scenarios</w:t>
            </w:r>
          </w:p>
        </w:tc>
      </w:tr>
    </w:tbl>
    <w:p>
      <w:pPr>
        <w:spacing w:after="0"/>
      </w:pPr>
    </w:p>
    <w:p>
      <w:r>
        <w:rPr>
          <w:rFonts w:ascii="Arial" w:hAnsi="Arial" w:eastAsia="Arial" w:cs="Arial"/>
          <w:b/>
          <w:color w:val="1D3155"/>
          <w:sz w:val="22"/>
        </w:rPr>
        <w:t>Short form:</w:t>
      </w:r>
      <w:r>
        <w:rPr>
          <w:rFonts w:ascii="Arial" w:hAnsi="Arial" w:eastAsia="Arial" w:cs="Arial"/>
          <w:b w:val="0"/>
          <w:color w:val="1D3155"/>
          <w:sz w:val="22"/>
        </w:rPr>
        <w:t xml:space="preserve"> Employee dental-benefit navigation in the front; a governed evidence layer in the back.</w:t>
      </w:r>
    </w:p>
    <w:tbl>
      <w:tblPr>
        <w:tblW w:type="auto" w:w="0"/>
        <w:jc w:val="center"/>
        <w:tblLayout w:type="fixed"/>
        <w:tblLook w:firstColumn="1" w:firstRow="1" w:lastColumn="0" w:lastRow="0" w:noHBand="0" w:noVBand="1" w:val="04A0"/>
      </w:tblPr>
      <w:tblGrid>
        <w:gridCol w:w="2438"/>
        <w:gridCol w:w="7313"/>
      </w:tblGrid>
      <w:tr>
        <w:tc>
          <w:tcPr>
            <w:tcW w:type="dxa" w:w="4933"/>
            <w:shd w:fill="1D3155"/>
            <w:vAlign w:val="center"/>
            <w:tcMar>
              <w:top w:w="130" w:type="dxa"/>
              <w:start w:w="150" w:type="dxa"/>
              <w:bottom w:w="130" w:type="dxa"/>
              <w:end w:w="150" w:type="dxa"/>
            </w:tcMar>
          </w:tcPr>
          <w:p>
            <w:r>
              <w:rPr>
                <w:rFonts w:ascii="Arial" w:hAnsi="Arial" w:eastAsia="Arial" w:cs="Arial"/>
                <w:b/>
                <w:color w:val="FFFFFF"/>
                <w:sz w:val="18"/>
              </w:rPr>
              <w:t>CONFIRMED ICLO DIRECTION</w:t>
            </w:r>
          </w:p>
        </w:tc>
        <w:tc>
          <w:tcPr>
            <w:tcW w:type="dxa" w:w="4933"/>
            <w:shd w:fill="EAF7FC"/>
            <w:vAlign w:val="center"/>
            <w:tcMar>
              <w:top w:w="130" w:type="dxa"/>
              <w:start w:w="150" w:type="dxa"/>
              <w:bottom w:w="130" w:type="dxa"/>
              <w:end w:w="150" w:type="dxa"/>
            </w:tcMar>
          </w:tcPr>
          <w:p>
            <w:r>
              <w:rPr>
                <w:rFonts w:ascii="Arial" w:hAnsi="Arial" w:eastAsia="Arial" w:cs="Arial"/>
                <w:b w:val="0"/>
                <w:color w:val="1D3155"/>
                <w:sz w:val="20"/>
              </w:rPr>
              <w:t>Lead with employee dental-benefit navigation and employer aggregate evidence - not oral-image AI.</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008A94"/>
            <w:vAlign w:val="center"/>
            <w:tcMar>
              <w:top w:w="130" w:type="dxa"/>
              <w:start w:w="150" w:type="dxa"/>
              <w:bottom w:w="130" w:type="dxa"/>
              <w:end w:w="150" w:type="dxa"/>
            </w:tcMar>
          </w:tcPr>
          <w:p>
            <w:r>
              <w:rPr>
                <w:rFonts w:ascii="Arial" w:hAnsi="Arial" w:eastAsia="Arial" w:cs="Arial"/>
                <w:b/>
                <w:color w:val="FFFFFF"/>
                <w:sz w:val="18"/>
              </w:rPr>
              <w:t>PRODUCT DESIGN PRINCIPLE</w:t>
            </w:r>
          </w:p>
        </w:tc>
        <w:tc>
          <w:tcPr>
            <w:tcW w:type="dxa" w:w="4933"/>
            <w:shd w:fill="EAF6F5"/>
            <w:vAlign w:val="center"/>
            <w:tcMar>
              <w:top w:w="130" w:type="dxa"/>
              <w:start w:w="150" w:type="dxa"/>
              <w:bottom w:w="130" w:type="dxa"/>
              <w:end w:w="150" w:type="dxa"/>
            </w:tcMar>
          </w:tcPr>
          <w:p>
            <w:r>
              <w:rPr>
                <w:rFonts w:ascii="Arial" w:hAnsi="Arial" w:eastAsia="Arial" w:cs="Arial"/>
                <w:b w:val="0"/>
                <w:color w:val="1D3155"/>
                <w:sz w:val="20"/>
              </w:rPr>
              <w:t>Keep model-derived signals separate from automated clinical routing; keep employee-level health signals out of employer views.</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HYPOTHESIS / TO VALIDATE</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The pattern can become repeatable across payer/TPA accounts that hold usable dental eligibility and claim-line data.</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Arial" w:hAnsi="Arial" w:eastAsia="Arial" w:cs="Arial"/>
                <w:b/>
                <w:color w:val="FFFFFF"/>
                <w:sz w:val="18"/>
              </w:rPr>
              <w:t>REQUEST TO SNOWFLAKE</w:t>
            </w:r>
          </w:p>
        </w:tc>
        <w:tc>
          <w:tcPr>
            <w:tcW w:type="dxa" w:w="4933"/>
            <w:shd w:fill="EAF7FC"/>
            <w:vAlign w:val="center"/>
            <w:tcMar>
              <w:top w:w="130" w:type="dxa"/>
              <w:start w:w="150" w:type="dxa"/>
              <w:bottom w:w="130" w:type="dxa"/>
              <w:end w:w="150" w:type="dxa"/>
            </w:tcMar>
          </w:tcPr>
          <w:p>
            <w:r>
              <w:rPr>
                <w:rFonts w:ascii="Arial" w:hAnsi="Arial" w:eastAsia="Arial" w:cs="Arial"/>
                <w:b w:val="0"/>
                <w:color w:val="1D3155"/>
                <w:sz w:val="20"/>
              </w:rPr>
              <w:t>Provide sales-play fit, named internal stakeholders, architecture decision support, account-team validation and written readiness criteria.</w:t>
            </w:r>
          </w:p>
        </w:tc>
      </w:tr>
    </w:tbl>
    <w:p>
      <w:pPr>
        <w:spacing w:after="0"/>
      </w:pPr>
    </w:p>
    <w:p>
      <w:r>
        <w:br w:type="page"/>
      </w:r>
    </w:p>
    <w:p>
      <w:pPr>
        <w:spacing w:after="80"/>
      </w:pPr>
      <w:r>
        <w:rPr>
          <w:rFonts w:ascii="Arial" w:hAnsi="Arial" w:eastAsia="Arial" w:cs="Arial"/>
          <w:b/>
          <w:color w:val="008A94"/>
          <w:sz w:val="20"/>
        </w:rPr>
        <w:t>WHERE WE ACTUALLY ARE</w:t>
      </w:r>
    </w:p>
    <w:p>
      <w:pPr>
        <w:pStyle w:val="Heading1"/>
        <w:spacing w:after="100"/>
      </w:pPr>
      <w:r>
        <w:t>What runs today, what is designed, and what does not exist yet</w:t>
      </w:r>
    </w:p>
    <w:p>
      <w:pPr>
        <w:spacing w:after="200"/>
      </w:pPr>
      <w:r>
        <w:rPr>
          <w:rFonts w:ascii="Arial" w:hAnsi="Arial" w:eastAsia="Arial" w:cs="Arial"/>
          <w:b w:val="0"/>
          <w:color w:val="63738A"/>
          <w:sz w:val="23"/>
        </w:rPr>
        <w:t>Read the rest of this document against this table. We do not describe design work as if it were running.</w:t>
      </w:r>
    </w:p>
    <w:tbl>
      <w:tblPr>
        <w:tblW w:type="auto" w:w="0"/>
        <w:jc w:val="center"/>
        <w:tblLayout w:type="fixed"/>
        <w:tblLook w:firstColumn="1" w:firstRow="1" w:lastColumn="0" w:lastRow="0" w:noHBand="0" w:noVBand="1" w:val="04A0"/>
      </w:tblPr>
      <w:tblGrid>
        <w:gridCol w:w="1474"/>
        <w:gridCol w:w="5669"/>
        <w:gridCol w:w="2608"/>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8"/>
              </w:rPr>
              <w:t>Stage</w:t>
            </w:r>
          </w:p>
        </w:tc>
        <w:tc>
          <w:tcPr>
            <w:tcW w:type="dxa" w:w="3289"/>
            <w:shd w:fill="008A94"/>
            <w:tcMar>
              <w:top w:w="120" w:type="dxa"/>
              <w:start w:w="100" w:type="dxa"/>
              <w:bottom w:w="120" w:type="dxa"/>
              <w:end w:w="100" w:type="dxa"/>
            </w:tcMar>
          </w:tcPr>
          <w:p>
            <w:r>
              <w:rPr>
                <w:rFonts w:ascii="Arial" w:hAnsi="Arial" w:eastAsia="Arial" w:cs="Arial"/>
                <w:b/>
                <w:color w:val="FFFFFF"/>
                <w:sz w:val="18"/>
              </w:rPr>
              <w:t>What</w:t>
            </w:r>
          </w:p>
        </w:tc>
        <w:tc>
          <w:tcPr>
            <w:tcW w:type="dxa" w:w="3289"/>
            <w:shd w:fill="008A94"/>
            <w:tcMar>
              <w:top w:w="120" w:type="dxa"/>
              <w:start w:w="100" w:type="dxa"/>
              <w:bottom w:w="120" w:type="dxa"/>
              <w:end w:w="100" w:type="dxa"/>
            </w:tcMar>
          </w:tcPr>
          <w:p>
            <w:r>
              <w:rPr>
                <w:rFonts w:ascii="Arial" w:hAnsi="Arial" w:eastAsia="Arial" w:cs="Arial"/>
                <w:b/>
                <w:color w:val="FFFFFF"/>
                <w:sz w:val="18"/>
              </w:rPr>
              <w:t>Evidence</w:t>
            </w:r>
          </w:p>
        </w:tc>
      </w:tr>
      <w:tr>
        <w:tc>
          <w:tcPr>
            <w:tcW w:type="dxa" w:w="1474"/>
            <w:shd w:fill="FFFFFF"/>
            <w:tcMar>
              <w:top w:w="100" w:type="dxa"/>
              <w:start w:w="100" w:type="dxa"/>
              <w:bottom w:w="100" w:type="dxa"/>
              <w:end w:w="100" w:type="dxa"/>
            </w:tcMar>
            <w:vAlign w:val="center"/>
          </w:tcPr>
          <w:p>
            <w:r>
              <w:rPr>
                <w:rFonts w:ascii="Arial" w:hAnsi="Arial" w:eastAsia="Arial" w:cs="Arial"/>
                <w:b w:val="0"/>
                <w:color w:val="1D3155"/>
                <w:sz w:val="18"/>
              </w:rPr>
              <w:t>Running today</w:t>
            </w:r>
          </w:p>
        </w:tc>
        <w:tc>
          <w:tcPr>
            <w:tcW w:type="dxa" w:w="5669"/>
            <w:shd w:fill="FFFFFF"/>
            <w:tcMar>
              <w:top w:w="100" w:type="dxa"/>
              <w:start w:w="100" w:type="dxa"/>
              <w:bottom w:w="100" w:type="dxa"/>
              <w:end w:w="100" w:type="dxa"/>
            </w:tcMar>
            <w:vAlign w:val="center"/>
          </w:tcPr>
          <w:p>
            <w:r>
              <w:rPr>
                <w:rFonts w:ascii="Arial" w:hAnsi="Arial" w:eastAsia="Arial" w:cs="Arial"/>
                <w:b w:val="0"/>
                <w:color w:val="1D3155"/>
                <w:sz w:val="18"/>
              </w:rPr>
              <w:t>An employer dashboard demo that computes synthetic numbers in the browser. No real data, no Snowflake connection yet.</w:t>
            </w:r>
          </w:p>
        </w:tc>
        <w:tc>
          <w:tcPr>
            <w:tcW w:type="dxa" w:w="2608"/>
            <w:shd w:fill="FFFFFF"/>
            <w:tcMar>
              <w:top w:w="100" w:type="dxa"/>
              <w:start w:w="100" w:type="dxa"/>
              <w:bottom w:w="100" w:type="dxa"/>
              <w:end w:w="100" w:type="dxa"/>
            </w:tcMar>
            <w:vAlign w:val="center"/>
          </w:tcPr>
          <w:p>
            <w:r>
              <w:rPr>
                <w:rFonts w:ascii="Arial" w:hAnsi="Arial" w:eastAsia="Arial" w:cs="Arial"/>
                <w:b w:val="0"/>
                <w:color w:val="1D3155"/>
                <w:sz w:val="18"/>
              </w:rPr>
              <w:t>Public demo</w:t>
            </w:r>
          </w:p>
        </w:tc>
      </w:tr>
      <w:tr>
        <w:tc>
          <w:tcPr>
            <w:tcW w:type="dxa" w:w="1474"/>
            <w:shd w:fill="F3F7FA"/>
            <w:tcMar>
              <w:top w:w="100" w:type="dxa"/>
              <w:start w:w="100" w:type="dxa"/>
              <w:bottom w:w="100" w:type="dxa"/>
              <w:end w:w="100" w:type="dxa"/>
            </w:tcMar>
            <w:vAlign w:val="center"/>
          </w:tcPr>
          <w:p>
            <w:r>
              <w:rPr>
                <w:rFonts w:ascii="Arial" w:hAnsi="Arial" w:eastAsia="Arial" w:cs="Arial"/>
                <w:b w:val="0"/>
                <w:color w:val="1D3155"/>
                <w:sz w:val="18"/>
              </w:rPr>
              <w:t>Designed</w:t>
            </w:r>
          </w:p>
        </w:tc>
        <w:tc>
          <w:tcPr>
            <w:tcW w:type="dxa" w:w="5669"/>
            <w:shd w:fill="F3F7FA"/>
            <w:tcMar>
              <w:top w:w="100" w:type="dxa"/>
              <w:start w:w="100" w:type="dxa"/>
              <w:bottom w:w="100" w:type="dxa"/>
              <w:end w:w="100" w:type="dxa"/>
            </w:tcMar>
            <w:vAlign w:val="center"/>
          </w:tcPr>
          <w:p>
            <w:r>
              <w:rPr>
                <w:rFonts w:ascii="Arial" w:hAnsi="Arial" w:eastAsia="Arial" w:cs="Arial"/>
                <w:b w:val="0"/>
                <w:color w:val="1D3155"/>
                <w:sz w:val="18"/>
              </w:rPr>
              <w:t>Evidence-layer data model, identity-resolution rules, policy and data-quality contracts, employer onboarding, inference API contract</w:t>
            </w:r>
          </w:p>
        </w:tc>
        <w:tc>
          <w:tcPr>
            <w:tcW w:type="dxa" w:w="2608"/>
            <w:shd w:fill="F3F7FA"/>
            <w:tcMar>
              <w:top w:w="100" w:type="dxa"/>
              <w:start w:w="100" w:type="dxa"/>
              <w:bottom w:w="100" w:type="dxa"/>
              <w:end w:w="100" w:type="dxa"/>
            </w:tcMar>
            <w:vAlign w:val="center"/>
          </w:tcPr>
          <w:p>
            <w:r>
              <w:rPr>
                <w:rFonts w:ascii="Arial" w:hAnsi="Arial" w:eastAsia="Arial" w:cs="Arial"/>
                <w:b w:val="0"/>
                <w:color w:val="1D3155"/>
                <w:sz w:val="18"/>
              </w:rPr>
              <w:t>46-page engineering design</w:t>
            </w:r>
          </w:p>
        </w:tc>
      </w:tr>
      <w:tr>
        <w:tc>
          <w:tcPr>
            <w:tcW w:type="dxa" w:w="1474"/>
            <w:shd w:fill="FFFFFF"/>
            <w:tcMar>
              <w:top w:w="100" w:type="dxa"/>
              <w:start w:w="100" w:type="dxa"/>
              <w:bottom w:w="100" w:type="dxa"/>
              <w:end w:w="100" w:type="dxa"/>
            </w:tcMar>
            <w:vAlign w:val="center"/>
          </w:tcPr>
          <w:p>
            <w:r>
              <w:rPr>
                <w:rFonts w:ascii="Arial" w:hAnsi="Arial" w:eastAsia="Arial" w:cs="Arial"/>
                <w:b w:val="0"/>
                <w:color w:val="1D3155"/>
                <w:sz w:val="18"/>
              </w:rPr>
              <w:t>To build in 90 days</w:t>
            </w:r>
          </w:p>
        </w:tc>
        <w:tc>
          <w:tcPr>
            <w:tcW w:type="dxa" w:w="5669"/>
            <w:shd w:fill="FFFFFF"/>
            <w:tcMar>
              <w:top w:w="100" w:type="dxa"/>
              <w:start w:w="100" w:type="dxa"/>
              <w:bottom w:w="100" w:type="dxa"/>
              <w:end w:w="100" w:type="dxa"/>
            </w:tcMar>
            <w:vAlign w:val="center"/>
          </w:tcPr>
          <w:p>
            <w:r>
              <w:rPr>
                <w:rFonts w:ascii="Arial" w:hAnsi="Arial" w:eastAsia="Arial" w:cs="Arial"/>
                <w:b w:val="0"/>
                <w:color w:val="1D3155"/>
                <w:sz w:val="18"/>
              </w:rPr>
              <w:t>The Snowflake evidence layer on real data, and a dashboard fed from it</w:t>
            </w:r>
          </w:p>
        </w:tc>
        <w:tc>
          <w:tcPr>
            <w:tcW w:type="dxa" w:w="2608"/>
            <w:shd w:fill="FFFFFF"/>
            <w:tcMar>
              <w:top w:w="100" w:type="dxa"/>
              <w:start w:w="100" w:type="dxa"/>
              <w:bottom w:w="100" w:type="dxa"/>
              <w:end w:w="100" w:type="dxa"/>
            </w:tcMar>
            <w:vAlign w:val="center"/>
          </w:tcPr>
          <w:p>
            <w:r>
              <w:rPr>
                <w:rFonts w:ascii="Arial" w:hAnsi="Arial" w:eastAsia="Arial" w:cs="Arial"/>
                <w:b w:val="0"/>
                <w:color w:val="1D3155"/>
                <w:sz w:val="18"/>
              </w:rPr>
              <w:t>Execution section</w:t>
            </w:r>
          </w:p>
        </w:tc>
      </w:tr>
      <w:tr>
        <w:tc>
          <w:tcPr>
            <w:tcW w:type="dxa" w:w="1474"/>
            <w:shd w:fill="F3F7FA"/>
            <w:tcMar>
              <w:top w:w="100" w:type="dxa"/>
              <w:start w:w="100" w:type="dxa"/>
              <w:bottom w:w="100" w:type="dxa"/>
              <w:end w:w="100" w:type="dxa"/>
            </w:tcMar>
            <w:vAlign w:val="center"/>
          </w:tcPr>
          <w:p>
            <w:r>
              <w:rPr>
                <w:rFonts w:ascii="Arial" w:hAnsi="Arial" w:eastAsia="Arial" w:cs="Arial"/>
                <w:b w:val="0"/>
                <w:color w:val="1D3155"/>
                <w:sz w:val="18"/>
              </w:rPr>
              <w:t>Does not exist</w:t>
            </w:r>
          </w:p>
        </w:tc>
        <w:tc>
          <w:tcPr>
            <w:tcW w:type="dxa" w:w="5669"/>
            <w:shd w:fill="F3F7FA"/>
            <w:tcMar>
              <w:top w:w="100" w:type="dxa"/>
              <w:start w:w="100" w:type="dxa"/>
              <w:bottom w:w="100" w:type="dxa"/>
              <w:end w:w="100" w:type="dxa"/>
            </w:tcMar>
            <w:vAlign w:val="center"/>
          </w:tcPr>
          <w:p>
            <w:r>
              <w:rPr>
                <w:rFonts w:ascii="Arial" w:hAnsi="Arial" w:eastAsia="Arial" w:cs="Arial"/>
                <w:b w:val="0"/>
                <w:color w:val="1D3155"/>
                <w:sz w:val="18"/>
              </w:rPr>
              <w:t>Employee web app, Core AI call path, benefits gateway. Separate track, not inside the 90 days.</w:t>
            </w:r>
          </w:p>
        </w:tc>
        <w:tc>
          <w:tcPr>
            <w:tcW w:type="dxa" w:w="2608"/>
            <w:shd w:fill="F3F7FA"/>
            <w:tcMar>
              <w:top w:w="100" w:type="dxa"/>
              <w:start w:w="100" w:type="dxa"/>
              <w:bottom w:w="100" w:type="dxa"/>
              <w:end w:w="100" w:type="dxa"/>
            </w:tcMar>
            <w:vAlign w:val="center"/>
          </w:tcPr>
          <w:p>
            <w:r>
              <w:rPr>
                <w:rFonts w:ascii="Arial" w:hAnsi="Arial" w:eastAsia="Arial" w:cs="Arial"/>
                <w:b w:val="0"/>
                <w:color w:val="1D3155"/>
                <w:sz w:val="18"/>
              </w:rPr>
              <w:t>Engineering design, sec. 8</w:t>
            </w:r>
          </w:p>
        </w:tc>
      </w:tr>
      <w:tr>
        <w:tc>
          <w:tcPr>
            <w:tcW w:type="dxa" w:w="1474"/>
            <w:shd w:fill="FFFFFF"/>
            <w:tcMar>
              <w:top w:w="100" w:type="dxa"/>
              <w:start w:w="100" w:type="dxa"/>
              <w:bottom w:w="100" w:type="dxa"/>
              <w:end w:w="100" w:type="dxa"/>
            </w:tcMar>
            <w:vAlign w:val="center"/>
          </w:tcPr>
          <w:p>
            <w:r>
              <w:rPr>
                <w:rFonts w:ascii="Arial" w:hAnsi="Arial" w:eastAsia="Arial" w:cs="Arial"/>
                <w:b w:val="0"/>
                <w:color w:val="1D3155"/>
                <w:sz w:val="18"/>
              </w:rPr>
              <w:t>Not yet decided</w:t>
            </w:r>
          </w:p>
        </w:tc>
        <w:tc>
          <w:tcPr>
            <w:tcW w:type="dxa" w:w="5669"/>
            <w:shd w:fill="FFFFFF"/>
            <w:tcMar>
              <w:top w:w="100" w:type="dxa"/>
              <w:start w:w="100" w:type="dxa"/>
              <w:bottom w:w="100" w:type="dxa"/>
              <w:end w:w="100" w:type="dxa"/>
            </w:tcMar>
            <w:vAlign w:val="center"/>
          </w:tcPr>
          <w:p>
            <w:r>
              <w:rPr>
                <w:rFonts w:ascii="Arial" w:hAnsi="Arial" w:eastAsia="Arial" w:cs="Arial"/>
                <w:b w:val="0"/>
                <w:color w:val="1D3155"/>
                <w:sz w:val="18"/>
              </w:rPr>
              <w:t>What the predictive model predicts, arm assignment, the full family and guardian flow</w:t>
            </w:r>
          </w:p>
        </w:tc>
        <w:tc>
          <w:tcPr>
            <w:tcW w:type="dxa" w:w="2608"/>
            <w:shd w:fill="FFFFFF"/>
            <w:tcMar>
              <w:top w:w="100" w:type="dxa"/>
              <w:start w:w="100" w:type="dxa"/>
              <w:bottom w:w="100" w:type="dxa"/>
              <w:end w:w="100" w:type="dxa"/>
            </w:tcMar>
            <w:vAlign w:val="center"/>
          </w:tcPr>
          <w:p>
            <w:r>
              <w:rPr>
                <w:rFonts w:ascii="Arial" w:hAnsi="Arial" w:eastAsia="Arial" w:cs="Arial"/>
                <w:b w:val="0"/>
                <w:color w:val="1D3155"/>
                <w:sz w:val="18"/>
              </w:rPr>
              <w:t>Engineering design, sec. 15 and 17</w:t>
            </w:r>
          </w:p>
        </w:tc>
      </w:tr>
      <w:tr>
        <w:tc>
          <w:tcPr>
            <w:tcW w:type="dxa" w:w="1474"/>
            <w:shd w:fill="F3F7FA"/>
            <w:tcMar>
              <w:top w:w="100" w:type="dxa"/>
              <w:start w:w="100" w:type="dxa"/>
              <w:bottom w:w="100" w:type="dxa"/>
              <w:end w:w="100" w:type="dxa"/>
            </w:tcMar>
            <w:vAlign w:val="center"/>
          </w:tcPr>
          <w:p>
            <w:r>
              <w:rPr>
                <w:rFonts w:ascii="Arial" w:hAnsi="Arial" w:eastAsia="Arial" w:cs="Arial"/>
                <w:b w:val="0"/>
                <w:color w:val="1D3155"/>
                <w:sz w:val="18"/>
              </w:rPr>
              <w:t>Blocking start</w:t>
            </w:r>
          </w:p>
        </w:tc>
        <w:tc>
          <w:tcPr>
            <w:tcW w:type="dxa" w:w="5669"/>
            <w:shd w:fill="F3F7FA"/>
            <w:tcMar>
              <w:top w:w="100" w:type="dxa"/>
              <w:start w:w="100" w:type="dxa"/>
              <w:bottom w:w="100" w:type="dxa"/>
              <w:end w:w="100" w:type="dxa"/>
            </w:tcMar>
            <w:vAlign w:val="center"/>
          </w:tcPr>
          <w:p>
            <w:r>
              <w:rPr>
                <w:rFonts w:ascii="Arial" w:hAnsi="Arial" w:eastAsia="Arial" w:cs="Arial"/>
                <w:b w:val="0"/>
                <w:color w:val="1D3155"/>
                <w:sz w:val="18"/>
              </w:rPr>
              <w:t>HIPAA role determination, BAA chain, employer-TPA data rights, legal basis for baseline load before consent</w:t>
            </w:r>
          </w:p>
        </w:tc>
        <w:tc>
          <w:tcPr>
            <w:tcW w:type="dxa" w:w="2608"/>
            <w:shd w:fill="F3F7FA"/>
            <w:tcMar>
              <w:top w:w="100" w:type="dxa"/>
              <w:start w:w="100" w:type="dxa"/>
              <w:bottom w:w="100" w:type="dxa"/>
              <w:end w:w="100" w:type="dxa"/>
            </w:tcMar>
            <w:vAlign w:val="center"/>
          </w:tcPr>
          <w:p>
            <w:r>
              <w:rPr>
                <w:rFonts w:ascii="Arial" w:hAnsi="Arial" w:eastAsia="Arial" w:cs="Arial"/>
                <w:b w:val="0"/>
                <w:color w:val="1D3155"/>
                <w:sz w:val="18"/>
              </w:rPr>
              <w:t>Start gates section</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WHY THIS PAGE IS NEAR THE FRONT</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The thicker a design document gets, the more it reads as a system already in production. One synthetic-data demo is running. Everything else is design and plan. Blur that line and we will each expect something different in 90 days.</w:t>
            </w:r>
          </w:p>
        </w:tc>
      </w:tr>
    </w:tbl>
    <w:p>
      <w:pPr>
        <w:spacing w:after="0"/>
      </w:pPr>
    </w:p>
    <w:p>
      <w:r>
        <w:br w:type="page"/>
      </w:r>
    </w:p>
    <w:p>
      <w:pPr>
        <w:spacing w:after="80"/>
      </w:pPr>
      <w:r>
        <w:rPr>
          <w:rFonts w:ascii="Arial" w:hAnsi="Arial" w:eastAsia="Arial" w:cs="Arial"/>
          <w:b/>
          <w:color w:val="008A94"/>
          <w:sz w:val="20"/>
        </w:rPr>
        <w:t>MARKET CONTEXT + PROBLEM</w:t>
      </w:r>
    </w:p>
    <w:p>
      <w:pPr>
        <w:pStyle w:val="Heading1"/>
        <w:spacing w:after="100"/>
      </w:pPr>
      <w:r>
        <w:t>Why the PoC Starts with a U.S. Self-Funded Employer Dental Benefit</w:t>
      </w:r>
    </w:p>
    <w:p>
      <w:pPr>
        <w:spacing w:after="200"/>
      </w:pPr>
      <w:r>
        <w:rPr>
          <w:rFonts w:ascii="Arial" w:hAnsi="Arial" w:eastAsia="Arial" w:cs="Arial"/>
          <w:b w:val="0"/>
          <w:color w:val="63738A"/>
          <w:sz w:val="23"/>
        </w:rPr>
        <w:t>Korea and the U.S. do not organize dental coverage in the same way; the target operating problem is specific to the U.S. employer-benefit lane.</w:t>
      </w:r>
    </w:p>
    <w:tbl>
      <w:tblPr>
        <w:tblW w:type="auto" w:w="0"/>
        <w:jc w:val="center"/>
        <w:tblLayout w:type="fixed"/>
        <w:tblLook w:firstColumn="1" w:firstRow="1" w:lastColumn="0" w:lastRow="0" w:noHBand="0" w:noVBand="1" w:val="04A0"/>
      </w:tblPr>
      <w:tblGrid>
        <w:gridCol w:w="1928"/>
        <w:gridCol w:w="3855"/>
        <w:gridCol w:w="3969"/>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7"/>
              </w:rPr>
            </w:r>
          </w:p>
        </w:tc>
        <w:tc>
          <w:tcPr>
            <w:tcW w:type="dxa" w:w="3289"/>
            <w:shd w:fill="008A94"/>
            <w:tcMar>
              <w:top w:w="120" w:type="dxa"/>
              <w:start w:w="100" w:type="dxa"/>
              <w:bottom w:w="120" w:type="dxa"/>
              <w:end w:w="100" w:type="dxa"/>
            </w:tcMar>
          </w:tcPr>
          <w:p>
            <w:r>
              <w:rPr>
                <w:rFonts w:ascii="Arial" w:hAnsi="Arial" w:eastAsia="Arial" w:cs="Arial"/>
                <w:b/>
                <w:color w:val="FFFFFF"/>
                <w:sz w:val="17"/>
              </w:rPr>
              <w:t>Korea: practical baseline</w:t>
            </w:r>
          </w:p>
        </w:tc>
        <w:tc>
          <w:tcPr>
            <w:tcW w:type="dxa" w:w="3289"/>
            <w:shd w:fill="008A94"/>
            <w:tcMar>
              <w:top w:w="120" w:type="dxa"/>
              <w:start w:w="100" w:type="dxa"/>
              <w:bottom w:w="120" w:type="dxa"/>
              <w:end w:w="100" w:type="dxa"/>
            </w:tcMar>
          </w:tcPr>
          <w:p>
            <w:r>
              <w:rPr>
                <w:rFonts w:ascii="Arial" w:hAnsi="Arial" w:eastAsia="Arial" w:cs="Arial"/>
                <w:b/>
                <w:color w:val="FFFFFF"/>
                <w:sz w:val="17"/>
              </w:rPr>
              <w:t>U.S. target context</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7"/>
              </w:rPr>
              <w:t>Coverage structure</w:t>
            </w:r>
          </w:p>
        </w:tc>
        <w:tc>
          <w:tcPr>
            <w:tcW w:type="dxa" w:w="3855"/>
            <w:shd w:fill="FFFFFF"/>
            <w:tcMar>
              <w:top w:w="100" w:type="dxa"/>
              <w:start w:w="100" w:type="dxa"/>
              <w:bottom w:w="100" w:type="dxa"/>
              <w:end w:w="100" w:type="dxa"/>
            </w:tcMar>
            <w:vAlign w:val="center"/>
          </w:tcPr>
          <w:p>
            <w:r>
              <w:rPr>
                <w:rFonts w:ascii="Arial" w:hAnsi="Arial" w:eastAsia="Arial" w:cs="Arial"/>
                <w:b w:val="0"/>
                <w:color w:val="1D3155"/>
                <w:sz w:val="17"/>
              </w:rPr>
              <w:t>NHIS is the common public baseline; some dental services remain non-covered or out of pocket</w:t>
            </w:r>
          </w:p>
        </w:tc>
        <w:tc>
          <w:tcPr>
            <w:tcW w:type="dxa" w:w="3969"/>
            <w:shd w:fill="FFFFFF"/>
            <w:tcMar>
              <w:top w:w="100" w:type="dxa"/>
              <w:start w:w="100" w:type="dxa"/>
              <w:bottom w:w="100" w:type="dxa"/>
              <w:end w:w="100" w:type="dxa"/>
            </w:tcMar>
            <w:vAlign w:val="center"/>
          </w:tcPr>
          <w:p>
            <w:r>
              <w:rPr>
                <w:rFonts w:ascii="Arial" w:hAnsi="Arial" w:eastAsia="Arial" w:cs="Arial"/>
                <w:b w:val="0"/>
                <w:color w:val="1D3155"/>
                <w:sz w:val="17"/>
              </w:rPr>
              <w:t>Adult dental is often a separate benefit with its own plan, network and cost-sharing rules</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7"/>
              </w:rPr>
              <w:t>Current PoC funding</w:t>
            </w:r>
          </w:p>
        </w:tc>
        <w:tc>
          <w:tcPr>
            <w:tcW w:type="dxa" w:w="3855"/>
            <w:shd w:fill="F3F7FA"/>
            <w:tcMar>
              <w:top w:w="100" w:type="dxa"/>
              <w:start w:w="100" w:type="dxa"/>
              <w:bottom w:w="100" w:type="dxa"/>
              <w:end w:w="100" w:type="dxa"/>
            </w:tcMar>
            <w:vAlign w:val="center"/>
          </w:tcPr>
          <w:p>
            <w:r>
              <w:rPr>
                <w:rFonts w:ascii="Arial" w:hAnsi="Arial" w:eastAsia="Arial" w:cs="Arial"/>
                <w:b w:val="0"/>
                <w:color w:val="1D3155"/>
                <w:sz w:val="17"/>
              </w:rPr>
              <w:t>Not the scope of this PoC</w:t>
            </w:r>
          </w:p>
        </w:tc>
        <w:tc>
          <w:tcPr>
            <w:tcW w:type="dxa" w:w="3969"/>
            <w:shd w:fill="F3F7FA"/>
            <w:tcMar>
              <w:top w:w="100" w:type="dxa"/>
              <w:start w:w="100" w:type="dxa"/>
              <w:bottom w:w="100" w:type="dxa"/>
              <w:end w:w="100" w:type="dxa"/>
            </w:tcMar>
            <w:vAlign w:val="center"/>
          </w:tcPr>
          <w:p>
            <w:r>
              <w:rPr>
                <w:rFonts w:ascii="Arial" w:hAnsi="Arial" w:eastAsia="Arial" w:cs="Arial"/>
                <w:b w:val="0"/>
                <w:color w:val="1D3155"/>
                <w:sz w:val="17"/>
              </w:rPr>
              <w:t>Self-funded employer bears claims risk; a dental carrier or TPA may administer</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7"/>
              </w:rPr>
              <w:t>Employee difficulty</w:t>
            </w:r>
          </w:p>
        </w:tc>
        <w:tc>
          <w:tcPr>
            <w:tcW w:type="dxa" w:w="3855"/>
            <w:shd w:fill="FFFFFF"/>
            <w:tcMar>
              <w:top w:w="100" w:type="dxa"/>
              <w:start w:w="100" w:type="dxa"/>
              <w:bottom w:w="100" w:type="dxa"/>
              <w:end w:w="100" w:type="dxa"/>
            </w:tcMar>
            <w:vAlign w:val="center"/>
          </w:tcPr>
          <w:p>
            <w:r>
              <w:rPr>
                <w:rFonts w:ascii="Arial" w:hAnsi="Arial" w:eastAsia="Arial" w:cs="Arial"/>
                <w:b w:val="0"/>
                <w:color w:val="1D3155"/>
                <w:sz w:val="17"/>
              </w:rPr>
              <w:t>Determine covered vs. non-covered services and cost</w:t>
            </w:r>
          </w:p>
        </w:tc>
        <w:tc>
          <w:tcPr>
            <w:tcW w:type="dxa" w:w="3969"/>
            <w:shd w:fill="FFFFFF"/>
            <w:tcMar>
              <w:top w:w="100" w:type="dxa"/>
              <w:start w:w="100" w:type="dxa"/>
              <w:bottom w:w="100" w:type="dxa"/>
              <w:end w:w="100" w:type="dxa"/>
            </w:tcMar>
            <w:vAlign w:val="center"/>
          </w:tcPr>
          <w:p>
            <w:r>
              <w:rPr>
                <w:rFonts w:ascii="Arial" w:hAnsi="Arial" w:eastAsia="Arial" w:cs="Arial"/>
                <w:b w:val="0"/>
                <w:color w:val="1D3155"/>
                <w:sz w:val="17"/>
              </w:rPr>
              <w:t>Understand network, deductible, coinsurance, annual maximum and actual availability</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7"/>
              </w:rPr>
              <w:t>Employer difficulty</w:t>
            </w:r>
          </w:p>
        </w:tc>
        <w:tc>
          <w:tcPr>
            <w:tcW w:type="dxa" w:w="3855"/>
            <w:shd w:fill="F3F7FA"/>
            <w:tcMar>
              <w:top w:w="100" w:type="dxa"/>
              <w:start w:w="100" w:type="dxa"/>
              <w:bottom w:w="100" w:type="dxa"/>
              <w:end w:w="100" w:type="dxa"/>
            </w:tcMar>
            <w:vAlign w:val="center"/>
          </w:tcPr>
          <w:p>
            <w:r>
              <w:rPr>
                <w:rFonts w:ascii="Arial" w:hAnsi="Arial" w:eastAsia="Arial" w:cs="Arial"/>
                <w:b w:val="0"/>
                <w:color w:val="1D3155"/>
                <w:sz w:val="17"/>
              </w:rPr>
              <w:t>Not the target operating model</w:t>
            </w:r>
          </w:p>
        </w:tc>
        <w:tc>
          <w:tcPr>
            <w:tcW w:type="dxa" w:w="3969"/>
            <w:shd w:fill="F3F7FA"/>
            <w:tcMar>
              <w:top w:w="100" w:type="dxa"/>
              <w:start w:w="100" w:type="dxa"/>
              <w:bottom w:w="100" w:type="dxa"/>
              <w:end w:w="100" w:type="dxa"/>
            </w:tcMar>
            <w:vAlign w:val="center"/>
          </w:tcPr>
          <w:p>
            <w:r>
              <w:rPr>
                <w:rFonts w:ascii="Arial" w:hAnsi="Arial" w:eastAsia="Arial" w:cs="Arial"/>
                <w:b w:val="0"/>
                <w:color w:val="1D3155"/>
                <w:sz w:val="17"/>
              </w:rPr>
              <w:t>Eligibility, plan, provider operations and dental claims sit across organizations</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Arial" w:hAnsi="Arial" w:eastAsia="Arial" w:cs="Arial"/>
                <w:b/>
                <w:color w:val="FFFFFF"/>
                <w:sz w:val="18"/>
              </w:rPr>
              <w:t>EMPLOYEE PROBLEM</w:t>
            </w:r>
          </w:p>
        </w:tc>
        <w:tc>
          <w:tcPr>
            <w:tcW w:type="dxa" w:w="4933"/>
            <w:shd w:fill="FFF0F0"/>
            <w:vAlign w:val="center"/>
            <w:tcMar>
              <w:top w:w="130" w:type="dxa"/>
              <w:start w:w="150" w:type="dxa"/>
              <w:bottom w:w="130" w:type="dxa"/>
              <w:end w:w="150" w:type="dxa"/>
            </w:tcMar>
          </w:tcPr>
          <w:p>
            <w:r>
              <w:rPr>
                <w:rFonts w:ascii="Arial" w:hAnsi="Arial" w:eastAsia="Arial" w:cs="Arial"/>
                <w:b w:val="0"/>
                <w:color w:val="1D3155"/>
                <w:sz w:val="20"/>
              </w:rPr>
              <w:t>Coverage does not automatically become usable care: plan rules, network economics, provider availability and final claims can differ from expectations.</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008A94"/>
            <w:vAlign w:val="center"/>
            <w:tcMar>
              <w:top w:w="130" w:type="dxa"/>
              <w:start w:w="150" w:type="dxa"/>
              <w:bottom w:w="130" w:type="dxa"/>
              <w:end w:w="150" w:type="dxa"/>
            </w:tcMar>
          </w:tcPr>
          <w:p>
            <w:r>
              <w:rPr>
                <w:rFonts w:ascii="Arial" w:hAnsi="Arial" w:eastAsia="Arial" w:cs="Arial"/>
                <w:b/>
                <w:color w:val="FFFFFF"/>
                <w:sz w:val="18"/>
              </w:rPr>
              <w:t>EMPLOYER PROBLEM</w:t>
            </w:r>
          </w:p>
        </w:tc>
        <w:tc>
          <w:tcPr>
            <w:tcW w:type="dxa" w:w="4933"/>
            <w:shd w:fill="EAF6F5"/>
            <w:vAlign w:val="center"/>
            <w:tcMar>
              <w:top w:w="130" w:type="dxa"/>
              <w:start w:w="150" w:type="dxa"/>
              <w:bottom w:w="130" w:type="dxa"/>
              <w:end w:w="150" w:type="dxa"/>
            </w:tcMar>
          </w:tcPr>
          <w:p>
            <w:r>
              <w:rPr>
                <w:rFonts w:ascii="Arial" w:hAnsi="Arial" w:eastAsia="Arial" w:cs="Arial"/>
                <w:b w:val="0"/>
                <w:color w:val="1D3155"/>
                <w:sz w:val="20"/>
              </w:rPr>
              <w:t>The employer needs evidence for plan and administrator fit, access gaps, utilization, cost allocation, claims completeness and workforce value.</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BOUNDARY</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The comparison is directional. It does not claim that all Korean or all U.S. dental coverage follows one model.</w:t>
            </w:r>
          </w:p>
        </w:tc>
      </w:tr>
    </w:tbl>
    <w:p>
      <w:pPr>
        <w:spacing w:after="0"/>
      </w:pPr>
    </w:p>
    <w:p>
      <w:r>
        <w:br w:type="page"/>
      </w:r>
    </w:p>
    <w:p>
      <w:pPr>
        <w:spacing w:after="80"/>
      </w:pPr>
      <w:r>
        <w:rPr>
          <w:rFonts w:ascii="Arial" w:hAnsi="Arial" w:eastAsia="Arial" w:cs="Arial"/>
          <w:b/>
          <w:color w:val="008A94"/>
          <w:sz w:val="20"/>
        </w:rPr>
        <w:t>MARKET ECOSYSTEM</w:t>
      </w:r>
    </w:p>
    <w:p>
      <w:pPr>
        <w:pStyle w:val="Heading1"/>
        <w:spacing w:after="100"/>
      </w:pPr>
      <w:r>
        <w:t>How the U.S. Dental Benefit Ecosystem Fits Together</w:t>
      </w:r>
    </w:p>
    <w:p>
      <w:pPr>
        <w:spacing w:after="200"/>
      </w:pPr>
      <w:r>
        <w:rPr>
          <w:rFonts w:ascii="Arial" w:hAnsi="Arial" w:eastAsia="Arial" w:cs="Arial"/>
          <w:b w:val="0"/>
          <w:color w:val="63738A"/>
          <w:sz w:val="23"/>
        </w:rPr>
        <w:t>Coverage segment, funding arrangement, administrator and beneficiary are separate questions; the current PoC covers one lane.</w:t>
      </w:r>
    </w:p>
    <w:tbl>
      <w:tblPr>
        <w:tblW w:type="auto" w:w="0"/>
        <w:jc w:val="center"/>
        <w:tblLayout w:type="fixed"/>
        <w:tblLook w:firstColumn="1" w:firstRow="1" w:lastColumn="0" w:lastRow="0" w:noHBand="0" w:noVBand="1" w:val="04A0"/>
      </w:tblPr>
      <w:tblGrid>
        <w:gridCol w:w="2381"/>
        <w:gridCol w:w="2381"/>
        <w:gridCol w:w="3969"/>
        <w:gridCol w:w="1474"/>
      </w:tblGrid>
      <w:tr>
        <w:trPr>
          <w:tblHeader w:val="true"/>
        </w:trPr>
        <w:tc>
          <w:tcPr>
            <w:tcW w:type="dxa" w:w="2466"/>
            <w:shd w:fill="008A94"/>
            <w:tcMar>
              <w:top w:w="120" w:type="dxa"/>
              <w:start w:w="100" w:type="dxa"/>
              <w:bottom w:w="120" w:type="dxa"/>
              <w:end w:w="100" w:type="dxa"/>
            </w:tcMar>
          </w:tcPr>
          <w:p>
            <w:r>
              <w:rPr>
                <w:rFonts w:ascii="Arial" w:hAnsi="Arial" w:eastAsia="Arial" w:cs="Arial"/>
                <w:b/>
                <w:color w:val="FFFFFF"/>
                <w:sz w:val="16"/>
              </w:rPr>
              <w:t>Market / funding lane</w:t>
            </w:r>
          </w:p>
        </w:tc>
        <w:tc>
          <w:tcPr>
            <w:tcW w:type="dxa" w:w="2466"/>
            <w:shd w:fill="008A94"/>
            <w:tcMar>
              <w:top w:w="120" w:type="dxa"/>
              <w:start w:w="100" w:type="dxa"/>
              <w:bottom w:w="120" w:type="dxa"/>
              <w:end w:w="100" w:type="dxa"/>
            </w:tcMar>
          </w:tcPr>
          <w:p>
            <w:r>
              <w:rPr>
                <w:rFonts w:ascii="Arial" w:hAnsi="Arial" w:eastAsia="Arial" w:cs="Arial"/>
                <w:b/>
                <w:color w:val="FFFFFF"/>
                <w:sz w:val="16"/>
              </w:rPr>
              <w:t>Who bears dental claim cost</w:t>
            </w:r>
          </w:p>
        </w:tc>
        <w:tc>
          <w:tcPr>
            <w:tcW w:type="dxa" w:w="2466"/>
            <w:shd w:fill="008A94"/>
            <w:tcMar>
              <w:top w:w="120" w:type="dxa"/>
              <w:start w:w="100" w:type="dxa"/>
              <w:bottom w:w="120" w:type="dxa"/>
              <w:end w:w="100" w:type="dxa"/>
            </w:tcMar>
          </w:tcPr>
          <w:p>
            <w:r>
              <w:rPr>
                <w:rFonts w:ascii="Arial" w:hAnsi="Arial" w:eastAsia="Arial" w:cs="Arial"/>
                <w:b/>
                <w:color w:val="FFFFFF"/>
                <w:sz w:val="16"/>
              </w:rPr>
              <w:t>Typical operating parties</w:t>
            </w:r>
          </w:p>
        </w:tc>
        <w:tc>
          <w:tcPr>
            <w:tcW w:type="dxa" w:w="2466"/>
            <w:shd w:fill="008A94"/>
            <w:tcMar>
              <w:top w:w="120" w:type="dxa"/>
              <w:start w:w="100" w:type="dxa"/>
              <w:bottom w:w="120" w:type="dxa"/>
              <w:end w:w="100" w:type="dxa"/>
            </w:tcMar>
          </w:tcPr>
          <w:p>
            <w:r>
              <w:rPr>
                <w:rFonts w:ascii="Arial" w:hAnsi="Arial" w:eastAsia="Arial" w:cs="Arial"/>
                <w:b/>
                <w:color w:val="FFFFFF"/>
                <w:sz w:val="16"/>
              </w:rPr>
              <w:t>Current PoC?</w:t>
            </w:r>
          </w:p>
        </w:tc>
      </w:tr>
      <w:tr>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Employer fully insured</w:t>
            </w:r>
          </w:p>
        </w:tc>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Dental carrier / insurer</w:t>
            </w:r>
          </w:p>
        </w:tc>
        <w:tc>
          <w:tcPr>
            <w:tcW w:type="dxa" w:w="3969"/>
            <w:shd w:fill="FFFFFF"/>
            <w:tcMar>
              <w:top w:w="100" w:type="dxa"/>
              <w:start w:w="100" w:type="dxa"/>
              <w:bottom w:w="100" w:type="dxa"/>
              <w:end w:w="100" w:type="dxa"/>
            </w:tcMar>
            <w:vAlign w:val="center"/>
          </w:tcPr>
          <w:p>
            <w:r>
              <w:rPr>
                <w:rFonts w:ascii="Arial" w:hAnsi="Arial" w:eastAsia="Arial" w:cs="Arial"/>
                <w:b w:val="0"/>
                <w:color w:val="1D3155"/>
                <w:sz w:val="16"/>
              </w:rPr>
              <w:t>Employer, broker, carrier, employees/dependents, dentists</w:t>
            </w:r>
          </w:p>
        </w:tc>
        <w:tc>
          <w:tcPr>
            <w:tcW w:type="dxa" w:w="1474"/>
            <w:shd w:fill="FFFFFF"/>
            <w:tcMar>
              <w:top w:w="100" w:type="dxa"/>
              <w:start w:w="100" w:type="dxa"/>
              <w:bottom w:w="100" w:type="dxa"/>
              <w:end w:w="100" w:type="dxa"/>
            </w:tcMar>
            <w:vAlign w:val="center"/>
          </w:tcPr>
          <w:p>
            <w:r>
              <w:rPr>
                <w:rFonts w:ascii="Arial" w:hAnsi="Arial" w:eastAsia="Arial" w:cs="Arial"/>
                <w:b w:val="0"/>
                <w:color w:val="1D3155"/>
                <w:sz w:val="16"/>
              </w:rPr>
              <w:t>No - market context</w:t>
            </w:r>
          </w:p>
        </w:tc>
      </w:tr>
      <w:tr>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Employer self-funded / ASO</w:t>
            </w:r>
          </w:p>
        </w:tc>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Employer</w:t>
            </w:r>
          </w:p>
        </w:tc>
        <w:tc>
          <w:tcPr>
            <w:tcW w:type="dxa" w:w="3969"/>
            <w:shd w:fill="F3F7FA"/>
            <w:tcMar>
              <w:top w:w="100" w:type="dxa"/>
              <w:start w:w="100" w:type="dxa"/>
              <w:bottom w:w="100" w:type="dxa"/>
              <w:end w:w="100" w:type="dxa"/>
            </w:tcMar>
            <w:vAlign w:val="center"/>
          </w:tcPr>
          <w:p>
            <w:r>
              <w:rPr>
                <w:rFonts w:ascii="Arial" w:hAnsi="Arial" w:eastAsia="Arial" w:cs="Arial"/>
                <w:b w:val="0"/>
                <w:color w:val="1D3155"/>
                <w:sz w:val="16"/>
              </w:rPr>
              <w:t>Employer, broker, dental carrier or TPA, employees/dependents, dentists</w:t>
            </w:r>
          </w:p>
        </w:tc>
        <w:tc>
          <w:tcPr>
            <w:tcW w:type="dxa" w:w="1474"/>
            <w:shd w:fill="F3F7FA"/>
            <w:tcMar>
              <w:top w:w="100" w:type="dxa"/>
              <w:start w:w="100" w:type="dxa"/>
              <w:bottom w:w="100" w:type="dxa"/>
              <w:end w:w="100" w:type="dxa"/>
            </w:tcMar>
            <w:vAlign w:val="center"/>
          </w:tcPr>
          <w:p>
            <w:r>
              <w:rPr>
                <w:rFonts w:ascii="Arial" w:hAnsi="Arial" w:eastAsia="Arial" w:cs="Arial"/>
                <w:b w:val="0"/>
                <w:color w:val="1D3155"/>
                <w:sz w:val="16"/>
              </w:rPr>
              <w:t>Yes - target lane</w:t>
            </w:r>
          </w:p>
        </w:tc>
      </w:tr>
      <w:tr>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Individual / family</w:t>
            </w:r>
          </w:p>
        </w:tc>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Individual and/or insurer under the product</w:t>
            </w:r>
          </w:p>
        </w:tc>
        <w:tc>
          <w:tcPr>
            <w:tcW w:type="dxa" w:w="3969"/>
            <w:shd w:fill="FFFFFF"/>
            <w:tcMar>
              <w:top w:w="100" w:type="dxa"/>
              <w:start w:w="100" w:type="dxa"/>
              <w:bottom w:w="100" w:type="dxa"/>
              <w:end w:w="100" w:type="dxa"/>
            </w:tcMar>
            <w:vAlign w:val="center"/>
          </w:tcPr>
          <w:p>
            <w:r>
              <w:rPr>
                <w:rFonts w:ascii="Arial" w:hAnsi="Arial" w:eastAsia="Arial" w:cs="Arial"/>
                <w:b w:val="0"/>
                <w:color w:val="1D3155"/>
                <w:sz w:val="16"/>
              </w:rPr>
              <w:t>Marketplace or direct issuer, member, dentist</w:t>
            </w:r>
          </w:p>
        </w:tc>
        <w:tc>
          <w:tcPr>
            <w:tcW w:type="dxa" w:w="1474"/>
            <w:shd w:fill="FFFFFF"/>
            <w:tcMar>
              <w:top w:w="100" w:type="dxa"/>
              <w:start w:w="100" w:type="dxa"/>
              <w:bottom w:w="100" w:type="dxa"/>
              <w:end w:w="100" w:type="dxa"/>
            </w:tcMar>
            <w:vAlign w:val="center"/>
          </w:tcPr>
          <w:p>
            <w:r>
              <w:rPr>
                <w:rFonts w:ascii="Arial" w:hAnsi="Arial" w:eastAsia="Arial" w:cs="Arial"/>
                <w:b w:val="0"/>
                <w:color w:val="1D3155"/>
                <w:sz w:val="16"/>
              </w:rPr>
              <w:t>No - market context</w:t>
            </w:r>
          </w:p>
        </w:tc>
      </w:tr>
      <w:tr>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Medicaid / CHIP</w:t>
            </w:r>
          </w:p>
        </w:tc>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Public program under federal/state structure</w:t>
            </w:r>
          </w:p>
        </w:tc>
        <w:tc>
          <w:tcPr>
            <w:tcW w:type="dxa" w:w="3969"/>
            <w:shd w:fill="F3F7FA"/>
            <w:tcMar>
              <w:top w:w="100" w:type="dxa"/>
              <w:start w:w="100" w:type="dxa"/>
              <w:bottom w:w="100" w:type="dxa"/>
              <w:end w:w="100" w:type="dxa"/>
            </w:tcMar>
            <w:vAlign w:val="center"/>
          </w:tcPr>
          <w:p>
            <w:r>
              <w:rPr>
                <w:rFonts w:ascii="Arial" w:hAnsi="Arial" w:eastAsia="Arial" w:cs="Arial"/>
                <w:b w:val="0"/>
                <w:color w:val="1D3155"/>
                <w:sz w:val="16"/>
              </w:rPr>
              <w:t>State, MCO where used, beneficiary, dentist</w:t>
            </w:r>
          </w:p>
        </w:tc>
        <w:tc>
          <w:tcPr>
            <w:tcW w:type="dxa" w:w="1474"/>
            <w:shd w:fill="F3F7FA"/>
            <w:tcMar>
              <w:top w:w="100" w:type="dxa"/>
              <w:start w:w="100" w:type="dxa"/>
              <w:bottom w:w="100" w:type="dxa"/>
              <w:end w:w="100" w:type="dxa"/>
            </w:tcMar>
            <w:vAlign w:val="center"/>
          </w:tcPr>
          <w:p>
            <w:r>
              <w:rPr>
                <w:rFonts w:ascii="Arial" w:hAnsi="Arial" w:eastAsia="Arial" w:cs="Arial"/>
                <w:b w:val="0"/>
                <w:color w:val="1D3155"/>
                <w:sz w:val="16"/>
              </w:rPr>
              <w:t>No - market context</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FFF0F0"/>
            <w:tcMar>
              <w:top w:w="180" w:type="dxa"/>
              <w:start w:w="160" w:type="dxa"/>
              <w:bottom w:w="180" w:type="dxa"/>
              <w:end w:w="160" w:type="dxa"/>
            </w:tcMar>
            <w:vAlign w:val="center"/>
          </w:tcPr>
          <w:p>
            <w:r>
              <w:rPr>
                <w:rFonts w:ascii="Arial" w:hAnsi="Arial" w:eastAsia="Arial" w:cs="Arial"/>
                <w:b/>
                <w:color w:val="1D3155"/>
                <w:sz w:val="22"/>
              </w:rPr>
              <w:t>Sponsor + broker</w:t>
              <w:br/>
            </w:r>
            <w:r>
              <w:rPr>
                <w:rFonts w:ascii="Arial" w:hAnsi="Arial" w:eastAsia="Arial" w:cs="Arial"/>
                <w:b w:val="0"/>
                <w:color w:val="63738A"/>
                <w:sz w:val="19"/>
              </w:rPr>
              <w:t>Select funding, benefit design and administrator</w:t>
            </w:r>
          </w:p>
        </w:tc>
        <w:tc>
          <w:tcPr>
            <w:tcW w:type="dxa" w:w="2466"/>
            <w:shd w:fill="EAF7FC"/>
            <w:tcMar>
              <w:top w:w="180" w:type="dxa"/>
              <w:start w:w="160" w:type="dxa"/>
              <w:bottom w:w="180" w:type="dxa"/>
              <w:end w:w="160" w:type="dxa"/>
            </w:tcMar>
            <w:vAlign w:val="center"/>
          </w:tcPr>
          <w:p>
            <w:r>
              <w:rPr>
                <w:rFonts w:ascii="Arial" w:hAnsi="Arial" w:eastAsia="Arial" w:cs="Arial"/>
                <w:b/>
                <w:color w:val="1D3155"/>
                <w:sz w:val="22"/>
              </w:rPr>
              <w:t>Carrier / TPA / MCO</w:t>
              <w:br/>
            </w:r>
            <w:r>
              <w:rPr>
                <w:rFonts w:ascii="Arial" w:hAnsi="Arial" w:eastAsia="Arial" w:cs="Arial"/>
                <w:b w:val="0"/>
                <w:color w:val="63738A"/>
                <w:sz w:val="19"/>
              </w:rPr>
              <w:t>Operate eligibility, benefits, network and/or claims</w:t>
            </w:r>
          </w:p>
        </w:tc>
        <w:tc>
          <w:tcPr>
            <w:tcW w:type="dxa" w:w="2466"/>
            <w:shd w:fill="FFF7E8"/>
            <w:tcMar>
              <w:top w:w="180" w:type="dxa"/>
              <w:start w:w="160" w:type="dxa"/>
              <w:bottom w:w="180" w:type="dxa"/>
              <w:end w:w="160" w:type="dxa"/>
            </w:tcMar>
            <w:vAlign w:val="center"/>
          </w:tcPr>
          <w:p>
            <w:r>
              <w:rPr>
                <w:rFonts w:ascii="Arial" w:hAnsi="Arial" w:eastAsia="Arial" w:cs="Arial"/>
                <w:b/>
                <w:color w:val="1D3155"/>
                <w:sz w:val="22"/>
              </w:rPr>
              <w:t>Member + dentist</w:t>
              <w:br/>
            </w:r>
            <w:r>
              <w:rPr>
                <w:rFonts w:ascii="Arial" w:hAnsi="Arial" w:eastAsia="Arial" w:cs="Arial"/>
                <w:b w:val="0"/>
                <w:color w:val="63738A"/>
                <w:sz w:val="19"/>
              </w:rPr>
              <w:t>Receive care and submit dental claims</w:t>
            </w:r>
          </w:p>
        </w:tc>
        <w:tc>
          <w:tcPr>
            <w:tcW w:type="dxa" w:w="2466"/>
            <w:shd w:fill="EAF6F5"/>
            <w:tcMar>
              <w:top w:w="180" w:type="dxa"/>
              <w:start w:w="160" w:type="dxa"/>
              <w:bottom w:w="180" w:type="dxa"/>
              <w:end w:w="160" w:type="dxa"/>
            </w:tcMar>
            <w:vAlign w:val="center"/>
          </w:tcPr>
          <w:p>
            <w:r>
              <w:rPr>
                <w:rFonts w:ascii="Arial" w:hAnsi="Arial" w:eastAsia="Arial" w:cs="Arial"/>
                <w:b/>
                <w:color w:val="1D3155"/>
                <w:sz w:val="22"/>
              </w:rPr>
              <w:t>Claims + evidence</w:t>
              <w:br/>
            </w:r>
            <w:r>
              <w:rPr>
                <w:rFonts w:ascii="Arial" w:hAnsi="Arial" w:eastAsia="Arial" w:cs="Arial"/>
                <w:b w:val="0"/>
                <w:color w:val="63738A"/>
                <w:sz w:val="19"/>
              </w:rPr>
              <w:t>Confirm procedures, allowed, plan-paid and OOP</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Arial" w:hAnsi="Arial" w:eastAsia="Arial" w:cs="Arial"/>
                <w:b/>
                <w:color w:val="FFFFFF"/>
                <w:sz w:val="18"/>
              </w:rPr>
              <w:t>CURRENT POC SCOPE</w:t>
            </w:r>
          </w:p>
        </w:tc>
        <w:tc>
          <w:tcPr>
            <w:tcW w:type="dxa" w:w="4933"/>
            <w:shd w:fill="EAF7FC"/>
            <w:vAlign w:val="center"/>
            <w:tcMar>
              <w:top w:w="130" w:type="dxa"/>
              <w:start w:w="150" w:type="dxa"/>
              <w:bottom w:w="130" w:type="dxa"/>
              <w:end w:w="150" w:type="dxa"/>
            </w:tcMar>
          </w:tcPr>
          <w:p>
            <w:r>
              <w:rPr>
                <w:rFonts w:ascii="Arial" w:hAnsi="Arial" w:eastAsia="Arial" w:cs="Arial"/>
                <w:b w:val="0"/>
                <w:color w:val="1D3155"/>
                <w:sz w:val="20"/>
              </w:rPr>
              <w:t>U.S. self-funded employer + dental carrier/TPA + employees/dependents. Data rights, legal entity, cloud/region and claim-line availability must be validated account by account.</w:t>
            </w:r>
          </w:p>
        </w:tc>
      </w:tr>
    </w:tbl>
    <w:p>
      <w:pPr>
        <w:spacing w:after="0"/>
      </w:pPr>
    </w:p>
    <w:p>
      <w:r>
        <w:br w:type="page"/>
      </w:r>
    </w:p>
    <w:p>
      <w:pPr>
        <w:spacing w:after="80"/>
      </w:pPr>
      <w:r>
        <w:rPr>
          <w:rFonts w:ascii="Arial" w:hAnsi="Arial" w:eastAsia="Arial" w:cs="Arial"/>
          <w:b/>
          <w:color w:val="008A94"/>
          <w:sz w:val="20"/>
        </w:rPr>
        <w:t>PRODUCT</w:t>
      </w:r>
    </w:p>
    <w:p>
      <w:pPr>
        <w:pStyle w:val="Heading1"/>
        <w:spacing w:after="100"/>
      </w:pPr>
      <w:r>
        <w:t>ICLO Connects Dental-Benefit Context to Employee-Initiated Action</w:t>
      </w:r>
    </w:p>
    <w:p>
      <w:pPr>
        <w:spacing w:after="200"/>
      </w:pPr>
      <w:r>
        <w:rPr>
          <w:rFonts w:ascii="Arial" w:hAnsi="Arial" w:eastAsia="Arial" w:cs="Arial"/>
          <w:b w:val="0"/>
          <w:color w:val="63738A"/>
          <w:sz w:val="23"/>
        </w:rPr>
        <w:t>ICLO is an employee benefits workflow with a claims-verified evidence layer - not another teledentistry consultation app.</w:t>
      </w:r>
    </w:p>
    <w:tbl>
      <w:tblPr>
        <w:tblW w:type="auto" w:w="0"/>
        <w:jc w:val="center"/>
        <w:tblLayout w:type="fixed"/>
        <w:tblLook w:firstColumn="1" w:firstRow="1" w:lastColumn="0" w:lastRow="0" w:noHBand="0" w:noVBand="1" w:val="04A0"/>
      </w:tblPr>
      <w:tblGrid>
        <w:gridCol w:w="1928"/>
        <w:gridCol w:w="4649"/>
        <w:gridCol w:w="3175"/>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8"/>
              </w:rPr>
              <w:t>Layer</w:t>
            </w:r>
          </w:p>
        </w:tc>
        <w:tc>
          <w:tcPr>
            <w:tcW w:type="dxa" w:w="3289"/>
            <w:shd w:fill="008A94"/>
            <w:tcMar>
              <w:top w:w="120" w:type="dxa"/>
              <w:start w:w="100" w:type="dxa"/>
              <w:bottom w:w="120" w:type="dxa"/>
              <w:end w:w="100" w:type="dxa"/>
            </w:tcMar>
          </w:tcPr>
          <w:p>
            <w:r>
              <w:rPr>
                <w:rFonts w:ascii="Arial" w:hAnsi="Arial" w:eastAsia="Arial" w:cs="Arial"/>
                <w:b/>
                <w:color w:val="FFFFFF"/>
                <w:sz w:val="18"/>
              </w:rPr>
              <w:t>What it contains</w:t>
            </w:r>
          </w:p>
        </w:tc>
        <w:tc>
          <w:tcPr>
            <w:tcW w:type="dxa" w:w="3289"/>
            <w:shd w:fill="008A94"/>
            <w:tcMar>
              <w:top w:w="120" w:type="dxa"/>
              <w:start w:w="100" w:type="dxa"/>
              <w:bottom w:w="120" w:type="dxa"/>
              <w:end w:w="100" w:type="dxa"/>
            </w:tcMar>
          </w:tcPr>
          <w:p>
            <w:r>
              <w:rPr>
                <w:rFonts w:ascii="Arial" w:hAnsi="Arial" w:eastAsia="Arial" w:cs="Arial"/>
                <w:b/>
                <w:color w:val="FFFFFF"/>
                <w:sz w:val="18"/>
              </w:rPr>
              <w:t>Operating discipline</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8"/>
              </w:rPr>
              <w:t>Employee experience</w:t>
            </w:r>
          </w:p>
        </w:tc>
        <w:tc>
          <w:tcPr>
            <w:tcW w:type="dxa" w:w="4649"/>
            <w:shd w:fill="FFFFFF"/>
            <w:tcMar>
              <w:top w:w="100" w:type="dxa"/>
              <w:start w:w="100" w:type="dxa"/>
              <w:bottom w:w="100" w:type="dxa"/>
              <w:end w:w="100" w:type="dxa"/>
            </w:tcMar>
            <w:vAlign w:val="center"/>
          </w:tcPr>
          <w:p>
            <w:r>
              <w:rPr>
                <w:rFonts w:ascii="Arial" w:hAnsi="Arial" w:eastAsia="Arial" w:cs="Arial"/>
                <w:b w:val="0"/>
                <w:color w:val="1D3155"/>
                <w:sz w:val="18"/>
              </w:rPr>
              <w:t>Self-reported concern, benefit understanding, optional oral image, provider search, requested support</w:t>
            </w:r>
          </w:p>
        </w:tc>
        <w:tc>
          <w:tcPr>
            <w:tcW w:type="dxa" w:w="3175"/>
            <w:shd w:fill="FFFFFF"/>
            <w:tcMar>
              <w:top w:w="100" w:type="dxa"/>
              <w:start w:w="100" w:type="dxa"/>
              <w:bottom w:w="100" w:type="dxa"/>
              <w:end w:w="100" w:type="dxa"/>
            </w:tcMar>
            <w:vAlign w:val="center"/>
          </w:tcPr>
          <w:p>
            <w:r>
              <w:rPr>
                <w:rFonts w:ascii="Arial" w:hAnsi="Arial" w:eastAsia="Arial" w:cs="Arial"/>
                <w:b w:val="0"/>
                <w:color w:val="1D3155"/>
                <w:sz w:val="18"/>
              </w:rPr>
              <w:t>Employee action or human-assisted navigation remains explicit</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8"/>
              </w:rPr>
              <w:t>Benefit and provider context</w:t>
            </w:r>
          </w:p>
        </w:tc>
        <w:tc>
          <w:tcPr>
            <w:tcW w:type="dxa" w:w="4649"/>
            <w:shd w:fill="F3F7FA"/>
            <w:tcMar>
              <w:top w:w="100" w:type="dxa"/>
              <w:start w:w="100" w:type="dxa"/>
              <w:bottom w:w="100" w:type="dxa"/>
              <w:end w:w="100" w:type="dxa"/>
            </w:tcMar>
            <w:vAlign w:val="center"/>
          </w:tcPr>
          <w:p>
            <w:r>
              <w:rPr>
                <w:rFonts w:ascii="Arial" w:hAnsi="Arial" w:eastAsia="Arial" w:cs="Arial"/>
                <w:b w:val="0"/>
                <w:color w:val="1D3155"/>
                <w:sz w:val="18"/>
              </w:rPr>
              <w:t>Eligibility, network, plan rules, deductible, coinsurance, annual maximum, available appointments</w:t>
            </w:r>
          </w:p>
        </w:tc>
        <w:tc>
          <w:tcPr>
            <w:tcW w:type="dxa" w:w="3175"/>
            <w:shd w:fill="F3F7FA"/>
            <w:tcMar>
              <w:top w:w="100" w:type="dxa"/>
              <w:start w:w="100" w:type="dxa"/>
              <w:bottom w:w="100" w:type="dxa"/>
              <w:end w:w="100" w:type="dxa"/>
            </w:tcMar>
            <w:vAlign w:val="center"/>
          </w:tcPr>
          <w:p>
            <w:r>
              <w:rPr>
                <w:rFonts w:ascii="Arial" w:hAnsi="Arial" w:eastAsia="Arial" w:cs="Arial"/>
                <w:b w:val="0"/>
                <w:color w:val="1D3155"/>
                <w:sz w:val="18"/>
              </w:rPr>
              <w:t>Only where contractually obtainable</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8"/>
              </w:rPr>
              <w:t>Claims evidence</w:t>
            </w:r>
          </w:p>
        </w:tc>
        <w:tc>
          <w:tcPr>
            <w:tcW w:type="dxa" w:w="4649"/>
            <w:shd w:fill="FFFFFF"/>
            <w:tcMar>
              <w:top w:w="100" w:type="dxa"/>
              <w:start w:w="100" w:type="dxa"/>
              <w:bottom w:w="100" w:type="dxa"/>
              <w:end w:w="100" w:type="dxa"/>
            </w:tcMar>
            <w:vAlign w:val="center"/>
          </w:tcPr>
          <w:p>
            <w:r>
              <w:rPr>
                <w:rFonts w:ascii="Arial" w:hAnsi="Arial" w:eastAsia="Arial" w:cs="Arial"/>
                <w:b w:val="0"/>
                <w:color w:val="1D3155"/>
                <w:sz w:val="18"/>
              </w:rPr>
              <w:t>Member-month denominator, preventive completion, allowed, plan-paid, employee OOP, treatment mix, run-out</w:t>
            </w:r>
          </w:p>
        </w:tc>
        <w:tc>
          <w:tcPr>
            <w:tcW w:type="dxa" w:w="3175"/>
            <w:shd w:fill="FFFFFF"/>
            <w:tcMar>
              <w:top w:w="100" w:type="dxa"/>
              <w:start w:w="100" w:type="dxa"/>
              <w:bottom w:w="100" w:type="dxa"/>
              <w:end w:w="100" w:type="dxa"/>
            </w:tcMar>
            <w:vAlign w:val="center"/>
          </w:tcPr>
          <w:p>
            <w:r>
              <w:rPr>
                <w:rFonts w:ascii="Arial" w:hAnsi="Arial" w:eastAsia="Arial" w:cs="Arial"/>
                <w:b w:val="0"/>
                <w:color w:val="1D3155"/>
                <w:sz w:val="18"/>
              </w:rPr>
              <w:t>Employer output is aggregate only</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8"/>
              </w:rPr>
              <w:t>Shadow signal</w:t>
            </w:r>
          </w:p>
        </w:tc>
        <w:tc>
          <w:tcPr>
            <w:tcW w:type="dxa" w:w="4649"/>
            <w:shd w:fill="F3F7FA"/>
            <w:tcMar>
              <w:top w:w="100" w:type="dxa"/>
              <w:start w:w="100" w:type="dxa"/>
              <w:bottom w:w="100" w:type="dxa"/>
              <w:end w:w="100" w:type="dxa"/>
            </w:tcMar>
            <w:vAlign w:val="center"/>
          </w:tcPr>
          <w:p>
            <w:r>
              <w:rPr>
                <w:rFonts w:ascii="Arial" w:hAnsi="Arial" w:eastAsia="Arial" w:cs="Arial"/>
                <w:b w:val="0"/>
                <w:color w:val="1D3155"/>
                <w:sz w:val="18"/>
              </w:rPr>
              <w:t>Image reference, capture time, model version, quality flag and signal band -- plus the person surrogate key, the capturing credential and the employer id, all of which are PHI-scoped</w:t>
            </w:r>
          </w:p>
        </w:tc>
        <w:tc>
          <w:tcPr>
            <w:tcW w:type="dxa" w:w="3175"/>
            <w:shd w:fill="F3F7FA"/>
            <w:tcMar>
              <w:top w:w="100" w:type="dxa"/>
              <w:start w:w="100" w:type="dxa"/>
              <w:bottom w:w="100" w:type="dxa"/>
              <w:end w:w="100" w:type="dxa"/>
            </w:tcMar>
            <w:vAlign w:val="center"/>
          </w:tcPr>
          <w:p>
            <w:r>
              <w:rPr>
                <w:rFonts w:ascii="Arial" w:hAnsi="Arial" w:eastAsia="Arial" w:cs="Arial"/>
                <w:b w:val="0"/>
                <w:color w:val="1D3155"/>
                <w:sz w:val="18"/>
              </w:rPr>
              <w:t>No raw disease probabilities; no automated provider, urgency or treatment-pathway decision</w:t>
            </w:r>
          </w:p>
        </w:tc>
      </w:tr>
    </w:tbl>
    <w:p>
      <w:pPr>
        <w:spacing w:after="0"/>
      </w:pPr>
    </w:p>
    <w:p>
      <w:r>
        <w:rPr>
          <w:rFonts w:ascii="Arial" w:hAnsi="Arial" w:eastAsia="Arial" w:cs="Arial"/>
          <w:b/>
          <w:color w:val="1D3155"/>
          <w:sz w:val="22"/>
        </w:rPr>
        <w:t>ICLO is not:</w:t>
      </w:r>
      <w:r>
        <w:rPr>
          <w:rFonts w:ascii="Arial" w:hAnsi="Arial" w:eastAsia="Arial" w:cs="Arial"/>
          <w:b w:val="0"/>
          <w:color w:val="1D3155"/>
          <w:sz w:val="22"/>
        </w:rPr>
        <w:t xml:space="preserve"> a direct-to-consumer diagnostic AI, an underwriting or employee-risk scoring product, a provider-referral marketplace, or a first-year claims-savings promise. HomeDen PMS/EMR/CRM, insurance-product manufacturing, individual underwriting and automated claims adjudication are outside this PoC; they are conditional follow-on work, not part of what is being validated here.</w:t>
      </w: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PROVISIONAL REDLINE</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Separate signal, navigation and referral-event tables; timestamp employee action and consent; maintain purpose-based access and model-version lineage, pending U.S. regulatory counsel review.</w:t>
            </w:r>
          </w:p>
        </w:tc>
      </w:tr>
    </w:tbl>
    <w:p>
      <w:pPr>
        <w:spacing w:after="0"/>
      </w:pPr>
    </w:p>
    <w:p>
      <w:r>
        <w:br w:type="page"/>
      </w:r>
    </w:p>
    <w:p>
      <w:pPr>
        <w:spacing w:after="80"/>
      </w:pPr>
      <w:r>
        <w:rPr>
          <w:rFonts w:ascii="Arial" w:hAnsi="Arial" w:eastAsia="Arial" w:cs="Arial"/>
          <w:b/>
          <w:color w:val="008A94"/>
          <w:sz w:val="20"/>
        </w:rPr>
        <w:t>ARCHITECTURE</w:t>
      </w:r>
    </w:p>
    <w:p>
      <w:pPr>
        <w:pStyle w:val="Heading1"/>
        <w:spacing w:after="100"/>
      </w:pPr>
      <w:r>
        <w:t>Snowflake as the Governed Evidence and Collaboration Plane</w:t>
      </w:r>
    </w:p>
    <w:p>
      <w:pPr>
        <w:spacing w:after="200"/>
      </w:pPr>
      <w:r>
        <w:rPr>
          <w:rFonts w:ascii="Arial" w:hAnsi="Arial" w:eastAsia="Arial" w:cs="Arial"/>
          <w:b w:val="0"/>
          <w:color w:val="63738A"/>
          <w:sz w:val="23"/>
        </w:rPr>
        <w:t>Structured eligibility, plan, event and dental-claims data converge in Snowflake; raw oral images follow a separate controlled path.</w:t>
      </w:r>
    </w:p>
    <w:p>
      <w:r>
        <w:rPr>
          <w:rFonts w:ascii="Arial" w:hAnsi="Arial" w:eastAsia="Arial" w:cs="Arial"/>
          <w:b/>
          <w:color w:val="1D3155"/>
          <w:sz w:val="22"/>
        </w:rPr>
        <w:t>Structured evidence path</w:t>
      </w:r>
      <w:r>
        <w:rPr>
          <w:rFonts w:ascii="Arial" w:hAnsi="Arial" w:eastAsia="Arial" w:cs="Arial"/>
          <w:b w:val="0"/>
          <w:color w:val="1D3155"/>
          <w:sz w:val="22"/>
        </w:rPr>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973"/>
            <w:shd w:fill="EAF7FC"/>
            <w:tcMar>
              <w:top w:w="180" w:type="dxa"/>
              <w:start w:w="160" w:type="dxa"/>
              <w:bottom w:w="180" w:type="dxa"/>
              <w:end w:w="160" w:type="dxa"/>
            </w:tcMar>
            <w:vAlign w:val="center"/>
          </w:tcPr>
          <w:p>
            <w:r>
              <w:rPr>
                <w:rFonts w:ascii="Arial" w:hAnsi="Arial" w:eastAsia="Arial" w:cs="Arial"/>
                <w:b/>
                <w:color w:val="1D3155"/>
                <w:sz w:val="22"/>
              </w:rPr>
              <w:t>App events</w:t>
              <w:br/>
            </w:r>
            <w:r>
              <w:rPr>
                <w:rFonts w:ascii="Arial" w:hAnsi="Arial" w:eastAsia="Arial" w:cs="Arial"/>
                <w:b w:val="0"/>
                <w:color w:val="63738A"/>
                <w:sz w:val="19"/>
              </w:rPr>
              <w:t>Consent and employee actions</w:t>
            </w:r>
          </w:p>
        </w:tc>
        <w:tc>
          <w:tcPr>
            <w:tcW w:type="dxa" w:w="1973"/>
            <w:shd w:fill="EAF7FC"/>
            <w:tcMar>
              <w:top w:w="180" w:type="dxa"/>
              <w:start w:w="160" w:type="dxa"/>
              <w:bottom w:w="180" w:type="dxa"/>
              <w:end w:w="160" w:type="dxa"/>
            </w:tcMar>
            <w:vAlign w:val="center"/>
          </w:tcPr>
          <w:p>
            <w:r>
              <w:rPr>
                <w:rFonts w:ascii="Arial" w:hAnsi="Arial" w:eastAsia="Arial" w:cs="Arial"/>
                <w:b/>
                <w:color w:val="1D3155"/>
                <w:sz w:val="22"/>
              </w:rPr>
              <w:t>HRIS eligibility</w:t>
              <w:br/>
            </w:r>
            <w:r>
              <w:rPr>
                <w:rFonts w:ascii="Arial" w:hAnsi="Arial" w:eastAsia="Arial" w:cs="Arial"/>
                <w:b w:val="0"/>
                <w:color w:val="63738A"/>
                <w:sz w:val="19"/>
              </w:rPr>
              <w:t>Employee and dependent denominator</w:t>
            </w:r>
          </w:p>
        </w:tc>
        <w:tc>
          <w:tcPr>
            <w:tcW w:type="dxa" w:w="1973"/>
            <w:shd w:fill="EAF7FC"/>
            <w:tcMar>
              <w:top w:w="180" w:type="dxa"/>
              <w:start w:w="160" w:type="dxa"/>
              <w:bottom w:w="180" w:type="dxa"/>
              <w:end w:w="160" w:type="dxa"/>
            </w:tcMar>
            <w:vAlign w:val="center"/>
          </w:tcPr>
          <w:p>
            <w:r>
              <w:rPr>
                <w:rFonts w:ascii="Arial" w:hAnsi="Arial" w:eastAsia="Arial" w:cs="Arial"/>
                <w:b/>
                <w:color w:val="1D3155"/>
                <w:sz w:val="22"/>
              </w:rPr>
              <w:t>Plan + provider context</w:t>
              <w:br/>
            </w:r>
            <w:r>
              <w:rPr>
                <w:rFonts w:ascii="Arial" w:hAnsi="Arial" w:eastAsia="Arial" w:cs="Arial"/>
                <w:b w:val="0"/>
                <w:color w:val="63738A"/>
                <w:sz w:val="19"/>
              </w:rPr>
              <w:t>Network and benefit rules</w:t>
            </w:r>
          </w:p>
        </w:tc>
        <w:tc>
          <w:tcPr>
            <w:tcW w:type="dxa" w:w="1973"/>
            <w:shd w:fill="EAF7FC"/>
            <w:tcMar>
              <w:top w:w="180" w:type="dxa"/>
              <w:start w:w="160" w:type="dxa"/>
              <w:bottom w:w="180" w:type="dxa"/>
              <w:end w:w="160" w:type="dxa"/>
            </w:tcMar>
            <w:vAlign w:val="center"/>
          </w:tcPr>
          <w:p>
            <w:r>
              <w:rPr>
                <w:rFonts w:ascii="Arial" w:hAnsi="Arial" w:eastAsia="Arial" w:cs="Arial"/>
                <w:b/>
                <w:color w:val="1D3155"/>
                <w:sz w:val="22"/>
              </w:rPr>
              <w:t>TPA/carrier claims</w:t>
              <w:br/>
            </w:r>
            <w:r>
              <w:rPr>
                <w:rFonts w:ascii="Arial" w:hAnsi="Arial" w:eastAsia="Arial" w:cs="Arial"/>
                <w:b w:val="0"/>
                <w:color w:val="63738A"/>
                <w:sz w:val="19"/>
              </w:rPr>
              <w:t>Dental claim lines and run-out</w:t>
            </w:r>
          </w:p>
        </w:tc>
        <w:tc>
          <w:tcPr>
            <w:tcW w:type="dxa" w:w="1973"/>
            <w:shd w:fill="EAF6F5"/>
            <w:tcMar>
              <w:top w:w="180" w:type="dxa"/>
              <w:start w:w="160" w:type="dxa"/>
              <w:bottom w:w="180" w:type="dxa"/>
              <w:end w:w="160" w:type="dxa"/>
            </w:tcMar>
            <w:vAlign w:val="center"/>
          </w:tcPr>
          <w:p>
            <w:r>
              <w:rPr>
                <w:rFonts w:ascii="Arial" w:hAnsi="Arial" w:eastAsia="Arial" w:cs="Arial"/>
                <w:b/>
                <w:color w:val="1D3155"/>
                <w:sz w:val="22"/>
              </w:rPr>
              <w:t>Snowflake evidence layer</w:t>
              <w:br/>
            </w:r>
            <w:r>
              <w:rPr>
                <w:rFonts w:ascii="Arial" w:hAnsi="Arial" w:eastAsia="Arial" w:cs="Arial"/>
                <w:b w:val="0"/>
                <w:color w:val="63738A"/>
                <w:sz w:val="19"/>
              </w:rPr>
              <w:t>Canonical model, controls, aggregate outcomes</w:t>
            </w:r>
          </w:p>
        </w:tc>
      </w:tr>
    </w:tbl>
    <w:p>
      <w:pPr>
        <w:spacing w:after="0"/>
      </w:pPr>
    </w:p>
    <w:p>
      <w:r>
        <w:rPr>
          <w:rFonts w:ascii="Arial" w:hAnsi="Arial" w:eastAsia="Arial" w:cs="Arial"/>
          <w:b/>
          <w:color w:val="1D3155"/>
          <w:sz w:val="22"/>
        </w:rPr>
        <w:t>Raw-image path</w:t>
      </w:r>
      <w:r>
        <w:rPr>
          <w:rFonts w:ascii="Arial" w:hAnsi="Arial" w:eastAsia="Arial" w:cs="Arial"/>
          <w:b w:val="0"/>
          <w:color w:val="1D3155"/>
          <w:sz w:val="22"/>
        </w:rPr>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FFF0F0"/>
            <w:tcMar>
              <w:top w:w="180" w:type="dxa"/>
              <w:start w:w="160" w:type="dxa"/>
              <w:bottom w:w="180" w:type="dxa"/>
              <w:end w:w="160" w:type="dxa"/>
            </w:tcMar>
            <w:vAlign w:val="center"/>
          </w:tcPr>
          <w:p>
            <w:r>
              <w:rPr>
                <w:rFonts w:ascii="Arial" w:hAnsi="Arial" w:eastAsia="Arial" w:cs="Arial"/>
                <w:b/>
                <w:color w:val="1D3155"/>
                <w:sz w:val="22"/>
              </w:rPr>
              <w:t>Raw oral image</w:t>
              <w:br/>
            </w:r>
            <w:r>
              <w:rPr>
                <w:rFonts w:ascii="Arial" w:hAnsi="Arial" w:eastAsia="Arial" w:cs="Arial"/>
                <w:b w:val="0"/>
                <w:color w:val="63738A"/>
                <w:sz w:val="19"/>
              </w:rPr>
              <w:t>Controlled U.S. object storage / PHI vault</w:t>
            </w:r>
          </w:p>
        </w:tc>
        <w:tc>
          <w:tcPr>
            <w:tcW w:type="dxa" w:w="2466"/>
            <w:shd w:fill="FFF7E8"/>
            <w:tcMar>
              <w:top w:w="180" w:type="dxa"/>
              <w:start w:w="160" w:type="dxa"/>
              <w:bottom w:w="180" w:type="dxa"/>
              <w:end w:w="160" w:type="dxa"/>
            </w:tcMar>
            <w:vAlign w:val="center"/>
          </w:tcPr>
          <w:p>
            <w:r>
              <w:rPr>
                <w:rFonts w:ascii="Arial" w:hAnsi="Arial" w:eastAsia="Arial" w:cs="Arial"/>
                <w:b/>
                <w:color w:val="1D3155"/>
                <w:sz w:val="22"/>
              </w:rPr>
              <w:t>Shadow inference</w:t>
              <w:br/>
            </w:r>
            <w:r>
              <w:rPr>
                <w:rFonts w:ascii="Arial" w:hAnsi="Arial" w:eastAsia="Arial" w:cs="Arial"/>
                <w:b w:val="0"/>
                <w:color w:val="63738A"/>
                <w:sz w:val="19"/>
              </w:rPr>
              <w:t>Model endpoint and validation outside this proposal</w:t>
            </w:r>
          </w:p>
        </w:tc>
        <w:tc>
          <w:tcPr>
            <w:tcW w:type="dxa" w:w="2466"/>
            <w:shd w:fill="EAF7FC"/>
            <w:tcMar>
              <w:top w:w="180" w:type="dxa"/>
              <w:start w:w="160" w:type="dxa"/>
              <w:bottom w:w="180" w:type="dxa"/>
              <w:end w:w="160" w:type="dxa"/>
            </w:tcMar>
            <w:vAlign w:val="center"/>
          </w:tcPr>
          <w:p>
            <w:r>
              <w:rPr>
                <w:rFonts w:ascii="Arial" w:hAnsi="Arial" w:eastAsia="Arial" w:cs="Arial"/>
                <w:b/>
                <w:color w:val="1D3155"/>
                <w:sz w:val="22"/>
              </w:rPr>
              <w:t>Snowflake</w:t>
              <w:br/>
            </w:r>
            <w:r>
              <w:rPr>
                <w:rFonts w:ascii="Arial" w:hAnsi="Arial" w:eastAsia="Arial" w:cs="Arial"/>
                <w:b w:val="0"/>
                <w:color w:val="63738A"/>
                <w:sz w:val="19"/>
              </w:rPr>
              <w:t>No image binaries. Person-linked references and signals do enter</w:t>
            </w:r>
          </w:p>
        </w:tc>
        <w:tc>
          <w:tcPr>
            <w:tcW w:type="dxa" w:w="2466"/>
            <w:shd w:fill="EAF6F5"/>
            <w:tcMar>
              <w:top w:w="180" w:type="dxa"/>
              <w:start w:w="160" w:type="dxa"/>
              <w:bottom w:w="180" w:type="dxa"/>
              <w:end w:w="160" w:type="dxa"/>
            </w:tcMar>
            <w:vAlign w:val="center"/>
          </w:tcPr>
          <w:p>
            <w:r>
              <w:rPr>
                <w:rFonts w:ascii="Arial" w:hAnsi="Arial" w:eastAsia="Arial" w:cs="Arial"/>
                <w:b/>
                <w:color w:val="1D3155"/>
                <w:sz w:val="22"/>
              </w:rPr>
              <w:t>Employer dashboard</w:t>
              <w:br/>
            </w:r>
            <w:r>
              <w:rPr>
                <w:rFonts w:ascii="Arial" w:hAnsi="Arial" w:eastAsia="Arial" w:cs="Arial"/>
                <w:b w:val="0"/>
                <w:color w:val="63738A"/>
                <w:sz w:val="19"/>
              </w:rPr>
              <w:t>Aggregate views; no employee-level routing or health signal</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PLATFORM PREREQUISITE</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Individual-level records exist in the governed processing layer - member-months, claim lines and app events cannot be computed without them. What the controls govern is who may read them: employer-facing output is aggregate and excludes employee-level PHI. If PHI is processed in Snowflake, Business Critical and an executed BAA are platform prerequisites. They do not make ICLO as a whole HIPAA-compliant.</w:t>
            </w:r>
          </w:p>
        </w:tc>
      </w:tr>
    </w:tbl>
    <w:p>
      <w:pPr>
        <w:spacing w:after="0"/>
      </w:pPr>
    </w:p>
    <w:p>
      <w:r>
        <w:br w:type="page"/>
      </w:r>
    </w:p>
    <w:p>
      <w:pPr>
        <w:spacing w:after="80"/>
      </w:pPr>
      <w:r>
        <w:rPr>
          <w:rFonts w:ascii="Arial" w:hAnsi="Arial" w:eastAsia="Arial" w:cs="Arial"/>
          <w:b/>
          <w:color w:val="008A94"/>
          <w:sz w:val="20"/>
        </w:rPr>
        <w:t>EVIDENCE DESIGN</w:t>
      </w:r>
    </w:p>
    <w:p>
      <w:pPr>
        <w:pStyle w:val="Heading1"/>
        <w:spacing w:after="100"/>
      </w:pPr>
      <w:r>
        <w:t>The Dashboard Makes Data Quality and Privacy Visible</w:t>
      </w:r>
    </w:p>
    <w:p>
      <w:pPr>
        <w:spacing w:after="200"/>
      </w:pPr>
      <w:r>
        <w:rPr>
          <w:rFonts w:ascii="Arial" w:hAnsi="Arial" w:eastAsia="Arial" w:cs="Arial"/>
          <w:b w:val="0"/>
          <w:color w:val="63738A"/>
          <w:sz w:val="23"/>
        </w:rPr>
        <w:t>The current dashboard is synthetic visual proof, not a performance claim.</w:t>
      </w:r>
    </w:p>
    <w:tbl>
      <w:tblPr>
        <w:tblW w:type="auto" w:w="0"/>
        <w:jc w:val="center"/>
        <w:tblLayout w:type="fixed"/>
        <w:tblLook w:firstColumn="1" w:firstRow="1" w:lastColumn="0" w:lastRow="0" w:noHBand="0" w:noVBand="1" w:val="04A0"/>
      </w:tblPr>
      <w:tblGrid>
        <w:gridCol w:w="3175"/>
        <w:gridCol w:w="6576"/>
      </w:tblGrid>
      <w:tr>
        <w:trPr>
          <w:tblHeader w:val="true"/>
        </w:trPr>
        <w:tc>
          <w:tcPr>
            <w:tcW w:type="dxa" w:w="4933"/>
            <w:shd w:fill="008A94"/>
            <w:tcMar>
              <w:top w:w="120" w:type="dxa"/>
              <w:start w:w="100" w:type="dxa"/>
              <w:bottom w:w="120" w:type="dxa"/>
              <w:end w:w="100" w:type="dxa"/>
            </w:tcMar>
          </w:tcPr>
          <w:p>
            <w:r>
              <w:rPr>
                <w:rFonts w:ascii="Arial" w:hAnsi="Arial" w:eastAsia="Arial" w:cs="Arial"/>
                <w:b/>
                <w:color w:val="FFFFFF"/>
                <w:sz w:val="19"/>
              </w:rPr>
              <w:t>Visible control</w:t>
            </w:r>
          </w:p>
        </w:tc>
        <w:tc>
          <w:tcPr>
            <w:tcW w:type="dxa" w:w="4933"/>
            <w:shd w:fill="008A94"/>
            <w:tcMar>
              <w:top w:w="120" w:type="dxa"/>
              <w:start w:w="100" w:type="dxa"/>
              <w:bottom w:w="120" w:type="dxa"/>
              <w:end w:w="100" w:type="dxa"/>
            </w:tcMar>
          </w:tcPr>
          <w:p>
            <w:r>
              <w:rPr>
                <w:rFonts w:ascii="Arial" w:hAnsi="Arial" w:eastAsia="Arial" w:cs="Arial"/>
                <w:b/>
                <w:color w:val="FFFFFF"/>
                <w:sz w:val="19"/>
              </w:rPr>
              <w:t>Why the buyer needs it</w:t>
            </w:r>
          </w:p>
        </w:tc>
      </w:tr>
      <w:tr>
        <w:tc>
          <w:tcPr>
            <w:tcW w:type="dxa" w:w="3175"/>
            <w:shd w:fill="FFFFFF"/>
            <w:tcMar>
              <w:top w:w="100" w:type="dxa"/>
              <w:start w:w="100" w:type="dxa"/>
              <w:bottom w:w="100" w:type="dxa"/>
              <w:end w:w="100" w:type="dxa"/>
            </w:tcMar>
            <w:vAlign w:val="center"/>
          </w:tcPr>
          <w:p>
            <w:r>
              <w:rPr>
                <w:rFonts w:ascii="Arial" w:hAnsi="Arial" w:eastAsia="Arial" w:cs="Arial"/>
                <w:b w:val="0"/>
                <w:color w:val="1D3155"/>
                <w:sz w:val="19"/>
              </w:rPr>
              <w:t>Synthetic data - illustrative only</w:t>
            </w:r>
          </w:p>
        </w:tc>
        <w:tc>
          <w:tcPr>
            <w:tcW w:type="dxa" w:w="6576"/>
            <w:shd w:fill="FFFFFF"/>
            <w:tcMar>
              <w:top w:w="100" w:type="dxa"/>
              <w:start w:w="100" w:type="dxa"/>
              <w:bottom w:w="100" w:type="dxa"/>
              <w:end w:w="100" w:type="dxa"/>
            </w:tcMar>
            <w:vAlign w:val="center"/>
          </w:tcPr>
          <w:p>
            <w:r>
              <w:rPr>
                <w:rFonts w:ascii="Arial" w:hAnsi="Arial" w:eastAsia="Arial" w:cs="Arial"/>
                <w:b w:val="0"/>
                <w:color w:val="1D3155"/>
                <w:sz w:val="19"/>
              </w:rPr>
              <w:t>Prevents the demo from being mistaken for an ICLO outcome</w:t>
            </w:r>
          </w:p>
        </w:tc>
      </w:tr>
      <w:tr>
        <w:tc>
          <w:tcPr>
            <w:tcW w:type="dxa" w:w="3175"/>
            <w:shd w:fill="F3F7FA"/>
            <w:tcMar>
              <w:top w:w="100" w:type="dxa"/>
              <w:start w:w="100" w:type="dxa"/>
              <w:bottom w:w="100" w:type="dxa"/>
              <w:end w:w="100" w:type="dxa"/>
            </w:tcMar>
            <w:vAlign w:val="center"/>
          </w:tcPr>
          <w:p>
            <w:r>
              <w:rPr>
                <w:rFonts w:ascii="Arial" w:hAnsi="Arial" w:eastAsia="Arial" w:cs="Arial"/>
                <w:b w:val="0"/>
                <w:color w:val="1D3155"/>
                <w:sz w:val="19"/>
              </w:rPr>
              <w:t>Employees lens / members lens</w:t>
            </w:r>
          </w:p>
        </w:tc>
        <w:tc>
          <w:tcPr>
            <w:tcW w:type="dxa" w:w="6576"/>
            <w:shd w:fill="F3F7FA"/>
            <w:tcMar>
              <w:top w:w="100" w:type="dxa"/>
              <w:start w:w="100" w:type="dxa"/>
              <w:bottom w:w="100" w:type="dxa"/>
              <w:end w:w="100" w:type="dxa"/>
            </w:tcMar>
            <w:vAlign w:val="center"/>
          </w:tcPr>
          <w:p>
            <w:r>
              <w:rPr>
                <w:rFonts w:ascii="Arial" w:hAnsi="Arial" w:eastAsia="Arial" w:cs="Arial"/>
                <w:b w:val="0"/>
                <w:color w:val="1D3155"/>
                <w:sz w:val="19"/>
              </w:rPr>
              <w:t>Participation stands on plan-eligible employees at contracted employers (source: the eligibility feed supplied by the employer or its benefits administrator, typically X12 834) - the population, not the app users. Cost stands on covered member-months, which include enrolled dependents. The two denominators are never mixed.</w:t>
            </w:r>
          </w:p>
        </w:tc>
      </w:tr>
      <w:tr>
        <w:tc>
          <w:tcPr>
            <w:tcW w:type="dxa" w:w="3175"/>
            <w:shd w:fill="FFFFFF"/>
            <w:tcMar>
              <w:top w:w="100" w:type="dxa"/>
              <w:start w:w="100" w:type="dxa"/>
              <w:bottom w:w="100" w:type="dxa"/>
              <w:end w:w="100" w:type="dxa"/>
            </w:tcMar>
            <w:vAlign w:val="center"/>
          </w:tcPr>
          <w:p>
            <w:r>
              <w:rPr>
                <w:rFonts w:ascii="Arial" w:hAnsi="Arial" w:eastAsia="Arial" w:cs="Arial"/>
                <w:b w:val="0"/>
                <w:color w:val="1D3155"/>
                <w:sz w:val="19"/>
              </w:rPr>
              <w:t>Eligibility and claims dates</w:t>
            </w:r>
          </w:p>
        </w:tc>
        <w:tc>
          <w:tcPr>
            <w:tcW w:type="dxa" w:w="6576"/>
            <w:shd w:fill="FFFFFF"/>
            <w:tcMar>
              <w:top w:w="100" w:type="dxa"/>
              <w:start w:w="100" w:type="dxa"/>
              <w:bottom w:w="100" w:type="dxa"/>
              <w:end w:w="100" w:type="dxa"/>
            </w:tcMar>
            <w:vAlign w:val="center"/>
          </w:tcPr>
          <w:p>
            <w:r>
              <w:rPr>
                <w:rFonts w:ascii="Arial" w:hAnsi="Arial" w:eastAsia="Arial" w:cs="Arial"/>
                <w:b w:val="0"/>
                <w:color w:val="1D3155"/>
                <w:sz w:val="19"/>
              </w:rPr>
              <w:t>Shows which plan period and source cutoff each result uses</w:t>
            </w:r>
          </w:p>
        </w:tc>
      </w:tr>
      <w:tr>
        <w:tc>
          <w:tcPr>
            <w:tcW w:type="dxa" w:w="3175"/>
            <w:shd w:fill="F3F7FA"/>
            <w:tcMar>
              <w:top w:w="100" w:type="dxa"/>
              <w:start w:w="100" w:type="dxa"/>
              <w:bottom w:w="100" w:type="dxa"/>
              <w:end w:w="100" w:type="dxa"/>
            </w:tcMar>
            <w:vAlign w:val="center"/>
          </w:tcPr>
          <w:p>
            <w:r>
              <w:rPr>
                <w:rFonts w:ascii="Arial" w:hAnsi="Arial" w:eastAsia="Arial" w:cs="Arial"/>
                <w:b w:val="0"/>
                <w:color w:val="1D3155"/>
                <w:sz w:val="19"/>
              </w:rPr>
              <w:t>Claims lag and completeness</w:t>
            </w:r>
          </w:p>
        </w:tc>
        <w:tc>
          <w:tcPr>
            <w:tcW w:type="dxa" w:w="6576"/>
            <w:shd w:fill="F3F7FA"/>
            <w:tcMar>
              <w:top w:w="100" w:type="dxa"/>
              <w:start w:w="100" w:type="dxa"/>
              <w:bottom w:w="100" w:type="dxa"/>
              <w:end w:w="100" w:type="dxa"/>
            </w:tcMar>
            <w:vAlign w:val="center"/>
          </w:tcPr>
          <w:p>
            <w:r>
              <w:rPr>
                <w:rFonts w:ascii="Arial" w:hAnsi="Arial" w:eastAsia="Arial" w:cs="Arial"/>
                <w:b w:val="0"/>
                <w:color w:val="1D3155"/>
                <w:sz w:val="19"/>
              </w:rPr>
              <w:t>Makes run-out and missing-data uncertainty visible. The 60 days on screen is a demo constant; real lag is a distribution that varies by TPA, practice, procedure and season. A lag curve needs 12-18 months of history, so in pilot year one we show the claims-received-through date rather than an estimated completeness figure</w:t>
            </w:r>
          </w:p>
        </w:tc>
      </w:tr>
      <w:tr>
        <w:tc>
          <w:tcPr>
            <w:tcW w:type="dxa" w:w="3175"/>
            <w:shd w:fill="FFFFFF"/>
            <w:tcMar>
              <w:top w:w="100" w:type="dxa"/>
              <w:start w:w="100" w:type="dxa"/>
              <w:bottom w:w="100" w:type="dxa"/>
              <w:end w:w="100" w:type="dxa"/>
            </w:tcMar>
            <w:vAlign w:val="center"/>
          </w:tcPr>
          <w:p>
            <w:r>
              <w:rPr>
                <w:rFonts w:ascii="Arial" w:hAnsi="Arial" w:eastAsia="Arial" w:cs="Arial"/>
                <w:b w:val="0"/>
                <w:color w:val="1D3155"/>
                <w:sz w:val="19"/>
              </w:rPr>
              <w:t>Aggregate only; n &gt;= 20 suppression</w:t>
            </w:r>
          </w:p>
        </w:tc>
        <w:tc>
          <w:tcPr>
            <w:tcW w:type="dxa" w:w="6576"/>
            <w:shd w:fill="FFFFFF"/>
            <w:tcMar>
              <w:top w:w="100" w:type="dxa"/>
              <w:start w:w="100" w:type="dxa"/>
              <w:bottom w:w="100" w:type="dxa"/>
              <w:end w:w="100" w:type="dxa"/>
            </w:tcMar>
            <w:vAlign w:val="center"/>
          </w:tcPr>
          <w:p>
            <w:r>
              <w:rPr>
                <w:rFonts w:ascii="Arial" w:hAnsi="Arial" w:eastAsia="Arial" w:cs="Arial"/>
                <w:b w:val="0"/>
                <w:color w:val="1D3155"/>
                <w:sz w:val="19"/>
              </w:rPr>
              <w:t>Provisional disclosure-control rule. The demo enforces it in browser JavaScript; the real system enforces it in the Snowflake query engine. Note that a Snowflake aggregation policy counts rows, not distinct people, unless an ENTITY KEY is set -- one person with 20 claim lines would otherwise satisfy a group of 20. It is not by itself a HIPAA de-identification determination</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Arial" w:hAnsi="Arial" w:eastAsia="Arial" w:cs="Arial"/>
                <w:b/>
                <w:color w:val="FFFFFF"/>
                <w:sz w:val="18"/>
              </w:rPr>
              <w:t>MESSAGE</w:t>
            </w:r>
          </w:p>
        </w:tc>
        <w:tc>
          <w:tcPr>
            <w:tcW w:type="dxa" w:w="4933"/>
            <w:shd w:fill="FFF0F0"/>
            <w:vAlign w:val="center"/>
            <w:tcMar>
              <w:top w:w="130" w:type="dxa"/>
              <w:start w:w="150" w:type="dxa"/>
              <w:bottom w:w="130" w:type="dxa"/>
              <w:end w:w="150" w:type="dxa"/>
            </w:tcMar>
          </w:tcPr>
          <w:p>
            <w:r>
              <w:rPr>
                <w:rFonts w:ascii="Arial" w:hAnsi="Arial" w:eastAsia="Arial" w:cs="Arial"/>
                <w:b w:val="0"/>
                <w:color w:val="1D3155"/>
                <w:sz w:val="20"/>
              </w:rPr>
              <w:t>This is not a performance claim. It demonstrates how denominator, freshness, privacy and claims completeness become visible to the buyer.</w:t>
            </w:r>
          </w:p>
        </w:tc>
      </w:tr>
    </w:tbl>
    <w:p>
      <w:pPr>
        <w:spacing w:after="0"/>
      </w:pPr>
    </w:p>
    <w:p>
      <w:r>
        <w:br w:type="page"/>
      </w:r>
    </w:p>
    <w:p>
      <w:pPr>
        <w:spacing w:after="80"/>
      </w:pPr>
      <w:r>
        <w:rPr>
          <w:rFonts w:ascii="Arial" w:hAnsi="Arial" w:eastAsia="Arial" w:cs="Arial"/>
          <w:b/>
          <w:color w:val="008A94"/>
          <w:sz w:val="20"/>
        </w:rPr>
        <w:t>START GATES</w:t>
      </w:r>
    </w:p>
    <w:p>
      <w:pPr>
        <w:pStyle w:val="Heading1"/>
        <w:spacing w:after="100"/>
      </w:pPr>
      <w:r>
        <w:t>No real data is loaded until these four are closed</w:t>
      </w:r>
    </w:p>
    <w:p>
      <w:pPr>
        <w:spacing w:after="200"/>
      </w:pPr>
      <w:r>
        <w:rPr>
          <w:rFonts w:ascii="Arial" w:hAnsi="Arial" w:eastAsia="Arial" w:cs="Arial"/>
          <w:b w:val="0"/>
          <w:color w:val="63738A"/>
          <w:sz w:val="23"/>
        </w:rPr>
        <w:t>These are contract and legal determinations, not engineering problems. They must be settled in writing before Day 30.</w:t>
      </w:r>
    </w:p>
    <w:tbl>
      <w:tblPr>
        <w:tblW w:type="auto" w:w="0"/>
        <w:jc w:val="center"/>
        <w:tblLayout w:type="fixed"/>
        <w:tblLook w:firstColumn="1" w:firstRow="1" w:lastColumn="0" w:lastRow="0" w:noHBand="0" w:noVBand="1" w:val="04A0"/>
      </w:tblPr>
      <w:tblGrid>
        <w:gridCol w:w="1474"/>
        <w:gridCol w:w="5443"/>
        <w:gridCol w:w="2835"/>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7"/>
              </w:rPr>
              <w:t>Gate</w:t>
            </w:r>
          </w:p>
        </w:tc>
        <w:tc>
          <w:tcPr>
            <w:tcW w:type="dxa" w:w="3289"/>
            <w:shd w:fill="008A94"/>
            <w:tcMar>
              <w:top w:w="120" w:type="dxa"/>
              <w:start w:w="100" w:type="dxa"/>
              <w:bottom w:w="120" w:type="dxa"/>
              <w:end w:w="100" w:type="dxa"/>
            </w:tcMar>
          </w:tcPr>
          <w:p>
            <w:r>
              <w:rPr>
                <w:rFonts w:ascii="Arial" w:hAnsi="Arial" w:eastAsia="Arial" w:cs="Arial"/>
                <w:b/>
                <w:color w:val="FFFFFF"/>
                <w:sz w:val="17"/>
              </w:rPr>
              <w:t>What has to be settled</w:t>
            </w:r>
          </w:p>
        </w:tc>
        <w:tc>
          <w:tcPr>
            <w:tcW w:type="dxa" w:w="3289"/>
            <w:shd w:fill="008A94"/>
            <w:tcMar>
              <w:top w:w="120" w:type="dxa"/>
              <w:start w:w="100" w:type="dxa"/>
              <w:bottom w:w="120" w:type="dxa"/>
              <w:end w:w="100" w:type="dxa"/>
            </w:tcMar>
          </w:tcPr>
          <w:p>
            <w:r>
              <w:rPr>
                <w:rFonts w:ascii="Arial" w:hAnsi="Arial" w:eastAsia="Arial" w:cs="Arial"/>
                <w:b/>
                <w:color w:val="FFFFFF"/>
                <w:sz w:val="17"/>
              </w:rPr>
              <w:t>If it stays open</w:t>
            </w:r>
          </w:p>
        </w:tc>
      </w:tr>
      <w:tr>
        <w:tc>
          <w:tcPr>
            <w:tcW w:type="dxa" w:w="1474"/>
            <w:shd w:fill="FFFFFF"/>
            <w:tcMar>
              <w:top w:w="100" w:type="dxa"/>
              <w:start w:w="100" w:type="dxa"/>
              <w:bottom w:w="100" w:type="dxa"/>
              <w:end w:w="100" w:type="dxa"/>
            </w:tcMar>
            <w:vAlign w:val="center"/>
          </w:tcPr>
          <w:p>
            <w:r>
              <w:rPr>
                <w:rFonts w:ascii="Arial" w:hAnsi="Arial" w:eastAsia="Arial" w:cs="Arial"/>
                <w:b w:val="0"/>
                <w:color w:val="1D3155"/>
                <w:sz w:val="17"/>
              </w:rPr>
              <w:t>HIPAA roles</w:t>
            </w:r>
          </w:p>
        </w:tc>
        <w:tc>
          <w:tcPr>
            <w:tcW w:type="dxa" w:w="5443"/>
            <w:shd w:fill="FFFFFF"/>
            <w:tcMar>
              <w:top w:w="100" w:type="dxa"/>
              <w:start w:w="100" w:type="dxa"/>
              <w:bottom w:w="100" w:type="dxa"/>
              <w:end w:w="100" w:type="dxa"/>
            </w:tcMar>
            <w:vAlign w:val="center"/>
          </w:tcPr>
          <w:p>
            <w:r>
              <w:rPr>
                <w:rFonts w:ascii="Arial" w:hAnsi="Arial" w:eastAsia="Arial" w:cs="Arial"/>
                <w:b w:val="0"/>
                <w:color w:val="1D3155"/>
                <w:sz w:val="17"/>
              </w:rPr>
              <w:t>Whether ICLO, the employer, the employer health plan, the TPA and Snowflake are each a covered entity, a business associate or a subcontractor. The BAA chain is built on top of that determination.</w:t>
            </w:r>
          </w:p>
        </w:tc>
        <w:tc>
          <w:tcPr>
            <w:tcW w:type="dxa" w:w="2835"/>
            <w:shd w:fill="FFFFFF"/>
            <w:tcMar>
              <w:top w:w="100" w:type="dxa"/>
              <w:start w:w="100" w:type="dxa"/>
              <w:bottom w:w="100" w:type="dxa"/>
              <w:end w:w="100" w:type="dxa"/>
            </w:tcMar>
            <w:vAlign w:val="center"/>
          </w:tcPr>
          <w:p>
            <w:r>
              <w:rPr>
                <w:rFonts w:ascii="Arial" w:hAnsi="Arial" w:eastAsia="Arial" w:cs="Arial"/>
                <w:b w:val="0"/>
                <w:color w:val="1D3155"/>
                <w:sz w:val="17"/>
              </w:rPr>
              <w:t>There is no lawful basis to load PHI.</w:t>
            </w:r>
          </w:p>
        </w:tc>
      </w:tr>
      <w:tr>
        <w:tc>
          <w:tcPr>
            <w:tcW w:type="dxa" w:w="1474"/>
            <w:shd w:fill="F3F7FA"/>
            <w:tcMar>
              <w:top w:w="100" w:type="dxa"/>
              <w:start w:w="100" w:type="dxa"/>
              <w:bottom w:w="100" w:type="dxa"/>
              <w:end w:w="100" w:type="dxa"/>
            </w:tcMar>
            <w:vAlign w:val="center"/>
          </w:tcPr>
          <w:p>
            <w:r>
              <w:rPr>
                <w:rFonts w:ascii="Arial" w:hAnsi="Arial" w:eastAsia="Arial" w:cs="Arial"/>
                <w:b w:val="0"/>
                <w:color w:val="1D3155"/>
                <w:sz w:val="17"/>
              </w:rPr>
              <w:t>Data rights</w:t>
            </w:r>
          </w:p>
        </w:tc>
        <w:tc>
          <w:tcPr>
            <w:tcW w:type="dxa" w:w="5443"/>
            <w:shd w:fill="F3F7FA"/>
            <w:tcMar>
              <w:top w:w="100" w:type="dxa"/>
              <w:start w:w="100" w:type="dxa"/>
              <w:bottom w:w="100" w:type="dxa"/>
              <w:end w:w="100" w:type="dxa"/>
            </w:tcMar>
            <w:vAlign w:val="center"/>
          </w:tcPr>
          <w:p>
            <w:r>
              <w:rPr>
                <w:rFonts w:ascii="Arial" w:hAnsi="Arial" w:eastAsia="Arial" w:cs="Arial"/>
                <w:b w:val="0"/>
                <w:color w:val="1D3155"/>
                <w:sz w:val="17"/>
              </w:rPr>
              <w:t>The data-rights clause in the employer-TPA agreement: by source, by field, by purpose, what we may receive and what we may use it for.</w:t>
            </w:r>
          </w:p>
        </w:tc>
        <w:tc>
          <w:tcPr>
            <w:tcW w:type="dxa" w:w="2835"/>
            <w:shd w:fill="F3F7FA"/>
            <w:tcMar>
              <w:top w:w="100" w:type="dxa"/>
              <w:start w:w="100" w:type="dxa"/>
              <w:bottom w:w="100" w:type="dxa"/>
              <w:end w:w="100" w:type="dxa"/>
            </w:tcMar>
            <w:vAlign w:val="center"/>
          </w:tcPr>
          <w:p>
            <w:r>
              <w:rPr>
                <w:rFonts w:ascii="Arial" w:hAnsi="Arial" w:eastAsia="Arial" w:cs="Arial"/>
                <w:b w:val="0"/>
                <w:color w:val="1D3155"/>
                <w:sz w:val="17"/>
              </w:rPr>
              <w:t>We receive data we cannot use. Most delay lands here.</w:t>
            </w:r>
          </w:p>
        </w:tc>
      </w:tr>
      <w:tr>
        <w:tc>
          <w:tcPr>
            <w:tcW w:type="dxa" w:w="1474"/>
            <w:shd w:fill="FFFFFF"/>
            <w:tcMar>
              <w:top w:w="100" w:type="dxa"/>
              <w:start w:w="100" w:type="dxa"/>
              <w:bottom w:w="100" w:type="dxa"/>
              <w:end w:w="100" w:type="dxa"/>
            </w:tcMar>
            <w:vAlign w:val="center"/>
          </w:tcPr>
          <w:p>
            <w:r>
              <w:rPr>
                <w:rFonts w:ascii="Arial" w:hAnsi="Arial" w:eastAsia="Arial" w:cs="Arial"/>
                <w:b w:val="0"/>
                <w:color w:val="1D3155"/>
                <w:sz w:val="17"/>
              </w:rPr>
              <w:t>Baseline load before consent</w:t>
            </w:r>
          </w:p>
        </w:tc>
        <w:tc>
          <w:tcPr>
            <w:tcW w:type="dxa" w:w="5443"/>
            <w:shd w:fill="FFFFFF"/>
            <w:tcMar>
              <w:top w:w="100" w:type="dxa"/>
              <w:start w:w="100" w:type="dxa"/>
              <w:bottom w:w="100" w:type="dxa"/>
              <w:end w:w="100" w:type="dxa"/>
            </w:tcMar>
            <w:vAlign w:val="center"/>
          </w:tcPr>
          <w:p>
            <w:r>
              <w:rPr>
                <w:rFonts w:ascii="Arial" w:hAnsi="Arial" w:eastAsia="Arial" w:cs="Arial"/>
                <w:b w:val="0"/>
                <w:color w:val="1D3155"/>
                <w:sz w:val="17"/>
              </w:rPr>
              <w:t>Baseline load precedes employee consent. At that moment nobody has consented, and in a pilot most people never will. Either load an aggregate-only baseline, or settle a separate legal basis in writing.</w:t>
            </w:r>
          </w:p>
        </w:tc>
        <w:tc>
          <w:tcPr>
            <w:tcW w:type="dxa" w:w="2835"/>
            <w:shd w:fill="FFFFFF"/>
            <w:tcMar>
              <w:top w:w="100" w:type="dxa"/>
              <w:start w:w="100" w:type="dxa"/>
              <w:bottom w:w="100" w:type="dxa"/>
              <w:end w:w="100" w:type="dxa"/>
            </w:tcMar>
            <w:vAlign w:val="center"/>
          </w:tcPr>
          <w:p>
            <w:r>
              <w:rPr>
                <w:rFonts w:ascii="Arial" w:hAnsi="Arial" w:eastAsia="Arial" w:cs="Arial"/>
                <w:b w:val="0"/>
                <w:color w:val="1D3155"/>
                <w:sz w:val="17"/>
              </w:rPr>
              <w:t>We would process the PHI of non-consenting employees without a basis. This is structural, not an edge case.</w:t>
            </w:r>
          </w:p>
        </w:tc>
      </w:tr>
      <w:tr>
        <w:tc>
          <w:tcPr>
            <w:tcW w:type="dxa" w:w="1474"/>
            <w:shd w:fill="F3F7FA"/>
            <w:tcMar>
              <w:top w:w="100" w:type="dxa"/>
              <w:start w:w="100" w:type="dxa"/>
              <w:bottom w:w="100" w:type="dxa"/>
              <w:end w:w="100" w:type="dxa"/>
            </w:tcMar>
            <w:vAlign w:val="center"/>
          </w:tcPr>
          <w:p>
            <w:r>
              <w:rPr>
                <w:rFonts w:ascii="Arial" w:hAnsi="Arial" w:eastAsia="Arial" w:cs="Arial"/>
                <w:b w:val="0"/>
                <w:color w:val="1D3155"/>
                <w:sz w:val="17"/>
              </w:rPr>
              <w:t>Common identity key</w:t>
            </w:r>
          </w:p>
        </w:tc>
        <w:tc>
          <w:tcPr>
            <w:tcW w:type="dxa" w:w="5443"/>
            <w:shd w:fill="F3F7FA"/>
            <w:tcMar>
              <w:top w:w="100" w:type="dxa"/>
              <w:start w:w="100" w:type="dxa"/>
              <w:bottom w:w="100" w:type="dxa"/>
              <w:end w:w="100" w:type="dxa"/>
            </w:tcMar>
            <w:vAlign w:val="center"/>
          </w:tcPr>
          <w:p>
            <w:r>
              <w:rPr>
                <w:rFonts w:ascii="Arial" w:hAnsi="Arial" w:eastAsia="Arial" w:cs="Arial"/>
                <w:b w:val="0"/>
                <w:color w:val="1D3155"/>
                <w:sz w:val="17"/>
              </w:rPr>
              <w:t>Whether a stable identifier exists on both the HR side and the TPA side to join a person across them.</w:t>
            </w:r>
          </w:p>
        </w:tc>
        <w:tc>
          <w:tcPr>
            <w:tcW w:type="dxa" w:w="2835"/>
            <w:shd w:fill="F3F7FA"/>
            <w:tcMar>
              <w:top w:w="100" w:type="dxa"/>
              <w:start w:w="100" w:type="dxa"/>
              <w:bottom w:w="100" w:type="dxa"/>
              <w:end w:w="100" w:type="dxa"/>
            </w:tcMar>
            <w:vAlign w:val="center"/>
          </w:tcPr>
          <w:p>
            <w:r>
              <w:rPr>
                <w:rFonts w:ascii="Arial" w:hAnsi="Arial" w:eastAsia="Arial" w:cs="Arial"/>
                <w:b w:val="0"/>
                <w:color w:val="1D3155"/>
                <w:sz w:val="17"/>
              </w:rPr>
              <w:t>Claims cannot be linked to app usage, so claims-confirmed completion does not hold.</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THE ORDER MATTERS</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Policy and access controls go in first, real data on top of them. Reversed, there is a window in which PHI exists without controls, and that window cannot be closed retroactively.</w:t>
            </w:r>
          </w:p>
        </w:tc>
      </w:tr>
    </w:tbl>
    <w:p>
      <w:pPr>
        <w:spacing w:after="0"/>
      </w:pPr>
    </w:p>
    <w:p>
      <w:r>
        <w:br w:type="page"/>
      </w:r>
    </w:p>
    <w:p>
      <w:pPr>
        <w:spacing w:after="80"/>
      </w:pPr>
      <w:r>
        <w:rPr>
          <w:rFonts w:ascii="Arial" w:hAnsi="Arial" w:eastAsia="Arial" w:cs="Arial"/>
          <w:b/>
          <w:color w:val="008A94"/>
          <w:sz w:val="20"/>
        </w:rPr>
        <w:t>EXECUTION</w:t>
      </w:r>
    </w:p>
    <w:p>
      <w:pPr>
        <w:pStyle w:val="Heading1"/>
        <w:spacing w:after="100"/>
      </w:pPr>
      <w:r>
        <w:t>A 90-Day Validation with Explicit Owners, Gates and Outputs</w:t>
      </w:r>
    </w:p>
    <w:p>
      <w:pPr>
        <w:spacing w:after="200"/>
      </w:pPr>
      <w:r>
        <w:rPr>
          <w:rFonts w:ascii="Arial" w:hAnsi="Arial" w:eastAsia="Arial" w:cs="Arial"/>
          <w:b w:val="0"/>
          <w:color w:val="63738A"/>
          <w:sz w:val="23"/>
        </w:rPr>
        <w:t>Snowflake and ICLO actions are separated by phase; ICLO owns the weekly cadence and one decision log.</w:t>
      </w:r>
    </w:p>
    <w:tbl>
      <w:tblPr>
        <w:tblW w:type="auto" w:w="0"/>
        <w:jc w:val="center"/>
        <w:tblLayout w:type="fixed"/>
        <w:tblLook w:firstColumn="1" w:firstRow="1" w:lastColumn="0" w:lastRow="0" w:noHBand="0" w:noVBand="1" w:val="04A0"/>
      </w:tblPr>
      <w:tblGrid>
        <w:gridCol w:w="1928"/>
        <w:gridCol w:w="2948"/>
        <w:gridCol w:w="2948"/>
        <w:gridCol w:w="2381"/>
      </w:tblGrid>
      <w:tr>
        <w:trPr>
          <w:tblHeader w:val="true"/>
        </w:trPr>
        <w:tc>
          <w:tcPr>
            <w:tcW w:type="dxa" w:w="2466"/>
            <w:shd w:fill="008A94"/>
            <w:tcMar>
              <w:top w:w="120" w:type="dxa"/>
              <w:start w:w="100" w:type="dxa"/>
              <w:bottom w:w="120" w:type="dxa"/>
              <w:end w:w="100" w:type="dxa"/>
            </w:tcMar>
          </w:tcPr>
          <w:p>
            <w:r>
              <w:rPr>
                <w:rFonts w:ascii="Arial" w:hAnsi="Arial" w:eastAsia="Arial" w:cs="Arial"/>
                <w:b/>
                <w:color w:val="FFFFFF"/>
                <w:sz w:val="16"/>
              </w:rPr>
              <w:t>Phase</w:t>
            </w:r>
          </w:p>
        </w:tc>
        <w:tc>
          <w:tcPr>
            <w:tcW w:type="dxa" w:w="2466"/>
            <w:shd w:fill="008A94"/>
            <w:tcMar>
              <w:top w:w="120" w:type="dxa"/>
              <w:start w:w="100" w:type="dxa"/>
              <w:bottom w:w="120" w:type="dxa"/>
              <w:end w:w="100" w:type="dxa"/>
            </w:tcMar>
          </w:tcPr>
          <w:p>
            <w:r>
              <w:rPr>
                <w:rFonts w:ascii="Arial" w:hAnsi="Arial" w:eastAsia="Arial" w:cs="Arial"/>
                <w:b/>
                <w:color w:val="FFFFFF"/>
                <w:sz w:val="16"/>
              </w:rPr>
              <w:t>Snowflake action</w:t>
            </w:r>
          </w:p>
        </w:tc>
        <w:tc>
          <w:tcPr>
            <w:tcW w:type="dxa" w:w="2466"/>
            <w:shd w:fill="008A94"/>
            <w:tcMar>
              <w:top w:w="120" w:type="dxa"/>
              <w:start w:w="100" w:type="dxa"/>
              <w:bottom w:w="120" w:type="dxa"/>
              <w:end w:w="100" w:type="dxa"/>
            </w:tcMar>
          </w:tcPr>
          <w:p>
            <w:r>
              <w:rPr>
                <w:rFonts w:ascii="Arial" w:hAnsi="Arial" w:eastAsia="Arial" w:cs="Arial"/>
                <w:b/>
                <w:color w:val="FFFFFF"/>
                <w:sz w:val="16"/>
              </w:rPr>
              <w:t>ICLO action</w:t>
            </w:r>
          </w:p>
        </w:tc>
        <w:tc>
          <w:tcPr>
            <w:tcW w:type="dxa" w:w="2466"/>
            <w:shd w:fill="008A94"/>
            <w:tcMar>
              <w:top w:w="120" w:type="dxa"/>
              <w:start w:w="100" w:type="dxa"/>
              <w:bottom w:w="120" w:type="dxa"/>
              <w:end w:w="100" w:type="dxa"/>
            </w:tcMar>
          </w:tcPr>
          <w:p>
            <w:r>
              <w:rPr>
                <w:rFonts w:ascii="Arial" w:hAnsi="Arial" w:eastAsia="Arial" w:cs="Arial"/>
                <w:b/>
                <w:color w:val="FFFFFF"/>
                <w:sz w:val="16"/>
              </w:rPr>
              <w:t>Gate / output</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6"/>
              </w:rPr>
              <w:t>Step 0 + Days 0-30</w:t>
              <w:br/>
              <w:t>Route + align</w:t>
            </w:r>
          </w:p>
        </w:tc>
        <w:tc>
          <w:tcPr>
            <w:tcW w:type="dxa" w:w="2948"/>
            <w:shd w:fill="FFFFFF"/>
            <w:tcMar>
              <w:top w:w="100" w:type="dxa"/>
              <w:start w:w="100" w:type="dxa"/>
              <w:bottom w:w="100" w:type="dxa"/>
              <w:end w:w="100" w:type="dxa"/>
            </w:tcMar>
            <w:vAlign w:val="center"/>
          </w:tcPr>
          <w:p>
            <w:r>
              <w:rPr>
                <w:rFonts w:ascii="Arial" w:hAnsi="Arial" w:eastAsia="Arial" w:cs="Arial"/>
                <w:b w:val="0"/>
                <w:color w:val="1D3155"/>
                <w:sz w:val="16"/>
              </w:rPr>
              <w:t>Route to U.S. HLS; confirm play, owners and account/BAA path</w:t>
            </w:r>
          </w:p>
        </w:tc>
        <w:tc>
          <w:tcPr>
            <w:tcW w:type="dxa" w:w="2948"/>
            <w:shd w:fill="FFFFFF"/>
            <w:tcMar>
              <w:top w:w="100" w:type="dxa"/>
              <w:start w:w="100" w:type="dxa"/>
              <w:bottom w:w="100" w:type="dxa"/>
              <w:end w:w="100" w:type="dxa"/>
            </w:tcMar>
            <w:vAlign w:val="center"/>
          </w:tcPr>
          <w:p>
            <w:r>
              <w:rPr>
                <w:rFonts w:ascii="Arial" w:hAnsi="Arial" w:eastAsia="Arial" w:cs="Arial"/>
                <w:b w:val="0"/>
                <w:color w:val="1D3155"/>
                <w:sz w:val="16"/>
              </w:rPr>
              <w:t>Provide current-state pack; run workshop and cadence</w:t>
            </w:r>
          </w:p>
        </w:tc>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Sponsor, owners and route in writing</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6"/>
              </w:rPr>
              <w:t>Days 31-60</w:t>
              <w:br/>
              <w:t>Design</w:t>
            </w:r>
          </w:p>
        </w:tc>
        <w:tc>
          <w:tcPr>
            <w:tcW w:type="dxa" w:w="2948"/>
            <w:shd w:fill="F3F7FA"/>
            <w:tcMar>
              <w:top w:w="100" w:type="dxa"/>
              <w:start w:w="100" w:type="dxa"/>
              <w:bottom w:w="100" w:type="dxa"/>
              <w:end w:w="100" w:type="dxa"/>
            </w:tcMar>
            <w:vAlign w:val="center"/>
          </w:tcPr>
          <w:p>
            <w:r>
              <w:rPr>
                <w:rFonts w:ascii="Arial" w:hAnsi="Arial" w:eastAsia="Arial" w:cs="Arial"/>
                <w:b w:val="0"/>
                <w:color w:val="1D3155"/>
                <w:sz w:val="16"/>
              </w:rPr>
              <w:t>Size workload; co-draft security reference and account matrix</w:t>
            </w:r>
          </w:p>
        </w:tc>
        <w:tc>
          <w:tcPr>
            <w:tcW w:type="dxa" w:w="2948"/>
            <w:shd w:fill="F3F7FA"/>
            <w:tcMar>
              <w:top w:w="100" w:type="dxa"/>
              <w:start w:w="100" w:type="dxa"/>
              <w:bottom w:w="100" w:type="dxa"/>
              <w:end w:w="100" w:type="dxa"/>
            </w:tcMar>
            <w:vAlign w:val="center"/>
          </w:tcPr>
          <w:p>
            <w:r>
              <w:rPr>
                <w:rFonts w:ascii="Arial" w:hAnsi="Arial" w:eastAsia="Arial" w:cs="Arial"/>
                <w:b w:val="0"/>
                <w:color w:val="1D3155"/>
                <w:sz w:val="16"/>
              </w:rPr>
              <w:t>Provide source map, ingestion test and sizing inputs</w:t>
            </w:r>
          </w:p>
        </w:tc>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Architecture and matrix v1 accepted</w:t>
            </w:r>
          </w:p>
        </w:tc>
      </w:tr>
      <w:tr>
        <w:tc>
          <w:tcPr>
            <w:tcW w:type="dxa" w:w="1928"/>
            <w:shd w:fill="FFFFFF"/>
            <w:tcMar>
              <w:top w:w="100" w:type="dxa"/>
              <w:start w:w="100" w:type="dxa"/>
              <w:bottom w:w="100" w:type="dxa"/>
              <w:end w:w="100" w:type="dxa"/>
            </w:tcMar>
            <w:vAlign w:val="center"/>
          </w:tcPr>
          <w:p>
            <w:r>
              <w:rPr>
                <w:rFonts w:ascii="Arial" w:hAnsi="Arial" w:eastAsia="Arial" w:cs="Arial"/>
                <w:b w:val="0"/>
                <w:color w:val="1D3155"/>
                <w:sz w:val="16"/>
              </w:rPr>
              <w:t>Days 61-90</w:t>
              <w:br/>
              <w:t>Validate</w:t>
            </w:r>
          </w:p>
        </w:tc>
        <w:tc>
          <w:tcPr>
            <w:tcW w:type="dxa" w:w="2948"/>
            <w:shd w:fill="FFFFFF"/>
            <w:tcMar>
              <w:top w:w="100" w:type="dxa"/>
              <w:start w:w="100" w:type="dxa"/>
              <w:bottom w:w="100" w:type="dxa"/>
              <w:end w:w="100" w:type="dxa"/>
            </w:tcMar>
            <w:vAlign w:val="center"/>
          </w:tcPr>
          <w:p>
            <w:r>
              <w:rPr>
                <w:rFonts w:ascii="Arial" w:hAnsi="Arial" w:eastAsia="Arial" w:cs="Arial"/>
                <w:b w:val="0"/>
                <w:color w:val="1D3155"/>
                <w:sz w:val="16"/>
              </w:rPr>
              <w:t>Sponsor one account-team review; issue partner checklist</w:t>
            </w:r>
          </w:p>
        </w:tc>
        <w:tc>
          <w:tcPr>
            <w:tcW w:type="dxa" w:w="2948"/>
            <w:shd w:fill="FFFFFF"/>
            <w:tcMar>
              <w:top w:w="100" w:type="dxa"/>
              <w:start w:w="100" w:type="dxa"/>
              <w:bottom w:w="100" w:type="dxa"/>
              <w:end w:w="100" w:type="dxa"/>
            </w:tcMar>
            <w:vAlign w:val="center"/>
          </w:tcPr>
          <w:p>
            <w:r>
              <w:rPr>
                <w:rFonts w:ascii="Arial" w:hAnsi="Arial" w:eastAsia="Arial" w:cs="Arial"/>
                <w:b w:val="0"/>
                <w:color w:val="1D3155"/>
                <w:sz w:val="16"/>
              </w:rPr>
              <w:t>Run review; recommend go/no-go</w:t>
            </w:r>
          </w:p>
        </w:tc>
        <w:tc>
          <w:tcPr>
            <w:tcW w:type="dxa" w:w="2381"/>
            <w:shd w:fill="FFFFFF"/>
            <w:tcMar>
              <w:top w:w="100" w:type="dxa"/>
              <w:start w:w="100" w:type="dxa"/>
              <w:bottom w:w="100" w:type="dxa"/>
              <w:end w:w="100" w:type="dxa"/>
            </w:tcMar>
            <w:vAlign w:val="center"/>
          </w:tcPr>
          <w:p>
            <w:r>
              <w:rPr>
                <w:rFonts w:ascii="Arial" w:hAnsi="Arial" w:eastAsia="Arial" w:cs="Arial"/>
                <w:b w:val="0"/>
                <w:color w:val="1D3155"/>
                <w:sz w:val="16"/>
              </w:rPr>
              <w:t>Use case and evidence minimum agreed</w:t>
            </w:r>
          </w:p>
        </w:tc>
      </w:tr>
      <w:tr>
        <w:tc>
          <w:tcPr>
            <w:tcW w:type="dxa" w:w="1928"/>
            <w:shd w:fill="F3F7FA"/>
            <w:tcMar>
              <w:top w:w="100" w:type="dxa"/>
              <w:start w:w="100" w:type="dxa"/>
              <w:bottom w:w="100" w:type="dxa"/>
              <w:end w:w="100" w:type="dxa"/>
            </w:tcMar>
            <w:vAlign w:val="center"/>
          </w:tcPr>
          <w:p>
            <w:r>
              <w:rPr>
                <w:rFonts w:ascii="Arial" w:hAnsi="Arial" w:eastAsia="Arial" w:cs="Arial"/>
                <w:b w:val="0"/>
                <w:color w:val="1D3155"/>
                <w:sz w:val="16"/>
              </w:rPr>
              <w:t>Conditional</w:t>
              <w:br/>
              <w:t>Expand</w:t>
            </w:r>
          </w:p>
        </w:tc>
        <w:tc>
          <w:tcPr>
            <w:tcW w:type="dxa" w:w="2948"/>
            <w:shd w:fill="F3F7FA"/>
            <w:tcMar>
              <w:top w:w="100" w:type="dxa"/>
              <w:start w:w="100" w:type="dxa"/>
              <w:bottom w:w="100" w:type="dxa"/>
              <w:end w:w="100" w:type="dxa"/>
            </w:tcMar>
            <w:vAlign w:val="center"/>
          </w:tcPr>
          <w:p>
            <w:r>
              <w:rPr>
                <w:rFonts w:ascii="Arial" w:hAnsi="Arial" w:eastAsia="Arial" w:cs="Arial"/>
                <w:b w:val="0"/>
                <w:color w:val="1D3155"/>
                <w:sz w:val="16"/>
              </w:rPr>
              <w:t>Assess Native App, Clean Room or federated learning only if needed</w:t>
            </w:r>
          </w:p>
        </w:tc>
        <w:tc>
          <w:tcPr>
            <w:tcW w:type="dxa" w:w="2948"/>
            <w:shd w:fill="F3F7FA"/>
            <w:tcMar>
              <w:top w:w="100" w:type="dxa"/>
              <w:start w:w="100" w:type="dxa"/>
              <w:bottom w:w="100" w:type="dxa"/>
              <w:end w:w="100" w:type="dxa"/>
            </w:tcMar>
            <w:vAlign w:val="center"/>
          </w:tcPr>
          <w:p>
            <w:r>
              <w:rPr>
                <w:rFonts w:ascii="Arial" w:hAnsi="Arial" w:eastAsia="Arial" w:cs="Arial"/>
                <w:b w:val="0"/>
                <w:color w:val="1D3155"/>
                <w:sz w:val="16"/>
              </w:rPr>
              <w:t>Build only after multi-party demand is confirmed</w:t>
            </w:r>
          </w:p>
        </w:tc>
        <w:tc>
          <w:tcPr>
            <w:tcW w:type="dxa" w:w="2381"/>
            <w:shd w:fill="F3F7FA"/>
            <w:tcMar>
              <w:top w:w="100" w:type="dxa"/>
              <w:start w:w="100" w:type="dxa"/>
              <w:bottom w:w="100" w:type="dxa"/>
              <w:end w:w="100" w:type="dxa"/>
            </w:tcMar>
            <w:vAlign w:val="center"/>
          </w:tcPr>
          <w:p>
            <w:r>
              <w:rPr>
                <w:rFonts w:ascii="Arial" w:hAnsi="Arial" w:eastAsia="Arial" w:cs="Arial"/>
                <w:b w:val="0"/>
                <w:color w:val="1D3155"/>
                <w:sz w:val="16"/>
              </w:rPr>
              <w:t>Trigger: account review confirms multi-party need</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Arial" w:hAnsi="Arial" w:eastAsia="Arial" w:cs="Arial"/>
                <w:b/>
                <w:color w:val="FFFFFF"/>
                <w:sz w:val="18"/>
              </w:rPr>
              <w:t>OPERATING + CONSUMPTION MODEL</w:t>
            </w:r>
          </w:p>
        </w:tc>
        <w:tc>
          <w:tcPr>
            <w:tcW w:type="dxa" w:w="4933"/>
            <w:shd w:fill="EAF7FC"/>
            <w:vAlign w:val="center"/>
            <w:tcMar>
              <w:top w:w="130" w:type="dxa"/>
              <w:start w:w="150" w:type="dxa"/>
              <w:bottom w:w="130" w:type="dxa"/>
              <w:end w:w="150" w:type="dxa"/>
            </w:tcMar>
          </w:tcPr>
          <w:p>
            <w:r>
              <w:rPr>
                <w:rFonts w:ascii="Arial" w:hAnsi="Arial" w:eastAsia="Arial" w:cs="Arial"/>
                <w:b w:val="0"/>
                <w:color w:val="1D3155"/>
                <w:sz w:val="20"/>
              </w:rPr>
              <w:t>ICLO runs weekly written status and one decision log. ICLO supplies the sizing inputs - employers, member-months, ingestion/transform/outcome-refresh frequency, data volume, warehouse size and runtime - and the Snowflake SE calculates annual credits in the Day-30 sizing session. Day 0 is written sponsor acceptance; 'Meeting + N business days' and 'Day N' count from it.</w:t>
            </w:r>
          </w:p>
        </w:tc>
      </w:tr>
    </w:tbl>
    <w:p>
      <w:pPr>
        <w:spacing w:after="0"/>
      </w:pPr>
    </w:p>
    <w:p>
      <w:r>
        <w:rPr>
          <w:rFonts w:ascii="Arial" w:hAnsi="Arial" w:eastAsia="Arial" w:cs="Arial"/>
          <w:b w:val="0"/>
          <w:color w:val="1D3155"/>
          <w:sz w:val="22"/>
        </w:rPr>
        <w:t>We are not asking Snowflake to validate our dental AI or make ICLO compliant. We are asking Snowflake to help determine whether this can become a repeatable, governed payer/TPA data-collaboration pattern - and what ICLO must prove to make the partnership commercially real.</w:t>
      </w:r>
    </w:p>
    <w:p>
      <w:r>
        <w:br w:type="page"/>
      </w:r>
    </w:p>
    <w:p>
      <w:pPr>
        <w:spacing w:after="80"/>
      </w:pPr>
      <w:r>
        <w:rPr>
          <w:rFonts w:ascii="Arial" w:hAnsi="Arial" w:eastAsia="Arial" w:cs="Arial"/>
          <w:b/>
          <w:color w:val="008A94"/>
          <w:sz w:val="20"/>
        </w:rPr>
        <w:t>ECONOMICS</w:t>
      </w:r>
    </w:p>
    <w:p>
      <w:pPr>
        <w:pStyle w:val="Heading1"/>
        <w:spacing w:after="100"/>
      </w:pPr>
      <w:r>
        <w:t>The Economics Start with Higher Year-One Claims - Not a Savings Promise</w:t>
      </w:r>
    </w:p>
    <w:p>
      <w:pPr>
        <w:spacing w:after="200"/>
      </w:pPr>
      <w:r>
        <w:rPr>
          <w:rFonts w:ascii="Arial" w:hAnsi="Arial" w:eastAsia="Arial" w:cs="Arial"/>
          <w:b w:val="0"/>
          <w:color w:val="63738A"/>
          <w:sz w:val="23"/>
        </w:rPr>
        <w:t>Preventive utilization and newly discovered treatment can increase dental plan-paid claims before treatment-mix change becomes measurable. The chart shows a cost path, not a return curve.</w:t>
      </w:r>
    </w:p>
    <w:tbl>
      <w:tblPr>
        <w:tblW w:type="auto" w:w="0"/>
        <w:jc w:val="center"/>
        <w:tblLayout w:type="fixed"/>
        <w:tblLook w:firstColumn="1" w:firstRow="1" w:lastColumn="0" w:lastRow="0" w:noHBand="0" w:noVBand="1" w:val="04A0"/>
      </w:tblPr>
      <w:tblGrid>
        <w:gridCol w:w="1814"/>
        <w:gridCol w:w="4309"/>
        <w:gridCol w:w="3628"/>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8"/>
              </w:rPr>
              <w:t>Period / segment</w:t>
            </w:r>
          </w:p>
        </w:tc>
        <w:tc>
          <w:tcPr>
            <w:tcW w:type="dxa" w:w="3289"/>
            <w:shd w:fill="008A94"/>
            <w:tcMar>
              <w:top w:w="120" w:type="dxa"/>
              <w:start w:w="100" w:type="dxa"/>
              <w:bottom w:w="120" w:type="dxa"/>
              <w:end w:w="100" w:type="dxa"/>
            </w:tcMar>
          </w:tcPr>
          <w:p>
            <w:r>
              <w:rPr>
                <w:rFonts w:ascii="Arial" w:hAnsi="Arial" w:eastAsia="Arial" w:cs="Arial"/>
                <w:b/>
                <w:color w:val="FFFFFF"/>
                <w:sz w:val="18"/>
              </w:rPr>
              <w:t>What may happen</w:t>
            </w:r>
          </w:p>
        </w:tc>
        <w:tc>
          <w:tcPr>
            <w:tcW w:type="dxa" w:w="3289"/>
            <w:shd w:fill="008A94"/>
            <w:tcMar>
              <w:top w:w="120" w:type="dxa"/>
              <w:start w:w="100" w:type="dxa"/>
              <w:bottom w:w="120" w:type="dxa"/>
              <w:end w:w="100" w:type="dxa"/>
            </w:tcMar>
          </w:tcPr>
          <w:p>
            <w:r>
              <w:rPr>
                <w:rFonts w:ascii="Arial" w:hAnsi="Arial" w:eastAsia="Arial" w:cs="Arial"/>
                <w:b/>
                <w:color w:val="FFFFFF"/>
                <w:sz w:val="18"/>
              </w:rPr>
              <w:t>How to interpret it</w:t>
            </w:r>
          </w:p>
        </w:tc>
      </w:tr>
      <w:tr>
        <w:tc>
          <w:tcPr>
            <w:tcW w:type="dxa" w:w="1814"/>
            <w:shd w:fill="FFFFFF"/>
            <w:tcMar>
              <w:top w:w="100" w:type="dxa"/>
              <w:start w:w="100" w:type="dxa"/>
              <w:bottom w:w="100" w:type="dxa"/>
              <w:end w:w="100" w:type="dxa"/>
            </w:tcMar>
            <w:vAlign w:val="center"/>
          </w:tcPr>
          <w:p>
            <w:r>
              <w:rPr>
                <w:rFonts w:ascii="Arial" w:hAnsi="Arial" w:eastAsia="Arial" w:cs="Arial"/>
                <w:b w:val="0"/>
                <w:color w:val="1D3155"/>
                <w:sz w:val="18"/>
              </w:rPr>
              <w:t>Year 1</w:t>
            </w:r>
          </w:p>
        </w:tc>
        <w:tc>
          <w:tcPr>
            <w:tcW w:type="dxa" w:w="4309"/>
            <w:shd w:fill="FFFFFF"/>
            <w:tcMar>
              <w:top w:w="100" w:type="dxa"/>
              <w:start w:w="100" w:type="dxa"/>
              <w:bottom w:w="100" w:type="dxa"/>
              <w:end w:w="100" w:type="dxa"/>
            </w:tcMar>
            <w:vAlign w:val="center"/>
          </w:tcPr>
          <w:p>
            <w:r>
              <w:rPr>
                <w:rFonts w:ascii="Arial" w:hAnsi="Arial" w:eastAsia="Arial" w:cs="Arial"/>
                <w:b w:val="0"/>
                <w:color w:val="1D3155"/>
                <w:sz w:val="18"/>
              </w:rPr>
              <w:t>Preventive visits rise; untreated conditions are discovered</w:t>
            </w:r>
          </w:p>
        </w:tc>
        <w:tc>
          <w:tcPr>
            <w:tcW w:type="dxa" w:w="3628"/>
            <w:shd w:fill="FFFFFF"/>
            <w:tcMar>
              <w:top w:w="100" w:type="dxa"/>
              <w:start w:w="100" w:type="dxa"/>
              <w:bottom w:w="100" w:type="dxa"/>
              <w:end w:w="100" w:type="dxa"/>
            </w:tcMar>
            <w:vAlign w:val="center"/>
          </w:tcPr>
          <w:p>
            <w:r>
              <w:rPr>
                <w:rFonts w:ascii="Arial" w:hAnsi="Arial" w:eastAsia="Arial" w:cs="Arial"/>
                <w:b w:val="0"/>
                <w:color w:val="1D3155"/>
                <w:sz w:val="18"/>
              </w:rPr>
              <w:t>Allowed, plan-paid and employee OOP may move differently</w:t>
            </w:r>
          </w:p>
        </w:tc>
      </w:tr>
      <w:tr>
        <w:tc>
          <w:tcPr>
            <w:tcW w:type="dxa" w:w="1814"/>
            <w:shd w:fill="F3F7FA"/>
            <w:tcMar>
              <w:top w:w="100" w:type="dxa"/>
              <w:start w:w="100" w:type="dxa"/>
              <w:bottom w:w="100" w:type="dxa"/>
              <w:end w:w="100" w:type="dxa"/>
            </w:tcMar>
            <w:vAlign w:val="center"/>
          </w:tcPr>
          <w:p>
            <w:r>
              <w:rPr>
                <w:rFonts w:ascii="Arial" w:hAnsi="Arial" w:eastAsia="Arial" w:cs="Arial"/>
                <w:b w:val="0"/>
                <w:color w:val="1D3155"/>
                <w:sz w:val="18"/>
              </w:rPr>
              <w:t>Years 2-3</w:t>
            </w:r>
          </w:p>
        </w:tc>
        <w:tc>
          <w:tcPr>
            <w:tcW w:type="dxa" w:w="4309"/>
            <w:shd w:fill="F3F7FA"/>
            <w:tcMar>
              <w:top w:w="100" w:type="dxa"/>
              <w:start w:w="100" w:type="dxa"/>
              <w:bottom w:w="100" w:type="dxa"/>
              <w:end w:w="100" w:type="dxa"/>
            </w:tcMar>
            <w:vAlign w:val="center"/>
          </w:tcPr>
          <w:p>
            <w:r>
              <w:rPr>
                <w:rFonts w:ascii="Arial" w:hAnsi="Arial" w:eastAsia="Arial" w:cs="Arial"/>
                <w:b w:val="0"/>
                <w:color w:val="1D3155"/>
                <w:sz w:val="18"/>
              </w:rPr>
              <w:t>Treatment mix and claims run-out become more observable</w:t>
            </w:r>
          </w:p>
        </w:tc>
        <w:tc>
          <w:tcPr>
            <w:tcW w:type="dxa" w:w="3628"/>
            <w:shd w:fill="F3F7FA"/>
            <w:tcMar>
              <w:top w:w="100" w:type="dxa"/>
              <w:start w:w="100" w:type="dxa"/>
              <w:bottom w:w="100" w:type="dxa"/>
              <w:end w:w="100" w:type="dxa"/>
            </w:tcMar>
            <w:vAlign w:val="center"/>
          </w:tcPr>
          <w:p>
            <w:r>
              <w:rPr>
                <w:rFonts w:ascii="Arial" w:hAnsi="Arial" w:eastAsia="Arial" w:cs="Arial"/>
                <w:b w:val="0"/>
                <w:color w:val="1D3155"/>
                <w:sz w:val="18"/>
              </w:rPr>
              <w:t>Direction remains a customer-specific hypothesis</w:t>
            </w:r>
          </w:p>
        </w:tc>
      </w:tr>
      <w:tr>
        <w:tc>
          <w:tcPr>
            <w:tcW w:type="dxa" w:w="1814"/>
            <w:shd w:fill="FFFFFF"/>
            <w:tcMar>
              <w:top w:w="100" w:type="dxa"/>
              <w:start w:w="100" w:type="dxa"/>
              <w:bottom w:w="100" w:type="dxa"/>
              <w:end w:w="100" w:type="dxa"/>
            </w:tcMar>
            <w:vAlign w:val="center"/>
          </w:tcPr>
          <w:p>
            <w:r>
              <w:rPr>
                <w:rFonts w:ascii="Arial" w:hAnsi="Arial" w:eastAsia="Arial" w:cs="Arial"/>
                <w:b w:val="0"/>
                <w:color w:val="1D3155"/>
                <w:sz w:val="18"/>
              </w:rPr>
              <w:t>Low turnover</w:t>
            </w:r>
          </w:p>
        </w:tc>
        <w:tc>
          <w:tcPr>
            <w:tcW w:type="dxa" w:w="4309"/>
            <w:shd w:fill="FFFFFF"/>
            <w:tcMar>
              <w:top w:w="100" w:type="dxa"/>
              <w:start w:w="100" w:type="dxa"/>
              <w:bottom w:w="100" w:type="dxa"/>
              <w:end w:w="100" w:type="dxa"/>
            </w:tcMar>
            <w:vAlign w:val="center"/>
          </w:tcPr>
          <w:p>
            <w:r>
              <w:rPr>
                <w:rFonts w:ascii="Arial" w:hAnsi="Arial" w:eastAsia="Arial" w:cs="Arial"/>
                <w:b w:val="0"/>
                <w:color w:val="1D3155"/>
                <w:sz w:val="18"/>
              </w:rPr>
              <w:t>More time for the employer to observe multi-year effects</w:t>
            </w:r>
          </w:p>
        </w:tc>
        <w:tc>
          <w:tcPr>
            <w:tcW w:type="dxa" w:w="3628"/>
            <w:shd w:fill="FFFFFF"/>
            <w:tcMar>
              <w:top w:w="100" w:type="dxa"/>
              <w:start w:w="100" w:type="dxa"/>
              <w:bottom w:w="100" w:type="dxa"/>
              <w:end w:w="100" w:type="dxa"/>
            </w:tcMar>
            <w:vAlign w:val="center"/>
          </w:tcPr>
          <w:p>
            <w:r>
              <w:rPr>
                <w:rFonts w:ascii="Arial" w:hAnsi="Arial" w:eastAsia="Arial" w:cs="Arial"/>
                <w:b w:val="0"/>
                <w:color w:val="1D3155"/>
                <w:sz w:val="18"/>
              </w:rPr>
              <w:t>A multi-year value case may be more relevant</w:t>
            </w:r>
          </w:p>
        </w:tc>
      </w:tr>
      <w:tr>
        <w:tc>
          <w:tcPr>
            <w:tcW w:type="dxa" w:w="1814"/>
            <w:shd w:fill="F3F7FA"/>
            <w:tcMar>
              <w:top w:w="100" w:type="dxa"/>
              <w:start w:w="100" w:type="dxa"/>
              <w:bottom w:w="100" w:type="dxa"/>
              <w:end w:w="100" w:type="dxa"/>
            </w:tcMar>
            <w:vAlign w:val="center"/>
          </w:tcPr>
          <w:p>
            <w:r>
              <w:rPr>
                <w:rFonts w:ascii="Arial" w:hAnsi="Arial" w:eastAsia="Arial" w:cs="Arial"/>
                <w:b w:val="0"/>
                <w:color w:val="1D3155"/>
                <w:sz w:val="18"/>
              </w:rPr>
              <w:t>High turnover</w:t>
            </w:r>
          </w:p>
        </w:tc>
        <w:tc>
          <w:tcPr>
            <w:tcW w:type="dxa" w:w="4309"/>
            <w:shd w:fill="F3F7FA"/>
            <w:tcMar>
              <w:top w:w="100" w:type="dxa"/>
              <w:start w:w="100" w:type="dxa"/>
              <w:bottom w:w="100" w:type="dxa"/>
              <w:end w:w="100" w:type="dxa"/>
            </w:tcMar>
            <w:vAlign w:val="center"/>
          </w:tcPr>
          <w:p>
            <w:r>
              <w:rPr>
                <w:rFonts w:ascii="Arial" w:hAnsi="Arial" w:eastAsia="Arial" w:cs="Arial"/>
                <w:b w:val="0"/>
                <w:color w:val="1D3155"/>
                <w:sz w:val="18"/>
              </w:rPr>
              <w:t>Untreated need may re-enter with new hires</w:t>
            </w:r>
          </w:p>
        </w:tc>
        <w:tc>
          <w:tcPr>
            <w:tcW w:type="dxa" w:w="3628"/>
            <w:shd w:fill="F3F7FA"/>
            <w:tcMar>
              <w:top w:w="100" w:type="dxa"/>
              <w:start w:w="100" w:type="dxa"/>
              <w:bottom w:w="100" w:type="dxa"/>
              <w:end w:w="100" w:type="dxa"/>
            </w:tcMar>
            <w:vAlign w:val="center"/>
          </w:tcPr>
          <w:p>
            <w:r>
              <w:rPr>
                <w:rFonts w:ascii="Arial" w:hAnsi="Arial" w:eastAsia="Arial" w:cs="Arial"/>
                <w:b w:val="0"/>
                <w:color w:val="1D3155"/>
                <w:sz w:val="18"/>
              </w:rPr>
              <w:t>Employee experience, recruitment and retention may be the stronger case</w:t>
            </w:r>
          </w:p>
        </w:tc>
      </w:tr>
    </w:tbl>
    <w:p>
      <w:pPr>
        <w:spacing w:after="0"/>
      </w:pPr>
    </w:p>
    <w:p>
      <w:r>
        <w:rPr>
          <w:rFonts w:ascii="Arial" w:hAnsi="Arial" w:eastAsia="Arial" w:cs="Arial"/>
          <w:b w:val="0"/>
          <w:color w:val="1D3155"/>
          <w:sz w:val="22"/>
        </w:rPr>
        <w:t>ICLO will not contract on a year-one savings guarantee.</w:t>
      </w:r>
    </w:p>
    <w:p>
      <w:r>
        <w:rPr>
          <w:rFonts w:ascii="Arial" w:hAnsi="Arial" w:eastAsia="Arial" w:cs="Arial"/>
          <w:b w:val="0"/>
          <w:color w:val="1D3155"/>
          <w:sz w:val="22"/>
        </w:rPr>
        <w:t>Planning inputs include population age, geography, network overlap, provider availability, turnover, plan design, historical claims, paid/OOP allocation, untreated-need assumptions and claims run-out. Outputs include Year 1-3 scenarios, turnover sensitivity, network-access sensitivity and explicit uncertainty.</w:t>
      </w: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HYPOTHESIS</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Simulation values are planning heuristics to be calibrated with customer data - not actual ICLO outcomes.</w:t>
            </w:r>
          </w:p>
        </w:tc>
      </w:tr>
    </w:tbl>
    <w:p>
      <w:pPr>
        <w:spacing w:after="0"/>
      </w:pPr>
    </w:p>
    <w:p>
      <w:r>
        <w:br w:type="page"/>
      </w:r>
    </w:p>
    <w:p>
      <w:pPr>
        <w:spacing w:after="80"/>
      </w:pPr>
      <w:r>
        <w:rPr>
          <w:rFonts w:ascii="Arial" w:hAnsi="Arial" w:eastAsia="Arial" w:cs="Arial"/>
          <w:b/>
          <w:color w:val="008A94"/>
          <w:sz w:val="20"/>
        </w:rPr>
        <w:t>RESPONSIBILITIES</w:t>
      </w:r>
    </w:p>
    <w:p>
      <w:pPr>
        <w:pStyle w:val="Heading1"/>
        <w:spacing w:after="100"/>
      </w:pPr>
      <w:r>
        <w:t>What Snowflake Can Support - and What Remains Outside Its Scope</w:t>
      </w:r>
    </w:p>
    <w:p>
      <w:pPr>
        <w:spacing w:after="200"/>
      </w:pPr>
      <w:r>
        <w:rPr>
          <w:rFonts w:ascii="Arial" w:hAnsi="Arial" w:eastAsia="Arial" w:cs="Arial"/>
          <w:b w:val="0"/>
          <w:color w:val="63738A"/>
          <w:sz w:val="23"/>
        </w:rPr>
        <w:t>The platform can enable governed evidence and collaboration; it does not decide ICLO's intended use, data rights or legal sufficiency.</w:t>
      </w:r>
    </w:p>
    <w:tbl>
      <w:tblPr>
        <w:tblW w:type="auto" w:w="0"/>
        <w:jc w:val="center"/>
        <w:tblLayout w:type="fixed"/>
        <w:tblLook w:firstColumn="1" w:firstRow="1" w:lastColumn="0" w:lastRow="0" w:noHBand="0" w:noVBand="1" w:val="04A0"/>
      </w:tblPr>
      <w:tblGrid>
        <w:gridCol w:w="3288"/>
        <w:gridCol w:w="3288"/>
        <w:gridCol w:w="3175"/>
      </w:tblGrid>
      <w:tr>
        <w:trPr>
          <w:tblHeader w:val="true"/>
        </w:trPr>
        <w:tc>
          <w:tcPr>
            <w:tcW w:type="dxa" w:w="3289"/>
            <w:shd w:fill="008A94"/>
            <w:tcMar>
              <w:top w:w="120" w:type="dxa"/>
              <w:start w:w="100" w:type="dxa"/>
              <w:bottom w:w="120" w:type="dxa"/>
              <w:end w:w="100" w:type="dxa"/>
            </w:tcMar>
          </w:tcPr>
          <w:p>
            <w:r>
              <w:rPr>
                <w:rFonts w:ascii="Arial" w:hAnsi="Arial" w:eastAsia="Arial" w:cs="Arial"/>
                <w:b/>
                <w:color w:val="FFFFFF"/>
                <w:sz w:val="18"/>
              </w:rPr>
              <w:t>Snowflake can support</w:t>
            </w:r>
          </w:p>
        </w:tc>
        <w:tc>
          <w:tcPr>
            <w:tcW w:type="dxa" w:w="3289"/>
            <w:shd w:fill="008A94"/>
            <w:tcMar>
              <w:top w:w="120" w:type="dxa"/>
              <w:start w:w="100" w:type="dxa"/>
              <w:bottom w:w="120" w:type="dxa"/>
              <w:end w:w="100" w:type="dxa"/>
            </w:tcMar>
          </w:tcPr>
          <w:p>
            <w:r>
              <w:rPr>
                <w:rFonts w:ascii="Arial" w:hAnsi="Arial" w:eastAsia="Arial" w:cs="Arial"/>
                <w:b/>
                <w:color w:val="FFFFFF"/>
                <w:sz w:val="18"/>
              </w:rPr>
              <w:t>ICLO / customer responsibility</w:t>
            </w:r>
          </w:p>
        </w:tc>
        <w:tc>
          <w:tcPr>
            <w:tcW w:type="dxa" w:w="3289"/>
            <w:shd w:fill="008A94"/>
            <w:tcMar>
              <w:top w:w="120" w:type="dxa"/>
              <w:start w:w="100" w:type="dxa"/>
              <w:bottom w:w="120" w:type="dxa"/>
              <w:end w:w="100" w:type="dxa"/>
            </w:tcMar>
          </w:tcPr>
          <w:p>
            <w:r>
              <w:rPr>
                <w:rFonts w:ascii="Arial" w:hAnsi="Arial" w:eastAsia="Arial" w:cs="Arial"/>
                <w:b/>
                <w:color w:val="FFFFFF"/>
                <w:sz w:val="18"/>
              </w:rPr>
              <w:t>Outside the Snowflake ask</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Governed storage and compute; canonical model; reconciliation</w:t>
            </w:r>
          </w:p>
        </w:tc>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Source mapping, product logic and operational controls</w:t>
            </w:r>
          </w:p>
        </w:tc>
        <w:tc>
          <w:tcPr>
            <w:tcW w:type="dxa" w:w="3175"/>
            <w:shd w:fill="FFFFFF"/>
            <w:tcMar>
              <w:top w:w="100" w:type="dxa"/>
              <w:start w:w="100" w:type="dxa"/>
              <w:bottom w:w="100" w:type="dxa"/>
              <w:end w:w="100" w:type="dxa"/>
            </w:tcMar>
            <w:vAlign w:val="center"/>
          </w:tcPr>
          <w:p>
            <w:r>
              <w:rPr>
                <w:rFonts w:ascii="Arial" w:hAnsi="Arial" w:eastAsia="Arial" w:cs="Arial"/>
                <w:b w:val="0"/>
                <w:color w:val="1D3155"/>
                <w:sz w:val="18"/>
              </w:rPr>
              <w:t>Employer/TPA data-rights determination</w:t>
            </w:r>
          </w:p>
        </w:tc>
      </w:tr>
      <w:tr>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Role-based access, masking, row policies and access history</w:t>
            </w:r>
          </w:p>
        </w:tc>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Consent UX, purpose metadata and incident operations</w:t>
            </w:r>
          </w:p>
        </w:tc>
        <w:tc>
          <w:tcPr>
            <w:tcW w:type="dxa" w:w="3175"/>
            <w:shd w:fill="F3F7FA"/>
            <w:tcMar>
              <w:top w:w="100" w:type="dxa"/>
              <w:start w:w="100" w:type="dxa"/>
              <w:bottom w:w="100" w:type="dxa"/>
              <w:end w:w="100" w:type="dxa"/>
            </w:tcMar>
            <w:vAlign w:val="center"/>
          </w:tcPr>
          <w:p>
            <w:r>
              <w:rPr>
                <w:rFonts w:ascii="Arial" w:hAnsi="Arial" w:eastAsia="Arial" w:cs="Arial"/>
                <w:b w:val="0"/>
                <w:color w:val="1D3155"/>
                <w:sz w:val="18"/>
              </w:rPr>
              <w:t>Legal sufficiency of employee consent</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Aggregate outcome views and claims-confirmed calculations</w:t>
            </w:r>
          </w:p>
        </w:tc>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Program attribution logic and customer reporting</w:t>
            </w:r>
          </w:p>
        </w:tc>
        <w:tc>
          <w:tcPr>
            <w:tcW w:type="dxa" w:w="3175"/>
            <w:shd w:fill="FFFFFF"/>
            <w:tcMar>
              <w:top w:w="100" w:type="dxa"/>
              <w:start w:w="100" w:type="dxa"/>
              <w:bottom w:w="100" w:type="dxa"/>
              <w:end w:w="100" w:type="dxa"/>
            </w:tcMar>
            <w:vAlign w:val="center"/>
          </w:tcPr>
          <w:p>
            <w:r>
              <w:rPr>
                <w:rFonts w:ascii="Arial" w:hAnsi="Arial" w:eastAsia="Arial" w:cs="Arial"/>
                <w:b w:val="0"/>
                <w:color w:val="1D3155"/>
                <w:sz w:val="18"/>
              </w:rPr>
              <w:t>First-year savings validation</w:t>
            </w:r>
          </w:p>
        </w:tc>
      </w:tr>
      <w:tr>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Same-region share where available; controlled staging otherwise</w:t>
            </w:r>
          </w:p>
        </w:tc>
        <w:tc>
          <w:tcPr>
            <w:tcW w:type="dxa" w:w="3288"/>
            <w:shd w:fill="F3F7FA"/>
            <w:tcMar>
              <w:top w:w="100" w:type="dxa"/>
              <w:start w:w="100" w:type="dxa"/>
              <w:bottom w:w="100" w:type="dxa"/>
              <w:end w:w="100" w:type="dxa"/>
            </w:tcMar>
            <w:vAlign w:val="center"/>
          </w:tcPr>
          <w:p>
            <w:r>
              <w:rPr>
                <w:rFonts w:ascii="Arial" w:hAnsi="Arial" w:eastAsia="Arial" w:cs="Arial"/>
                <w:b w:val="0"/>
                <w:color w:val="1D3155"/>
                <w:sz w:val="18"/>
              </w:rPr>
              <w:t>Connector and source-system implementation</w:t>
            </w:r>
          </w:p>
        </w:tc>
        <w:tc>
          <w:tcPr>
            <w:tcW w:type="dxa" w:w="3175"/>
            <w:shd w:fill="F3F7FA"/>
            <w:tcMar>
              <w:top w:w="100" w:type="dxa"/>
              <w:start w:w="100" w:type="dxa"/>
              <w:bottom w:w="100" w:type="dxa"/>
              <w:end w:w="100" w:type="dxa"/>
            </w:tcMar>
            <w:vAlign w:val="center"/>
          </w:tcPr>
          <w:p>
            <w:r>
              <w:rPr>
                <w:rFonts w:ascii="Arial" w:hAnsi="Arial" w:eastAsia="Arial" w:cs="Arial"/>
                <w:b w:val="0"/>
                <w:color w:val="1D3155"/>
                <w:sz w:val="18"/>
              </w:rPr>
              <w:t>Cross-region legal conclusions</w:t>
            </w:r>
          </w:p>
        </w:tc>
      </w:tr>
      <w:tr>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Workload sizing; pre-credit run-rate economics</w:t>
            </w:r>
          </w:p>
        </w:tc>
        <w:tc>
          <w:tcPr>
            <w:tcW w:type="dxa" w:w="3288"/>
            <w:shd w:fill="FFFFFF"/>
            <w:tcMar>
              <w:top w:w="100" w:type="dxa"/>
              <w:start w:w="100" w:type="dxa"/>
              <w:bottom w:w="100" w:type="dxa"/>
              <w:end w:w="100" w:type="dxa"/>
            </w:tcMar>
            <w:vAlign w:val="center"/>
          </w:tcPr>
          <w:p>
            <w:r>
              <w:rPr>
                <w:rFonts w:ascii="Arial" w:hAnsi="Arial" w:eastAsia="Arial" w:cs="Arial"/>
                <w:b w:val="0"/>
                <w:color w:val="1D3155"/>
                <w:sz w:val="18"/>
              </w:rPr>
              <w:t>Commercial assumptions and usage monitoring</w:t>
            </w:r>
          </w:p>
        </w:tc>
        <w:tc>
          <w:tcPr>
            <w:tcW w:type="dxa" w:w="3175"/>
            <w:shd w:fill="FFFFFF"/>
            <w:tcMar>
              <w:top w:w="100" w:type="dxa"/>
              <w:start w:w="100" w:type="dxa"/>
              <w:bottom w:w="100" w:type="dxa"/>
              <w:end w:w="100" w:type="dxa"/>
            </w:tcMar>
            <w:vAlign w:val="center"/>
          </w:tcPr>
          <w:p>
            <w:r>
              <w:rPr>
                <w:rFonts w:ascii="Arial" w:hAnsi="Arial" w:eastAsia="Arial" w:cs="Arial"/>
                <w:b w:val="0"/>
                <w:color w:val="1D3155"/>
                <w:sz w:val="18"/>
              </w:rPr>
              <w:t>FDA status, licensure or referral-law analysis; ICLO-wide HIPAA compliance conclusion</w:t>
            </w:r>
          </w:p>
        </w:tc>
      </w:tr>
    </w:tbl>
    <w:p>
      <w:pPr>
        <w:spacing w:after="0"/>
      </w:pPr>
    </w:p>
    <w:p>
      <w:r>
        <w:rPr>
          <w:rFonts w:ascii="Arial" w:hAnsi="Arial" w:eastAsia="Arial" w:cs="Arial"/>
          <w:b w:val="0"/>
          <w:color w:val="1D3155"/>
          <w:sz w:val="22"/>
        </w:rPr>
        <w:t>Native App, multi-party Clean Room and federated learning are conditional options. They are not prerequisites for the first employer pilot.</w:t>
      </w:r>
    </w:p>
    <w:p>
      <w:r>
        <w:br w:type="page"/>
      </w:r>
    </w:p>
    <w:p>
      <w:pPr>
        <w:spacing w:after="80"/>
      </w:pPr>
      <w:r>
        <w:rPr>
          <w:rFonts w:ascii="Arial" w:hAnsi="Arial" w:eastAsia="Arial" w:cs="Arial"/>
          <w:b/>
          <w:color w:val="008A94"/>
          <w:sz w:val="20"/>
        </w:rPr>
        <w:t>PARTNERSHIP REQUEST</w:t>
      </w:r>
    </w:p>
    <w:p>
      <w:pPr>
        <w:pStyle w:val="Heading1"/>
        <w:spacing w:after="100"/>
      </w:pPr>
      <w:r>
        <w:t>Convert Existing Snowflake Support into a Routed Validation</w:t>
      </w:r>
    </w:p>
    <w:p>
      <w:pPr>
        <w:spacing w:after="200"/>
      </w:pPr>
      <w:r>
        <w:rPr>
          <w:rFonts w:ascii="Arial" w:hAnsi="Arial" w:eastAsia="Arial" w:cs="Arial"/>
          <w:b w:val="0"/>
          <w:color w:val="63738A"/>
          <w:sz w:val="23"/>
        </w:rPr>
        <w:t>Step 0 is routing: the current Korea startup sponsor names the U.S. HLS GTM and architecture owners before technical work begins.</w:t>
      </w:r>
    </w:p>
    <w:tbl>
      <w:tblPr>
        <w:tblW w:type="auto" w:w="0"/>
        <w:jc w:val="center"/>
        <w:tblLayout w:type="fixed"/>
        <w:tblLook w:firstColumn="1" w:firstRow="1" w:lastColumn="0" w:lastRow="0" w:noHBand="0" w:noVBand="1" w:val="04A0"/>
      </w:tblPr>
      <w:tblGrid>
        <w:gridCol w:w="2154"/>
        <w:gridCol w:w="7597"/>
      </w:tblGrid>
      <w:tr>
        <w:trPr>
          <w:tblHeader w:val="true"/>
        </w:trPr>
        <w:tc>
          <w:tcPr>
            <w:tcW w:type="dxa" w:w="4933"/>
            <w:shd w:fill="008A94"/>
            <w:tcMar>
              <w:top w:w="120" w:type="dxa"/>
              <w:start w:w="100" w:type="dxa"/>
              <w:bottom w:w="120" w:type="dxa"/>
              <w:end w:w="100" w:type="dxa"/>
            </w:tcMar>
          </w:tcPr>
          <w:p>
            <w:r>
              <w:rPr>
                <w:rFonts w:ascii="Arial" w:hAnsi="Arial" w:eastAsia="Arial" w:cs="Arial"/>
                <w:b/>
                <w:color w:val="FFFFFF"/>
                <w:sz w:val="18"/>
              </w:rPr>
              <w:t>Priority</w:t>
            </w:r>
          </w:p>
        </w:tc>
        <w:tc>
          <w:tcPr>
            <w:tcW w:type="dxa" w:w="4933"/>
            <w:shd w:fill="008A94"/>
            <w:tcMar>
              <w:top w:w="120" w:type="dxa"/>
              <w:start w:w="100" w:type="dxa"/>
              <w:bottom w:w="120" w:type="dxa"/>
              <w:end w:w="100" w:type="dxa"/>
            </w:tcMar>
          </w:tcPr>
          <w:p>
            <w:r>
              <w:rPr>
                <w:rFonts w:ascii="Arial" w:hAnsi="Arial" w:eastAsia="Arial" w:cs="Arial"/>
                <w:b/>
                <w:color w:val="FFFFFF"/>
                <w:sz w:val="18"/>
              </w:rPr>
              <w:t>Requested output</w:t>
            </w:r>
          </w:p>
        </w:tc>
      </w:tr>
      <w:tr>
        <w:tc>
          <w:tcPr>
            <w:tcW w:type="dxa" w:w="2154"/>
            <w:shd w:fill="FFFFFF"/>
            <w:tcMar>
              <w:top w:w="100" w:type="dxa"/>
              <w:start w:w="100" w:type="dxa"/>
              <w:bottom w:w="100" w:type="dxa"/>
              <w:end w:w="100" w:type="dxa"/>
            </w:tcMar>
            <w:vAlign w:val="center"/>
          </w:tcPr>
          <w:p>
            <w:r>
              <w:rPr>
                <w:rFonts w:ascii="Arial" w:hAnsi="Arial" w:eastAsia="Arial" w:cs="Arial"/>
                <w:b w:val="0"/>
                <w:color w:val="1D3155"/>
                <w:sz w:val="18"/>
              </w:rPr>
              <w:t>Step 0 / immediate</w:t>
            </w:r>
          </w:p>
        </w:tc>
        <w:tc>
          <w:tcPr>
            <w:tcW w:type="dxa" w:w="7597"/>
            <w:shd w:fill="FFFFFF"/>
            <w:tcMar>
              <w:top w:w="100" w:type="dxa"/>
              <w:start w:w="100" w:type="dxa"/>
              <w:bottom w:w="100" w:type="dxa"/>
              <w:end w:w="100" w:type="dxa"/>
            </w:tcMar>
            <w:vAlign w:val="center"/>
          </w:tcPr>
          <w:p>
            <w:r>
              <w:rPr>
                <w:rFonts w:ascii="Arial" w:hAnsi="Arial" w:eastAsia="Arial" w:cs="Arial"/>
                <w:b w:val="0"/>
                <w:color w:val="1D3155"/>
                <w:sz w:val="18"/>
              </w:rPr>
              <w:t>Official support-program name and current sponsor; routed U.S. HLS GTM and architecture owners; U.S. account/region/Business Critical/BAA path; written credits and support scope</w:t>
            </w:r>
          </w:p>
        </w:tc>
      </w:tr>
      <w:tr>
        <w:tc>
          <w:tcPr>
            <w:tcW w:type="dxa" w:w="2154"/>
            <w:shd w:fill="F3F7FA"/>
            <w:tcMar>
              <w:top w:w="100" w:type="dxa"/>
              <w:start w:w="100" w:type="dxa"/>
              <w:bottom w:w="100" w:type="dxa"/>
              <w:end w:w="100" w:type="dxa"/>
            </w:tcMar>
            <w:vAlign w:val="center"/>
          </w:tcPr>
          <w:p>
            <w:r>
              <w:rPr>
                <w:rFonts w:ascii="Arial" w:hAnsi="Arial" w:eastAsia="Arial" w:cs="Arial"/>
                <w:b w:val="0"/>
                <w:color w:val="1D3155"/>
                <w:sz w:val="18"/>
              </w:rPr>
              <w:t>Next</w:t>
            </w:r>
          </w:p>
        </w:tc>
        <w:tc>
          <w:tcPr>
            <w:tcW w:type="dxa" w:w="7597"/>
            <w:shd w:fill="F3F7FA"/>
            <w:tcMar>
              <w:top w:w="100" w:type="dxa"/>
              <w:start w:w="100" w:type="dxa"/>
              <w:bottom w:w="100" w:type="dxa"/>
              <w:end w:w="100" w:type="dxa"/>
            </w:tcMar>
            <w:vAlign w:val="center"/>
          </w:tcPr>
          <w:p>
            <w:r>
              <w:rPr>
                <w:rFonts w:ascii="Arial" w:hAnsi="Arial" w:eastAsia="Arial" w:cs="Arial"/>
                <w:b w:val="0"/>
                <w:color w:val="1D3155"/>
                <w:sz w:val="18"/>
              </w:rPr>
              <w:t>Self-funded employer dental and administrator/TPA account map; one account-team use-case validation; Direct Share versus SFTP/API decision pattern; partner checklist; co-sell milestones</w:t>
            </w:r>
          </w:p>
        </w:tc>
      </w:tr>
      <w:tr>
        <w:tc>
          <w:tcPr>
            <w:tcW w:type="dxa" w:w="2154"/>
            <w:shd w:fill="FFFFFF"/>
            <w:tcMar>
              <w:top w:w="100" w:type="dxa"/>
              <w:start w:w="100" w:type="dxa"/>
              <w:bottom w:w="100" w:type="dxa"/>
              <w:end w:w="100" w:type="dxa"/>
            </w:tcMar>
            <w:vAlign w:val="center"/>
          </w:tcPr>
          <w:p>
            <w:r>
              <w:rPr>
                <w:rFonts w:ascii="Arial" w:hAnsi="Arial" w:eastAsia="Arial" w:cs="Arial"/>
                <w:b w:val="0"/>
                <w:color w:val="1D3155"/>
                <w:sz w:val="18"/>
              </w:rPr>
              <w:t>Later / conditional</w:t>
            </w:r>
          </w:p>
        </w:tc>
        <w:tc>
          <w:tcPr>
            <w:tcW w:type="dxa" w:w="7597"/>
            <w:shd w:fill="FFFFFF"/>
            <w:tcMar>
              <w:top w:w="100" w:type="dxa"/>
              <w:start w:w="100" w:type="dxa"/>
              <w:bottom w:w="100" w:type="dxa"/>
              <w:end w:w="100" w:type="dxa"/>
            </w:tcMar>
            <w:vAlign w:val="center"/>
          </w:tcPr>
          <w:p>
            <w:r>
              <w:rPr>
                <w:rFonts w:ascii="Arial" w:hAnsi="Arial" w:eastAsia="Arial" w:cs="Arial"/>
                <w:b w:val="0"/>
                <w:color w:val="1D3155"/>
                <w:sz w:val="18"/>
              </w:rPr>
              <w:t>Native App feasibility; multi-party Clean Room; federated-learning feasibility; joint case study; optional Snowflake employee-benefits design partnership, subject to fit</w:t>
            </w:r>
          </w:p>
        </w:tc>
      </w:tr>
    </w:tbl>
    <w:p>
      <w:pPr>
        <w:spacing w:after="0"/>
      </w:pPr>
    </w:p>
    <w:p>
      <w:pPr>
        <w:pStyle w:val="ListBullet"/>
        <w:ind w:left="283" w:hanging="142"/>
      </w:pPr>
      <w:r>
        <w:rPr>
          <w:rFonts w:ascii="Arial" w:hAnsi="Arial" w:eastAsia="Arial" w:cs="Arial"/>
          <w:b w:val="0"/>
          <w:color w:val="1D3155"/>
          <w:sz w:val="21"/>
        </w:rPr>
        <w:t>Which Snowflake HLS sales play fits most naturally?</w:t>
      </w:r>
    </w:p>
    <w:p>
      <w:pPr>
        <w:pStyle w:val="ListBullet"/>
        <w:ind w:left="283" w:hanging="142"/>
      </w:pPr>
      <w:r>
        <w:rPr>
          <w:rFonts w:ascii="Arial" w:hAnsi="Arial" w:eastAsia="Arial" w:cs="Arial"/>
          <w:b w:val="0"/>
          <w:color w:val="1D3155"/>
          <w:sz w:val="21"/>
        </w:rPr>
        <w:t>Is the stronger Snowflake story the employee application or the governed payer/TPA evidence layer behind it?</w:t>
      </w:r>
    </w:p>
    <w:p>
      <w:pPr>
        <w:pStyle w:val="ListBullet"/>
        <w:ind w:left="283" w:hanging="142"/>
      </w:pPr>
      <w:r>
        <w:rPr>
          <w:rFonts w:ascii="Arial" w:hAnsi="Arial" w:eastAsia="Arial" w:cs="Arial"/>
          <w:b w:val="0"/>
          <w:color w:val="1D3155"/>
          <w:sz w:val="21"/>
        </w:rPr>
        <w:t>What must ICLO prove before an account team would actively introduce or co-sell?</w:t>
      </w:r>
    </w:p>
    <w:p>
      <w:pPr>
        <w:pStyle w:val="ListBullet"/>
        <w:ind w:left="283" w:hanging="142"/>
      </w:pPr>
      <w:r>
        <w:rPr>
          <w:rFonts w:ascii="Arial" w:hAnsi="Arial" w:eastAsia="Arial" w:cs="Arial"/>
          <w:b w:val="0"/>
          <w:color w:val="1D3155"/>
          <w:sz w:val="21"/>
        </w:rPr>
        <w:t>Should the path be Snowflake for Startups, Partner Network, Powered by Snowflake or an ISV/Native App route?</w:t>
      </w:r>
    </w:p>
    <w:p>
      <w:r>
        <w:br w:type="page"/>
      </w:r>
    </w:p>
    <w:p>
      <w:pPr>
        <w:spacing w:after="80"/>
      </w:pPr>
      <w:r>
        <w:rPr>
          <w:rFonts w:ascii="Arial" w:hAnsi="Arial" w:eastAsia="Arial" w:cs="Arial"/>
          <w:b/>
          <w:color w:val="008A94"/>
          <w:sz w:val="20"/>
        </w:rPr>
        <w:t>ABOUT ICLO</w:t>
      </w:r>
    </w:p>
    <w:p>
      <w:pPr>
        <w:pStyle w:val="Heading1"/>
        <w:spacing w:after="100"/>
      </w:pPr>
      <w:r>
        <w:t>Confirmed Facts and Fields to Complete Before Release</w:t>
      </w:r>
    </w:p>
    <w:p>
      <w:pPr>
        <w:spacing w:after="200"/>
      </w:pPr>
      <w:r>
        <w:rPr>
          <w:rFonts w:ascii="Arial" w:hAnsi="Arial" w:eastAsia="Arial" w:cs="Arial"/>
          <w:b w:val="0"/>
          <w:color w:val="63738A"/>
          <w:sz w:val="23"/>
        </w:rPr>
        <w:t>ICLO has defined the product/data boundary and target PoC lane; company and Snowflake account fields must be completed before external release.</w:t>
      </w:r>
    </w:p>
    <w:tbl>
      <w:tblPr>
        <w:tblW w:type="auto" w:w="0"/>
        <w:jc w:val="center"/>
        <w:tblLayout w:type="fixed"/>
        <w:tblLook w:firstColumn="1" w:firstRow="1" w:lastColumn="0" w:lastRow="0" w:noHBand="0" w:noVBand="1" w:val="04A0"/>
      </w:tblPr>
      <w:tblGrid>
        <w:gridCol w:w="2721"/>
        <w:gridCol w:w="7030"/>
      </w:tblGrid>
      <w:tr>
        <w:trPr>
          <w:tblHeader w:val="true"/>
        </w:trPr>
        <w:tc>
          <w:tcPr>
            <w:tcW w:type="dxa" w:w="4933"/>
            <w:shd w:fill="008A94"/>
            <w:tcMar>
              <w:top w:w="120" w:type="dxa"/>
              <w:start w:w="100" w:type="dxa"/>
              <w:bottom w:w="120" w:type="dxa"/>
              <w:end w:w="100" w:type="dxa"/>
            </w:tcMar>
          </w:tcPr>
          <w:p>
            <w:r>
              <w:rPr>
                <w:rFonts w:ascii="Arial" w:hAnsi="Arial" w:eastAsia="Arial" w:cs="Arial"/>
                <w:b/>
                <w:color w:val="FFFFFF"/>
                <w:sz w:val="17"/>
              </w:rPr>
              <w:t>Field</w:t>
            </w:r>
          </w:p>
        </w:tc>
        <w:tc>
          <w:tcPr>
            <w:tcW w:type="dxa" w:w="4933"/>
            <w:shd w:fill="008A94"/>
            <w:tcMar>
              <w:top w:w="120" w:type="dxa"/>
              <w:start w:w="100" w:type="dxa"/>
              <w:bottom w:w="120" w:type="dxa"/>
              <w:end w:w="100" w:type="dxa"/>
            </w:tcMar>
          </w:tcPr>
          <w:p>
            <w:r>
              <w:rPr>
                <w:rFonts w:ascii="Arial" w:hAnsi="Arial" w:eastAsia="Arial" w:cs="Arial"/>
                <w:b/>
                <w:color w:val="FFFFFF"/>
                <w:sz w:val="17"/>
              </w:rPr>
              <w:t>Current statement</w:t>
            </w:r>
          </w:p>
        </w:tc>
      </w:tr>
      <w:tr>
        <w:tc>
          <w:tcPr>
            <w:tcW w:type="dxa" w:w="2721"/>
            <w:shd w:fill="FFFFFF"/>
            <w:tcMar>
              <w:top w:w="100" w:type="dxa"/>
              <w:start w:w="100" w:type="dxa"/>
              <w:bottom w:w="100" w:type="dxa"/>
              <w:end w:w="100" w:type="dxa"/>
            </w:tcMar>
            <w:vAlign w:val="center"/>
          </w:tcPr>
          <w:p>
            <w:r>
              <w:rPr>
                <w:rFonts w:ascii="Arial" w:hAnsi="Arial" w:eastAsia="Arial" w:cs="Arial"/>
                <w:b w:val="0"/>
                <w:color w:val="1D3155"/>
                <w:sz w:val="17"/>
              </w:rPr>
              <w:t>Company</w:t>
            </w:r>
          </w:p>
        </w:tc>
        <w:tc>
          <w:tcPr>
            <w:tcW w:type="dxa" w:w="7030"/>
            <w:shd w:fill="FFFFFF"/>
            <w:tcMar>
              <w:top w:w="100" w:type="dxa"/>
              <w:start w:w="100" w:type="dxa"/>
              <w:bottom w:w="100" w:type="dxa"/>
              <w:end w:w="100" w:type="dxa"/>
            </w:tcMar>
            <w:vAlign w:val="center"/>
          </w:tcPr>
          <w:p>
            <w:r>
              <w:rPr>
                <w:rFonts w:ascii="Arial" w:hAnsi="Arial" w:eastAsia="Arial" w:cs="Arial"/>
                <w:b w:val="0"/>
                <w:color w:val="1D3155"/>
                <w:sz w:val="17"/>
              </w:rPr>
              <w:t>ICLO Co., Ltd. · Jeju, Republic of Korea · Commercial stage in the Korean market (B2C and B2B) · 12 core team members</w:t>
            </w:r>
          </w:p>
        </w:tc>
      </w:tr>
      <w:tr>
        <w:tc>
          <w:tcPr>
            <w:tcW w:type="dxa" w:w="2721"/>
            <w:shd w:fill="F3F7FA"/>
            <w:tcMar>
              <w:top w:w="100" w:type="dxa"/>
              <w:start w:w="100" w:type="dxa"/>
              <w:bottom w:w="100" w:type="dxa"/>
              <w:end w:w="100" w:type="dxa"/>
            </w:tcMar>
            <w:vAlign w:val="center"/>
          </w:tcPr>
          <w:p>
            <w:r>
              <w:rPr>
                <w:rFonts w:ascii="Arial" w:hAnsi="Arial" w:eastAsia="Arial" w:cs="Arial"/>
                <w:b w:val="0"/>
                <w:color w:val="1D3155"/>
                <w:sz w:val="17"/>
              </w:rPr>
              <w:t>Product</w:t>
            </w:r>
          </w:p>
        </w:tc>
        <w:tc>
          <w:tcPr>
            <w:tcW w:type="dxa" w:w="7030"/>
            <w:shd w:fill="F3F7FA"/>
            <w:tcMar>
              <w:top w:w="100" w:type="dxa"/>
              <w:start w:w="100" w:type="dxa"/>
              <w:bottom w:w="100" w:type="dxa"/>
              <w:end w:w="100" w:type="dxa"/>
            </w:tcMar>
            <w:vAlign w:val="center"/>
          </w:tcPr>
          <w:p>
            <w:r>
              <w:rPr>
                <w:rFonts w:ascii="Arial" w:hAnsi="Arial" w:eastAsia="Arial" w:cs="Arial"/>
                <w:b w:val="0"/>
                <w:color w:val="1D3155"/>
                <w:sz w:val="17"/>
              </w:rPr>
              <w:t>HomeDen SaaS (PMS / EMR / CRM) plus employer dental-benefit navigation and claims-evidence design</w:t>
            </w:r>
          </w:p>
        </w:tc>
      </w:tr>
      <w:tr>
        <w:tc>
          <w:tcPr>
            <w:tcW w:type="dxa" w:w="2721"/>
            <w:shd w:fill="FFFFFF"/>
            <w:tcMar>
              <w:top w:w="100" w:type="dxa"/>
              <w:start w:w="100" w:type="dxa"/>
              <w:bottom w:w="100" w:type="dxa"/>
              <w:end w:w="100" w:type="dxa"/>
            </w:tcMar>
            <w:vAlign w:val="center"/>
          </w:tcPr>
          <w:p>
            <w:r>
              <w:rPr>
                <w:rFonts w:ascii="Arial" w:hAnsi="Arial" w:eastAsia="Arial" w:cs="Arial"/>
                <w:b w:val="0"/>
                <w:color w:val="1D3155"/>
                <w:sz w:val="17"/>
              </w:rPr>
              <w:t>Program selections</w:t>
            </w:r>
          </w:p>
        </w:tc>
        <w:tc>
          <w:tcPr>
            <w:tcW w:type="dxa" w:w="7030"/>
            <w:shd w:fill="FFFFFF"/>
            <w:tcMar>
              <w:top w:w="100" w:type="dxa"/>
              <w:start w:w="100" w:type="dxa"/>
              <w:bottom w:w="100" w:type="dxa"/>
              <w:end w:w="100" w:type="dxa"/>
            </w:tcMar>
            <w:vAlign w:val="center"/>
          </w:tcPr>
          <w:p>
            <w:r>
              <w:rPr>
                <w:rFonts w:ascii="Arial" w:hAnsi="Arial" w:eastAsia="Arial" w:cs="Arial"/>
                <w:b w:val="0"/>
                <w:color w:val="1D3155"/>
                <w:sz w:val="17"/>
              </w:rPr>
              <w:t>Selected: Fintech Cube Cohort 9 and Shinhan Future's Lab Cohort 12</w:t>
            </w:r>
          </w:p>
        </w:tc>
      </w:tr>
      <w:tr>
        <w:tc>
          <w:tcPr>
            <w:tcW w:type="dxa" w:w="2721"/>
            <w:shd w:fill="F3F7FA"/>
            <w:tcMar>
              <w:top w:w="100" w:type="dxa"/>
              <w:start w:w="100" w:type="dxa"/>
              <w:bottom w:w="100" w:type="dxa"/>
              <w:end w:w="100" w:type="dxa"/>
            </w:tcMar>
            <w:vAlign w:val="center"/>
          </w:tcPr>
          <w:p>
            <w:r>
              <w:rPr>
                <w:rFonts w:ascii="Arial" w:hAnsi="Arial" w:eastAsia="Arial" w:cs="Arial"/>
                <w:b w:val="0"/>
                <w:color w:val="1D3155"/>
                <w:sz w:val="17"/>
              </w:rPr>
              <w:t>Snowflake relationship</w:t>
            </w:r>
          </w:p>
        </w:tc>
        <w:tc>
          <w:tcPr>
            <w:tcW w:type="dxa" w:w="7030"/>
            <w:shd w:fill="F3F7FA"/>
            <w:tcMar>
              <w:top w:w="100" w:type="dxa"/>
              <w:start w:w="100" w:type="dxa"/>
              <w:bottom w:w="100" w:type="dxa"/>
              <w:end w:w="100" w:type="dxa"/>
            </w:tcMar>
            <w:vAlign w:val="center"/>
          </w:tcPr>
          <w:p>
            <w:r>
              <w:rPr>
                <w:rFonts w:ascii="Arial" w:hAnsi="Arial" w:eastAsia="Arial" w:cs="Arial"/>
                <w:b w:val="0"/>
                <w:color w:val="1D3155"/>
                <w:sz w:val="17"/>
              </w:rPr>
              <w:t>Existing Snowflake startup support</w:t>
            </w:r>
          </w:p>
        </w:tc>
      </w:tr>
      <w:tr>
        <w:tc>
          <w:tcPr>
            <w:tcW w:type="dxa" w:w="2721"/>
            <w:shd w:fill="FFFFFF"/>
            <w:tcMar>
              <w:top w:w="100" w:type="dxa"/>
              <w:start w:w="100" w:type="dxa"/>
              <w:bottom w:w="100" w:type="dxa"/>
              <w:end w:w="100" w:type="dxa"/>
            </w:tcMar>
            <w:vAlign w:val="center"/>
          </w:tcPr>
          <w:p>
            <w:r>
              <w:rPr>
                <w:rFonts w:ascii="Arial" w:hAnsi="Arial" w:eastAsia="Arial" w:cs="Arial"/>
                <w:b w:val="0"/>
                <w:color w:val="1D3155"/>
                <w:sz w:val="17"/>
              </w:rPr>
              <w:t>Current Snowflake state</w:t>
            </w:r>
          </w:p>
        </w:tc>
        <w:tc>
          <w:tcPr>
            <w:tcW w:type="dxa" w:w="7030"/>
            <w:shd w:fill="FFFFFF"/>
            <w:tcMar>
              <w:top w:w="100" w:type="dxa"/>
              <w:start w:w="100" w:type="dxa"/>
              <w:bottom w:w="100" w:type="dxa"/>
              <w:end w:w="100" w:type="dxa"/>
            </w:tcMar>
            <w:vAlign w:val="center"/>
          </w:tcPr>
          <w:p>
            <w:r>
              <w:rPr>
                <w:rFonts w:ascii="Arial" w:hAnsi="Arial" w:eastAsia="Arial" w:cs="Arial"/>
                <w:b w:val="0"/>
                <w:color w:val="1D3155"/>
                <w:sz w:val="17"/>
              </w:rPr>
              <w:t>[Account, cloud, region, credits, usage and technical-support owner: confirm]</w:t>
            </w:r>
          </w:p>
        </w:tc>
      </w:tr>
      <w:tr>
        <w:tc>
          <w:tcPr>
            <w:tcW w:type="dxa" w:w="2721"/>
            <w:shd w:fill="F3F7FA"/>
            <w:tcMar>
              <w:top w:w="100" w:type="dxa"/>
              <w:start w:w="100" w:type="dxa"/>
              <w:bottom w:w="100" w:type="dxa"/>
              <w:end w:w="100" w:type="dxa"/>
            </w:tcMar>
            <w:vAlign w:val="center"/>
          </w:tcPr>
          <w:p>
            <w:r>
              <w:rPr>
                <w:rFonts w:ascii="Arial" w:hAnsi="Arial" w:eastAsia="Arial" w:cs="Arial"/>
                <w:b w:val="0"/>
                <w:color w:val="1D3155"/>
                <w:sz w:val="17"/>
              </w:rPr>
              <w:t>Next proof</w:t>
            </w:r>
          </w:p>
        </w:tc>
        <w:tc>
          <w:tcPr>
            <w:tcW w:type="dxa" w:w="7030"/>
            <w:shd w:fill="F3F7FA"/>
            <w:tcMar>
              <w:top w:w="100" w:type="dxa"/>
              <w:start w:w="100" w:type="dxa"/>
              <w:bottom w:w="100" w:type="dxa"/>
              <w:end w:w="100" w:type="dxa"/>
            </w:tcMar>
            <w:vAlign w:val="center"/>
          </w:tcPr>
          <w:p>
            <w:r>
              <w:rPr>
                <w:rFonts w:ascii="Arial" w:hAnsi="Arial" w:eastAsia="Arial" w:cs="Arial"/>
                <w:b w:val="0"/>
                <w:color w:val="1D3155"/>
                <w:sz w:val="17"/>
              </w:rPr>
              <w:t>One U.S. self-funded employer dental-data path and one account-team use-case review</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Arial" w:hAnsi="Arial" w:eastAsia="Arial" w:cs="Arial"/>
                <w:b/>
                <w:color w:val="FFFFFF"/>
                <w:sz w:val="18"/>
              </w:rPr>
              <w:t>RELEASE GATE</w:t>
            </w:r>
          </w:p>
        </w:tc>
        <w:tc>
          <w:tcPr>
            <w:tcW w:type="dxa" w:w="4933"/>
            <w:shd w:fill="FFF7E8"/>
            <w:vAlign w:val="center"/>
            <w:tcMar>
              <w:top w:w="130" w:type="dxa"/>
              <w:start w:w="150" w:type="dxa"/>
              <w:bottom w:w="130" w:type="dxa"/>
              <w:end w:w="150" w:type="dxa"/>
            </w:tcMar>
          </w:tcPr>
          <w:p>
            <w:r>
              <w:rPr>
                <w:rFonts w:ascii="Arial" w:hAnsi="Arial" w:eastAsia="Arial" w:cs="Arial"/>
                <w:b w:val="0"/>
                <w:color w:val="1D3155"/>
                <w:sz w:val="20"/>
              </w:rPr>
              <w:t>The remaining bracketed fields are the ask in this meeting, not gaps in ICLO's own record. Korean commercial stage and program selection do not prove insurer integration, underwriting, adjudication or U.S. outcomes.</w:t>
            </w:r>
          </w:p>
        </w:tc>
      </w:tr>
    </w:tbl>
    <w:p>
      <w:pPr>
        <w:spacing w:after="0"/>
      </w:pPr>
    </w:p>
    <w:p>
      <w:r>
        <w:br w:type="page"/>
      </w:r>
    </w:p>
    <w:p>
      <w:pPr>
        <w:spacing w:after="80"/>
      </w:pPr>
      <w:r>
        <w:rPr>
          <w:rFonts w:ascii="Arial" w:hAnsi="Arial" w:eastAsia="Arial" w:cs="Arial"/>
          <w:b/>
          <w:color w:val="008A94"/>
          <w:sz w:val="20"/>
        </w:rPr>
        <w:t>REFERENCES AND REVIEW</w:t>
      </w:r>
    </w:p>
    <w:p>
      <w:pPr>
        <w:pStyle w:val="Heading1"/>
        <w:spacing w:after="100"/>
      </w:pPr>
      <w:r>
        <w:t>Source Notes and Self-Check</w:t>
      </w:r>
    </w:p>
    <w:p>
      <w:pPr>
        <w:spacing w:after="200"/>
      </w:pPr>
      <w:r>
        <w:rPr>
          <w:rFonts w:ascii="Arial" w:hAnsi="Arial" w:eastAsia="Arial" w:cs="Arial"/>
          <w:b w:val="0"/>
          <w:color w:val="63738A"/>
          <w:sz w:val="23"/>
        </w:rPr>
        <w:t>External facts are separated from ICLO direction, product principles, hypotheses and requests.</w:t>
      </w:r>
    </w:p>
    <w:p>
      <w:pPr>
        <w:pStyle w:val="ListBullet"/>
        <w:ind w:left="283" w:hanging="142"/>
      </w:pPr>
      <w:r>
        <w:rPr>
          <w:rFonts w:ascii="Arial" w:hAnsi="Arial" w:eastAsia="Arial" w:cs="Arial"/>
          <w:b w:val="0"/>
          <w:color w:val="1D3155"/>
          <w:sz w:val="21"/>
        </w:rPr>
        <w:t>U.S. Department of Labor, EBSA - Understanding Your Fiduciary Responsibilities Under a Group Health Plan: an ERISA-covered group health plan may cover dental, and may fund benefits through a trust, by purchasing insurance, or by self-funding from the employer's general assets. https://www.dol.gov/sites/dolgov/files/EBSA/about-ebsa/our-activities/resource-center/publications/group-health-plan-fiduciary-responsibilities.pdf (section page: https://www.dol.gov/agencies/ebsa/employers-and-advisers/plan-administration-and-compliance/health-plans)</w:t>
      </w:r>
    </w:p>
    <w:p>
      <w:pPr>
        <w:pStyle w:val="ListBullet"/>
        <w:ind w:left="283" w:hanging="142"/>
      </w:pPr>
      <w:r>
        <w:rPr>
          <w:rFonts w:ascii="Arial" w:hAnsi="Arial" w:eastAsia="Arial" w:cs="Arial"/>
          <w:b w:val="0"/>
          <w:color w:val="1D3155"/>
          <w:sz w:val="21"/>
        </w:rPr>
        <w:t>U.S. Department of Labor, EBSA - Annual Report to Congress on Self-Insured Group Health Plans (2025 edition, the current one): self-insured sponsor pays claims directly; fully insured sponsor pays premiums and the insurer assumes risk. https://www.dol.gov/sites/dolgov/files/EBSA/researchers/statistics/retirement-bulletins/annual-report-on-self-insured-group-health-plans-2025.pdf (all editions: https://www.dol.gov/agencies/ebsa/about-ebsa/our-activities/resource-center/reports)</w:t>
      </w:r>
    </w:p>
    <w:p>
      <w:pPr>
        <w:pStyle w:val="ListBullet"/>
        <w:ind w:left="283" w:hanging="142"/>
      </w:pPr>
      <w:r>
        <w:rPr>
          <w:rFonts w:ascii="Arial" w:hAnsi="Arial" w:eastAsia="Arial" w:cs="Arial"/>
          <w:b w:val="0"/>
          <w:color w:val="1D3155"/>
          <w:sz w:val="21"/>
        </w:rPr>
        <w:t>HealthCare.gov - adult dental is not an essential health benefit and may be embedded or separate: https://www.healthcare.gov/coverage/dental-coverage/</w:t>
      </w:r>
    </w:p>
    <w:p>
      <w:pPr>
        <w:pStyle w:val="ListBullet"/>
        <w:ind w:left="283" w:hanging="142"/>
      </w:pPr>
      <w:r>
        <w:rPr>
          <w:rFonts w:ascii="Arial" w:hAnsi="Arial" w:eastAsia="Arial" w:cs="Arial"/>
          <w:b w:val="0"/>
          <w:color w:val="1D3155"/>
          <w:sz w:val="21"/>
        </w:rPr>
        <w:t>Medicaid.gov, preventive services - pediatric/CHIP dental requirements and state-option adult dental: https://www.medicaid.gov/medicaid/benefits/prevention</w:t>
      </w:r>
    </w:p>
    <w:p>
      <w:pPr>
        <w:pStyle w:val="ListBullet"/>
        <w:ind w:left="283" w:hanging="142"/>
      </w:pPr>
      <w:r>
        <w:rPr>
          <w:rFonts w:ascii="Arial" w:hAnsi="Arial" w:eastAsia="Arial" w:cs="Arial"/>
          <w:b w:val="0"/>
          <w:color w:val="1D3155"/>
          <w:sz w:val="21"/>
        </w:rPr>
        <w:t>American Dental Association - dental benefit plan designs: https://www.ada.org/resources/practice/dental-insurance/benefit-plan-designs</w:t>
      </w:r>
    </w:p>
    <w:p>
      <w:pPr>
        <w:pStyle w:val="ListBullet"/>
        <w:ind w:left="283" w:hanging="142"/>
      </w:pPr>
      <w:r>
        <w:rPr>
          <w:rFonts w:ascii="Arial" w:hAnsi="Arial" w:eastAsia="Arial" w:cs="Arial"/>
          <w:b w:val="0"/>
          <w:color w:val="1D3155"/>
          <w:sz w:val="21"/>
        </w:rPr>
        <w:t>Korea NHIS - national health insurance benefit framework: https://www.nhis.or.kr/english/wbheaa02600m01.do</w:t>
      </w:r>
    </w:p>
    <w:p>
      <w:pPr>
        <w:pStyle w:val="ListBullet"/>
        <w:ind w:left="283" w:hanging="142"/>
      </w:pPr>
      <w:r>
        <w:rPr>
          <w:rFonts w:ascii="Arial" w:hAnsi="Arial" w:eastAsia="Arial" w:cs="Arial"/>
          <w:b w:val="0"/>
          <w:color w:val="1D3155"/>
          <w:sz w:val="21"/>
        </w:rPr>
        <w:t>Snowflake Editions / Business Critical: https://docs.snowflake.com/en/user-guide/intro-editions</w:t>
      </w:r>
    </w:p>
    <w:p>
      <w:pPr>
        <w:pStyle w:val="ListBullet"/>
        <w:ind w:left="283" w:hanging="142"/>
      </w:pPr>
      <w:r>
        <w:rPr>
          <w:rFonts w:ascii="Arial" w:hAnsi="Arial" w:eastAsia="Arial" w:cs="Arial"/>
          <w:b w:val="0"/>
          <w:color w:val="1D3155"/>
          <w:sz w:val="21"/>
        </w:rPr>
        <w:t>Snowflake row access policies: https://docs.snowflake.com/en/user-guide/security-row-intro</w:t>
      </w:r>
    </w:p>
    <w:p>
      <w:pPr>
        <w:pStyle w:val="ListBullet"/>
        <w:ind w:left="283" w:hanging="142"/>
      </w:pPr>
      <w:r>
        <w:rPr>
          <w:rFonts w:ascii="Arial" w:hAnsi="Arial" w:eastAsia="Arial" w:cs="Arial"/>
          <w:b w:val="0"/>
          <w:color w:val="1D3155"/>
          <w:sz w:val="21"/>
        </w:rPr>
        <w:t>Snowflake data protection policies: https://docs.snowflake.com/en/user-guide/data-protection-policies-snowsight</w:t>
      </w:r>
    </w:p>
    <w:p>
      <w:pPr>
        <w:pStyle w:val="ListBullet"/>
        <w:ind w:left="283" w:hanging="142"/>
      </w:pPr>
      <w:r>
        <w:rPr>
          <w:rFonts w:ascii="Arial" w:hAnsi="Arial" w:eastAsia="Arial" w:cs="Arial"/>
          <w:b w:val="0"/>
          <w:color w:val="1D3155"/>
          <w:sz w:val="21"/>
        </w:rPr>
        <w:t>Snowflake Access History: https://docs.snowflake.com/en/user-guide/access-history</w:t>
      </w:r>
    </w:p>
    <w:p>
      <w:pPr>
        <w:pStyle w:val="ListBullet"/>
        <w:ind w:left="283" w:hanging="142"/>
      </w:pPr>
      <w:r>
        <w:rPr>
          <w:rFonts w:ascii="Arial" w:hAnsi="Arial" w:eastAsia="Arial" w:cs="Arial"/>
          <w:b w:val="0"/>
          <w:color w:val="1D3155"/>
          <w:sz w:val="21"/>
        </w:rPr>
        <w:t>Cross-region sharing and replication: https://docs.snowflake.com/en/user-guide/secure-data-sharing-across-regions-platforms</w:t>
      </w:r>
    </w:p>
    <w:p>
      <w:pPr>
        <w:pStyle w:val="ListBullet"/>
        <w:ind w:left="283" w:hanging="142"/>
      </w:pPr>
      <w:r>
        <w:rPr>
          <w:rFonts w:ascii="Arial" w:hAnsi="Arial" w:eastAsia="Arial" w:cs="Arial"/>
          <w:b w:val="0"/>
          <w:color w:val="1D3155"/>
          <w:sz w:val="21"/>
        </w:rPr>
        <w:t>Snowflake Native App Framework: https://docs.snowflake.com/en/developer-guide/native-apps/native-apps-about</w:t>
      </w:r>
    </w:p>
    <w:p>
      <w:pPr>
        <w:pStyle w:val="ListBullet"/>
        <w:ind w:left="283" w:hanging="142"/>
      </w:pPr>
      <w:r>
        <w:rPr>
          <w:rFonts w:ascii="Arial" w:hAnsi="Arial" w:eastAsia="Arial" w:cs="Arial"/>
          <w:b w:val="0"/>
          <w:color w:val="1D3155"/>
          <w:sz w:val="21"/>
        </w:rPr>
        <w:t>Snowflake Data Clean Rooms: https://docs.snowflake.com/en/user-guide/cleanrooms/about</w:t>
      </w:r>
    </w:p>
    <w:p>
      <w:r>
        <w:rPr>
          <w:rFonts w:ascii="Arial" w:hAnsi="Arial" w:eastAsia="Arial" w:cs="Arial"/>
          <w:b w:val="0"/>
          <w:color w:val="1D3155"/>
          <w:sz w:val="22"/>
        </w:rPr>
        <w:t>Self-check: the U.S. self-funded employer dental PoC is explicit from the opening; ICLO is not presented as teledentistry; coverage, funding and administration are separated; Snowflake's role goes beyond hosting; employer/TPA/carrier/employee roles are distinct; no first-year savings is promised; raw-image and structured-data boundaries are clear; Business Critical is not framed as automatic HIPAA compliance; federated learning is conditional; named owners and outputs remain at close.</w:t>
      </w:r>
    </w:p>
    <w:sectPr w:rsidR="00FC693F" w:rsidRPr="0006063C" w:rsidSect="00034616">
      <w:headerReference w:type="default" r:id="rId9"/>
      <w:footerReference w:type="default" r:id="rId10"/>
      <w:pgSz w:w="11906" w:h="16838"/>
      <w:pgMar w:top="1020"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7937"/>
      <w:gridCol w:w="1928"/>
    </w:tblGrid>
    <w:tr>
      <w:tc>
        <w:tcPr>
          <w:tcW w:type="dxa" w:w="4932"/>
          <w:tcMar>
            <w:top w:w="0" w:type="dxa"/>
            <w:start w:w="0" w:type="dxa"/>
            <w:bottom w:w="0" w:type="dxa"/>
            <w:end w:w="0" w:type="dxa"/>
          </w:tcMar>
        </w:tcPr>
        <w:p>
          <w:r>
            <w:rPr>
              <w:rFonts w:ascii="Arial" w:hAnsi="Arial" w:eastAsia="Arial" w:cs="Arial"/>
              <w:b w:val="0"/>
              <w:color w:val="63738A"/>
              <w:sz w:val="16"/>
            </w:rPr>
            <w:t>ICLO  |  August 2026</w:t>
          </w:r>
        </w:p>
      </w:tc>
      <w:tc>
        <w:tcPr>
          <w:tcW w:type="dxa" w:w="4932"/>
          <w:tcMar>
            <w:top w:w="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1587"/>
      <w:gridCol w:w="6690"/>
      <w:gridCol w:w="1587"/>
    </w:tblGrid>
    <w:tr>
      <w:tc>
        <w:tcPr>
          <w:tcW w:type="dxa" w:w="3288"/>
          <w:tcMar>
            <w:top w:w="0" w:type="dxa"/>
            <w:start w:w="0" w:type="dxa"/>
            <w:bottom w:w="40" w:type="dxa"/>
            <w:end w:w="0" w:type="dxa"/>
          </w:tcMar>
        </w:tcPr>
        <w:p>
          <w:r>
            <w:drawing>
              <wp:inline xmlns:a="http://schemas.openxmlformats.org/drawingml/2006/main" xmlns:pic="http://schemas.openxmlformats.org/drawingml/2006/picture">
                <wp:extent cx="864000" cy="315376"/>
                <wp:docPr id="1" name="Picture 1"/>
                <wp:cNvGraphicFramePr>
                  <a:graphicFrameLocks noChangeAspect="1"/>
                </wp:cNvGraphicFramePr>
                <a:graphic>
                  <a:graphicData uri="http://schemas.openxmlformats.org/drawingml/2006/picture">
                    <pic:pic>
                      <pic:nvPicPr>
                        <pic:cNvPr id="0" name="ICLO-Logo-Color-Transparent.png"/>
                        <pic:cNvPicPr/>
                      </pic:nvPicPr>
                      <pic:blipFill>
                        <a:blip r:embed="rId1"/>
                        <a:stretch>
                          <a:fillRect/>
                        </a:stretch>
                      </pic:blipFill>
                      <pic:spPr>
                        <a:xfrm>
                          <a:off x="0" y="0"/>
                          <a:ext cx="864000" cy="315376"/>
                        </a:xfrm>
                        <a:prstGeom prst="rect"/>
                      </pic:spPr>
                    </pic:pic>
                  </a:graphicData>
                </a:graphic>
              </wp:inline>
            </w:drawing>
          </w:r>
        </w:p>
      </w:tc>
      <w:tc>
        <w:tcPr>
          <w:tcW w:type="dxa" w:w="3288"/>
          <w:tcMar>
            <w:top w:w="0" w:type="dxa"/>
            <w:start w:w="0" w:type="dxa"/>
            <w:bottom w:w="40" w:type="dxa"/>
            <w:end w:w="0" w:type="dxa"/>
          </w:tcMar>
        </w:tcPr>
        <w:p>
          <w:pPr>
            <w:jc w:val="center"/>
          </w:pPr>
          <w:r>
            <w:rPr>
              <w:rFonts w:ascii="Arial" w:hAnsi="Arial" w:eastAsia="Arial" w:cs="Arial"/>
              <w:b/>
              <w:color w:val="63738A"/>
              <w:sz w:val="18"/>
            </w:rPr>
            <w:t>ICLO × SNOWFLAKE  |  JOINT VALIDATION REPORT</w:t>
          </w:r>
        </w:p>
      </w:tc>
      <w:tc>
        <w:tcPr>
          <w:tcW w:type="dxa" w:w="3288"/>
          <w:tcMar>
            <w:top w:w="0" w:type="dxa"/>
            <w:start w:w="0" w:type="dxa"/>
            <w:bottom w:w="40" w:type="dxa"/>
            <w:end w:w="0" w:type="dxa"/>
          </w:tcMar>
        </w:tcPr>
        <w:p>
          <w:pPr>
            <w:jc w:val="right"/>
          </w:pPr>
          <w:r>
            <w:drawing>
              <wp:inline xmlns:a="http://schemas.openxmlformats.org/drawingml/2006/main" xmlns:pic="http://schemas.openxmlformats.org/drawingml/2006/picture">
                <wp:extent cx="864000" cy="486258"/>
                <wp:docPr id="2" name="Picture 2"/>
                <wp:cNvGraphicFramePr>
                  <a:graphicFrameLocks noChangeAspect="1"/>
                </wp:cNvGraphicFramePr>
                <a:graphic>
                  <a:graphicData uri="http://schemas.openxmlformats.org/drawingml/2006/picture">
                    <pic:pic>
                      <pic:nvPicPr>
                        <pic:cNvPr id="0" name="Snowflake-Corporate-Logo-Blue-Transparent-v3.png"/>
                        <pic:cNvPicPr/>
                      </pic:nvPicPr>
                      <pic:blipFill>
                        <a:blip r:embed="rId2"/>
                        <a:stretch>
                          <a:fillRect/>
                        </a:stretch>
                      </pic:blipFill>
                      <pic:spPr>
                        <a:xfrm>
                          <a:off x="0" y="0"/>
                          <a:ext cx="864000" cy="48625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color w:val="1D3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D315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08A9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D3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D31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