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Purpose-Conditioned Dual-Head Model for Automated English Language Proficiency Assessment</w:t>
      </w:r>
    </w:p>
    <w:p>
      <w:pPr>
        <w:spacing w:after="120"/>
        <w:jc w:val="center"/>
      </w:pPr>
      <w:r>
        <w:rPr>
          <w:rFonts w:ascii="Times New Roman" w:cs="Times New Roman" w:eastAsia="Times New Roman" w:hAnsi="Times New Roman"/>
          <w:i/>
          <w:iCs/>
          <w:sz w:val="22"/>
          <w:szCs w:val="22"/>
        </w:rPr>
        <w:t xml:space="preserve">[Author Name], Department of Computer Science, Dong-A University</w:t>
      </w:r>
    </w:p>
    <w:p>
      <w:pPr>
        <w:spacing w:after="400"/>
        <w:jc w:val="center"/>
      </w:pPr>
      <w:r>
        <w:rPr>
          <w:rFonts w:ascii="Times New Roman" w:cs="Times New Roman" w:eastAsia="Times New Roman" w:hAnsi="Times New Roman"/>
          <w:sz w:val="22"/>
          <w:szCs w:val="22"/>
        </w:rPr>
        <w:t xml:space="preserve">GitHub: https://github.com/jangy3079-oss/goal-aware-proficiency</w:t>
      </w:r>
    </w:p>
    <w:p>
      <w:pPr>
        <w:pStyle w:val="Heading1"/>
        <w:spacing w:after="160" w:before="320"/>
      </w:pPr>
      <w:r>
        <w:rPr>
          <w:rFonts w:ascii="Times New Roman" w:cs="Times New Roman" w:eastAsia="Times New Roman" w:hAnsi="Times New Roman"/>
          <w:b/>
          <w:bCs/>
          <w:sz w:val="28"/>
          <w:szCs w:val="28"/>
        </w:rPr>
        <w:t xml:space="preserve">Abstract</w:t>
      </w:r>
    </w:p>
    <w:p>
      <w:pPr>
        <w:spacing w:after="160" w:line="360"/>
        <w:jc w:val="both"/>
      </w:pPr>
      <w:r>
        <w:rPr>
          <w:rFonts w:ascii="Times New Roman" w:cs="Times New Roman" w:eastAsia="Times New Roman" w:hAnsi="Times New Roman"/>
          <w:sz w:val="24"/>
          <w:szCs w:val="24"/>
        </w:rPr>
        <w:t xml:space="preserve">Existing automated language proficiency assessment systems produce a single absolute score using uniform feature weights, regardless of the learner's learning purpose. We propose a </w:t>
      </w:r>
      <w:r>
        <w:rPr>
          <w:rFonts w:ascii="Times New Roman" w:cs="Times New Roman" w:eastAsia="Times New Roman" w:hAnsi="Times New Roman"/>
          <w:b/>
          <w:bCs/>
          <w:sz w:val="24"/>
          <w:szCs w:val="24"/>
        </w:rPr>
        <w:t xml:space="preserve">Purpose-Conditioned Dual-Head (PCDH) </w:t>
      </w:r>
      <w:r>
        <w:rPr>
          <w:rFonts w:ascii="Times New Roman" w:cs="Times New Roman" w:eastAsia="Times New Roman" w:hAnsi="Times New Roman"/>
          <w:sz w:val="24"/>
          <w:szCs w:val="24"/>
        </w:rPr>
        <w:t xml:space="preserve">model that accepts the learner's explicitly stated purpose (travel, business, or academic) and simultaneously produces (1) a purpose-conditioned weighted score via a learnable </w:t>
      </w:r>
      <w:r>
        <w:rPr>
          <w:rFonts w:ascii="Times New Roman" w:cs="Times New Roman" w:eastAsia="Times New Roman" w:hAnsi="Times New Roman"/>
          <w:i/>
          <w:iCs/>
          <w:sz w:val="24"/>
          <w:szCs w:val="24"/>
        </w:rPr>
        <w:t xml:space="preserve">PurposeWeightGenerator</w:t>
      </w:r>
      <w:r>
        <w:rPr>
          <w:rFonts w:ascii="Times New Roman" w:cs="Times New Roman" w:eastAsia="Times New Roman" w:hAnsi="Times New Roman"/>
          <w:sz w:val="24"/>
          <w:szCs w:val="24"/>
        </w:rPr>
        <w:t xml:space="preserve">, and (2) an absolute CEFR proficiency level (A1–C2). The goal score targets are theory-based proxy labels derived from LSP literature and AHP-based expert studies. Evaluated on Speechocean762 (5,000 utterances), our model achieves </w:t>
      </w:r>
      <w:r>
        <w:rPr>
          <w:rFonts w:ascii="Times New Roman" w:cs="Times New Roman" w:eastAsia="Times New Roman" w:hAnsi="Times New Roman"/>
          <w:b/>
          <w:bCs/>
          <w:sz w:val="24"/>
          <w:szCs w:val="24"/>
        </w:rPr>
        <w:t xml:space="preserve">CEFR exact accuracy of 88.4% with 100% within-one-level accuracy</w:t>
      </w:r>
      <w:r>
        <w:rPr>
          <w:rFonts w:ascii="Times New Roman" w:cs="Times New Roman" w:eastAsia="Times New Roman" w:hAnsi="Times New Roman"/>
          <w:sz w:val="24"/>
          <w:szCs w:val="24"/>
        </w:rPr>
        <w:t xml:space="preserve"> and RMSE of 0.097 — a 4× improvement over Ridge Regression (0.404) and XGBoost (0.434). Note that the low RMSE partly reflects alignment with the proxy label construction. Ablation studies confirm contributions of both UncertaintyWeighting and the learned purpose weights. A 3-case robustness test (weight shifts up to extreme reallocation) shows PCC changes of ≤0.032, suggesting generalizable pattern learning.</w:t>
      </w:r>
    </w:p>
    <w:p>
      <w:pPr>
        <w:spacing w:after="1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automated language assessment, purpose-conditioned scoring, dual-head neural network, CEFR, multi-task learning, LSP</w:t>
      </w:r>
    </w:p>
    <w:p>
      <w:pPr>
        <w:spacing w:after="80"/>
      </w:pPr>
      <w:r>
        <w:t xml:space="preserve"/>
      </w:r>
    </w:p>
    <w:p>
      <w:pPr>
        <w:pStyle w:val="Heading1"/>
        <w:spacing w:after="160" w:before="320"/>
      </w:pPr>
      <w:r>
        <w:rPr>
          <w:rFonts w:ascii="Times New Roman" w:cs="Times New Roman" w:eastAsia="Times New Roman" w:hAnsi="Times New Roman"/>
          <w:b/>
          <w:bCs/>
          <w:sz w:val="28"/>
          <w:szCs w:val="28"/>
        </w:rPr>
        <w:t xml:space="preserve">1. Introduction</w:t>
      </w:r>
    </w:p>
    <w:p>
      <w:pPr>
        <w:spacing w:after="160" w:line="360"/>
        <w:jc w:val="both"/>
      </w:pPr>
      <w:r>
        <w:rPr>
          <w:rFonts w:ascii="Times New Roman" w:cs="Times New Roman" w:eastAsia="Times New Roman" w:hAnsi="Times New Roman"/>
          <w:sz w:val="24"/>
          <w:szCs w:val="24"/>
        </w:rPr>
        <w:t xml:space="preserve">Automated language proficiency assessment has become increasingly important as demand for scalable, consistent, and real-time evaluation of second language (L2) learners grows. Existing systems predominantly output a single absolute CEFR score regardless of why the learner is studying English.</w:t>
      </w:r>
    </w:p>
    <w:p>
      <w:pPr>
        <w:spacing w:after="160" w:line="360"/>
        <w:jc w:val="both"/>
      </w:pPr>
      <w:r>
        <w:rPr>
          <w:rFonts w:ascii="Times New Roman" w:cs="Times New Roman" w:eastAsia="Times New Roman" w:hAnsi="Times New Roman"/>
          <w:sz w:val="24"/>
          <w:szCs w:val="24"/>
        </w:rPr>
        <w:t xml:space="preserve">However, the linguistic skills that matter most depend critically on the learner's purpose. Douglas (2000) established that LSP assessment criteria must derive from the target language use (TLU) situation — yet no automated model has operationalized this principle. AHP-based expert studies further confirm that purpose-optimal feature weights differ substantially across communicative contexts, but these produce only static hand-crafted tables without automated pipeline integration.</w:t>
      </w:r>
    </w:p>
    <w:p>
      <w:pPr>
        <w:spacing w:after="160" w:line="360"/>
        <w:jc w:val="both"/>
      </w:pPr>
      <w:r>
        <w:rPr>
          <w:rFonts w:ascii="Times New Roman" w:cs="Times New Roman" w:eastAsia="Times New Roman" w:hAnsi="Times New Roman"/>
          <w:sz w:val="24"/>
          <w:szCs w:val="24"/>
        </w:rPr>
        <w:t xml:space="preserve">We propose the Purpose-Conditioned Dual-Head (PCDH) model to bridge this gap. The learner selects their purpose explicitly, and the model dynamically generates purpose-optimal feature weights via a learnable PurposeWeightGenerator, while simultaneously producing an absolute CEFR level.</w:t>
      </w:r>
    </w:p>
    <w:p>
      <w:pPr>
        <w:pStyle w:val="Heading2"/>
        <w:spacing w:after="120" w:before="240"/>
      </w:pPr>
      <w:r>
        <w:rPr>
          <w:rFonts w:ascii="Times New Roman" w:cs="Times New Roman" w:eastAsia="Times New Roman" w:hAnsi="Times New Roman"/>
          <w:b/>
          <w:bCs/>
          <w:sz w:val="26"/>
          <w:szCs w:val="26"/>
        </w:rPr>
        <w:t xml:space="preserve">1.1 Contributions</w:t>
      </w:r>
    </w:p>
    <w:p>
      <w:pPr>
        <w:pStyle w:val="ListParagraph"/>
        <w:numPr>
          <w:ilvl w:val="0"/>
          <w:numId w:val="2"/>
        </w:numPr>
        <w:spacing w:after="100" w:line="360"/>
      </w:pPr>
      <w:r>
        <w:rPr>
          <w:rFonts w:ascii="Times New Roman" w:cs="Times New Roman" w:eastAsia="Times New Roman" w:hAnsi="Times New Roman"/>
          <w:sz w:val="24"/>
          <w:szCs w:val="24"/>
        </w:rPr>
        <w:t xml:space="preserve">First purpose-conditioned automated spoken language assessment model with explicit learner goal conditioning.</w:t>
      </w:r>
    </w:p>
    <w:p>
      <w:pPr>
        <w:pStyle w:val="ListParagraph"/>
        <w:numPr>
          <w:ilvl w:val="0"/>
          <w:numId w:val="2"/>
        </w:numPr>
        <w:spacing w:after="100" w:line="360"/>
      </w:pPr>
      <w:r>
        <w:rPr>
          <w:rFonts w:ascii="Times New Roman" w:cs="Times New Roman" w:eastAsia="Times New Roman" w:hAnsi="Times New Roman"/>
          <w:sz w:val="24"/>
          <w:szCs w:val="24"/>
        </w:rPr>
        <w:t xml:space="preserve">Learnable PurposeWeightGenerator operationalizing LSP theory and AHP-derived insights into a neural scoring mechanism.</w:t>
      </w:r>
    </w:p>
    <w:p>
      <w:pPr>
        <w:pStyle w:val="ListParagraph"/>
        <w:numPr>
          <w:ilvl w:val="0"/>
          <w:numId w:val="2"/>
        </w:numPr>
        <w:spacing w:after="100" w:line="360"/>
      </w:pPr>
      <w:r>
        <w:rPr>
          <w:rFonts w:ascii="Times New Roman" w:cs="Times New Roman" w:eastAsia="Times New Roman" w:hAnsi="Times New Roman"/>
          <w:sz w:val="24"/>
          <w:szCs w:val="24"/>
        </w:rPr>
        <w:t xml:space="preserve">Uncertainty Weighting (Kendall et al., 2018) for automatic multi-task loss balancing.</w:t>
      </w:r>
    </w:p>
    <w:p>
      <w:pPr>
        <w:pStyle w:val="ListParagraph"/>
        <w:numPr>
          <w:ilvl w:val="0"/>
          <w:numId w:val="2"/>
        </w:numPr>
        <w:spacing w:after="200" w:line="360"/>
      </w:pPr>
      <w:r>
        <w:rPr>
          <w:rFonts w:ascii="Times New Roman" w:cs="Times New Roman" w:eastAsia="Times New Roman" w:hAnsi="Times New Roman"/>
          <w:sz w:val="24"/>
          <w:szCs w:val="24"/>
        </w:rPr>
        <w:t xml:space="preserve">3-case robustness test validating generalizable pattern learning beyond proxy label memorization.</w:t>
      </w:r>
    </w:p>
    <w:p>
      <w:pPr>
        <w:spacing w:after="80"/>
      </w:pPr>
      <w:r>
        <w:t xml:space="preserve"/>
      </w:r>
    </w:p>
    <w:p>
      <w:pPr>
        <w:pStyle w:val="Heading1"/>
        <w:spacing w:after="160" w:before="320"/>
      </w:pPr>
      <w:r>
        <w:rPr>
          <w:rFonts w:ascii="Times New Roman" w:cs="Times New Roman" w:eastAsia="Times New Roman" w:hAnsi="Times New Roman"/>
          <w:b/>
          <w:bCs/>
          <w:sz w:val="28"/>
          <w:szCs w:val="28"/>
        </w:rPr>
        <w:t xml:space="preserve">2. Related Work</w:t>
      </w:r>
    </w:p>
    <w:p>
      <w:pPr>
        <w:pStyle w:val="Heading2"/>
        <w:spacing w:after="120" w:before="240"/>
      </w:pPr>
      <w:r>
        <w:rPr>
          <w:rFonts w:ascii="Times New Roman" w:cs="Times New Roman" w:eastAsia="Times New Roman" w:hAnsi="Times New Roman"/>
          <w:b/>
          <w:bCs/>
          <w:sz w:val="26"/>
          <w:szCs w:val="26"/>
        </w:rPr>
        <w:t xml:space="preserve">2.1 Automated Speaking Assessment</w:t>
      </w:r>
    </w:p>
    <w:p>
      <w:pPr>
        <w:spacing w:after="160" w:line="360"/>
        <w:jc w:val="both"/>
      </w:pPr>
      <w:r>
        <w:rPr>
          <w:rFonts w:ascii="Times New Roman" w:cs="Times New Roman" w:eastAsia="Times New Roman" w:hAnsi="Times New Roman"/>
          <w:sz w:val="24"/>
          <w:szCs w:val="24"/>
        </w:rPr>
        <w:t xml:space="preserve">Bamdev et al. (2023) showed that pronunciation accuracy alone accounts for over 90% of Random Forest feature importance under equal weighting on Speechocean762, motivating purpose-specific reweighting. Gong et al. (2022) proposed GOPT, a Transformer-based multi-aspect model. Chen et al. (2023) introduced MultiPA for multi-task pronunciation assessment.</w:t>
      </w:r>
    </w:p>
    <w:p>
      <w:pPr>
        <w:pStyle w:val="Heading2"/>
        <w:spacing w:after="120" w:before="240"/>
      </w:pPr>
      <w:r>
        <w:rPr>
          <w:rFonts w:ascii="Times New Roman" w:cs="Times New Roman" w:eastAsia="Times New Roman" w:hAnsi="Times New Roman"/>
          <w:b/>
          <w:bCs/>
          <w:sz w:val="26"/>
          <w:szCs w:val="26"/>
        </w:rPr>
        <w:t xml:space="preserve">2.2 LSP Theory and AHP-Based Weight Studies</w:t>
      </w:r>
    </w:p>
    <w:p>
      <w:pPr>
        <w:spacing w:after="160" w:line="360"/>
        <w:jc w:val="both"/>
      </w:pPr>
      <w:r>
        <w:rPr>
          <w:rFonts w:ascii="Times New Roman" w:cs="Times New Roman" w:eastAsia="Times New Roman" w:hAnsi="Times New Roman"/>
          <w:sz w:val="24"/>
          <w:szCs w:val="24"/>
        </w:rPr>
        <w:t xml:space="preserve">Douglas (2000) established the LSP assessment framework arguing that criteria must derive from the TLU situation. AHP-based studies (Saaty, 1980) quantified purpose-specific weights through expert pairwise comparisons, empirically showing that business contexts weight vocabulary completeness higher while travel contexts prioritize pronunciation. However, these produce only static weight tables without automated integration — the gap our work bridges.</w:t>
      </w:r>
    </w:p>
    <w:p>
      <w:pPr>
        <w:pStyle w:val="Heading2"/>
        <w:spacing w:after="120" w:before="240"/>
      </w:pPr>
      <w:r>
        <w:rPr>
          <w:rFonts w:ascii="Times New Roman" w:cs="Times New Roman" w:eastAsia="Times New Roman" w:hAnsi="Times New Roman"/>
          <w:b/>
          <w:bCs/>
          <w:sz w:val="26"/>
          <w:szCs w:val="26"/>
        </w:rPr>
        <w:t xml:space="preserve">2.3 Multi-Task Learning</w:t>
      </w:r>
    </w:p>
    <w:p>
      <w:pPr>
        <w:spacing w:after="160" w:line="360"/>
        <w:jc w:val="both"/>
      </w:pPr>
      <w:r>
        <w:rPr>
          <w:rFonts w:ascii="Times New Roman" w:cs="Times New Roman" w:eastAsia="Times New Roman" w:hAnsi="Times New Roman"/>
          <w:sz w:val="24"/>
          <w:szCs w:val="24"/>
        </w:rPr>
        <w:t xml:space="preserve">Kendall et al. (2018) proposed uncertainty-based loss weighting treating each task's weight as a learnable parameter, directly motivating our UncertaintyWeighting adoption.</w:t>
      </w:r>
    </w:p>
    <w:p>
      <w:pPr>
        <w:pStyle w:val="Heading2"/>
        <w:spacing w:after="120" w:before="240"/>
      </w:pPr>
      <w:r>
        <w:rPr>
          <w:rFonts w:ascii="Times New Roman" w:cs="Times New Roman" w:eastAsia="Times New Roman" w:hAnsi="Times New Roman"/>
          <w:b/>
          <w:bCs/>
          <w:sz w:val="26"/>
          <w:szCs w:val="26"/>
        </w:rPr>
        <w:t xml:space="preserve">2.4 Research Gap</w:t>
      </w:r>
    </w:p>
    <w:p>
      <w:pPr>
        <w:spacing w:after="160" w:line="360"/>
        <w:jc w:val="both"/>
      </w:pPr>
      <w:r>
        <w:rPr>
          <w:rFonts w:ascii="Times New Roman" w:cs="Times New Roman" w:eastAsia="Times New Roman" w:hAnsi="Times New Roman"/>
          <w:sz w:val="24"/>
          <w:szCs w:val="24"/>
        </w:rPr>
        <w:t xml:space="preserve">No existing automated assessment model explicitly conditions its scoring on the learner's stated purpose. Our work is the first neural implementation of LSP theory and AHP-derived purpose-specific assessment.</w:t>
      </w:r>
    </w:p>
    <w:p>
      <w:pPr>
        <w:spacing w:after="80"/>
      </w:pPr>
      <w:r>
        <w:t xml:space="preserve"/>
      </w:r>
    </w:p>
    <w:p>
      <w:pPr>
        <w:pStyle w:val="Heading1"/>
        <w:spacing w:after="160" w:before="320"/>
      </w:pPr>
      <w:r>
        <w:rPr>
          <w:rFonts w:ascii="Times New Roman" w:cs="Times New Roman" w:eastAsia="Times New Roman" w:hAnsi="Times New Roman"/>
          <w:b/>
          <w:bCs/>
          <w:sz w:val="28"/>
          <w:szCs w:val="28"/>
        </w:rPr>
        <w:t xml:space="preserve">3. Methodology</w:t>
      </w:r>
    </w:p>
    <w:p>
      <w:pPr>
        <w:pStyle w:val="Heading2"/>
        <w:spacing w:after="120" w:before="240"/>
      </w:pPr>
      <w:r>
        <w:rPr>
          <w:rFonts w:ascii="Times New Roman" w:cs="Times New Roman" w:eastAsia="Times New Roman" w:hAnsi="Times New Roman"/>
          <w:b/>
          <w:bCs/>
          <w:sz w:val="26"/>
          <w:szCs w:val="26"/>
        </w:rPr>
        <w:t xml:space="preserve">3.1 Proxy Label Construction</w:t>
      </w:r>
    </w:p>
    <w:p>
      <w:pPr>
        <w:spacing w:after="160" w:line="360"/>
        <w:jc w:val="both"/>
      </w:pPr>
      <w:r>
        <w:rPr>
          <w:rFonts w:ascii="Times New Roman" w:cs="Times New Roman" w:eastAsia="Times New Roman" w:hAnsi="Times New Roman"/>
          <w:sz w:val="24"/>
          <w:szCs w:val="24"/>
        </w:rPr>
        <w:t xml:space="preserve">Since Speechocean762 contains no purpose labels, we construct proxy goal score targets as: </w:t>
      </w:r>
      <w:r>
        <w:rPr>
          <w:rFonts w:ascii="Times New Roman" w:cs="Times New Roman" w:eastAsia="Times New Roman" w:hAnsi="Times New Roman"/>
          <w:i/>
          <w:iCs/>
          <w:sz w:val="24"/>
          <w:szCs w:val="24"/>
        </w:rPr>
        <w:t xml:space="preserve">goal_score(p) = Σ w_p(f) × score(f)</w:t>
      </w:r>
      <w:r>
        <w:rPr>
          <w:rFonts w:ascii="Times New Roman" w:cs="Times New Roman" w:eastAsia="Times New Roman" w:hAnsi="Times New Roman"/>
          <w:sz w:val="24"/>
          <w:szCs w:val="24"/>
        </w:rPr>
        <w:t xml:space="preserve">, where weights w_p derive from LSP literature and AHP studies. These are </w:t>
      </w:r>
      <w:r>
        <w:rPr>
          <w:rFonts w:ascii="Times New Roman" w:cs="Times New Roman" w:eastAsia="Times New Roman" w:hAnsi="Times New Roman"/>
          <w:b/>
          <w:bCs/>
          <w:sz w:val="24"/>
          <w:szCs w:val="24"/>
        </w:rPr>
        <w:t xml:space="preserve">proxy labels, not ground-truth human judgments</w:t>
      </w:r>
      <w:r>
        <w:rPr>
          <w:rFonts w:ascii="Times New Roman" w:cs="Times New Roman" w:eastAsia="Times New Roman" w:hAnsi="Times New Roman"/>
          <w:sz w:val="24"/>
          <w:szCs w:val="24"/>
        </w:rPr>
        <w:t xml:space="preserve"> — acknowledged explicitly in Section 6.</w:t>
      </w:r>
    </w:p>
    <w:p>
      <w:pPr>
        <w:pStyle w:val="Heading2"/>
        <w:spacing w:after="120" w:before="240"/>
      </w:pPr>
      <w:r>
        <w:rPr>
          <w:rFonts w:ascii="Times New Roman" w:cs="Times New Roman" w:eastAsia="Times New Roman" w:hAnsi="Times New Roman"/>
          <w:b/>
          <w:bCs/>
          <w:sz w:val="26"/>
          <w:szCs w:val="26"/>
        </w:rPr>
        <w:t xml:space="preserve">3.2 Purpose Weight Generator</w:t>
      </w:r>
    </w:p>
    <w:p>
      <w:pPr>
        <w:spacing w:after="160" w:line="360"/>
        <w:jc w:val="both"/>
      </w:pPr>
      <w:r>
        <w:rPr>
          <w:rFonts w:ascii="Times New Roman" w:cs="Times New Roman" w:eastAsia="Times New Roman" w:hAnsi="Times New Roman"/>
          <w:sz w:val="24"/>
          <w:szCs w:val="24"/>
        </w:rPr>
        <w:t xml:space="preserve">The core contribution is the </w:t>
      </w:r>
      <w:r>
        <w:rPr>
          <w:rFonts w:ascii="Times New Roman" w:cs="Times New Roman" w:eastAsia="Times New Roman" w:hAnsi="Times New Roman"/>
          <w:i/>
          <w:iCs/>
          <w:sz w:val="24"/>
          <w:szCs w:val="24"/>
        </w:rPr>
        <w:t xml:space="preserve">PurposeWeightGenerator</w:t>
      </w:r>
      <w:r>
        <w:rPr>
          <w:rFonts w:ascii="Times New Roman" w:cs="Times New Roman" w:eastAsia="Times New Roman" w:hAnsi="Times New Roman"/>
          <w:sz w:val="24"/>
          <w:szCs w:val="24"/>
        </w:rPr>
        <w:t xml:space="preserve">, which maps purpose p to a learned weight distribution:</w:t>
      </w:r>
    </w:p>
    <w:p>
      <w:pPr>
        <w:spacing w:after="160" w:before="160"/>
        <w:jc w:val="center"/>
      </w:pPr>
      <w:r>
        <w:rPr>
          <w:rFonts w:ascii="Times New Roman" w:cs="Times New Roman" w:eastAsia="Times New Roman" w:hAnsi="Times New Roman"/>
          <w:i/>
          <w:iCs/>
          <w:sz w:val="24"/>
          <w:szCs w:val="24"/>
        </w:rPr>
        <w:t xml:space="preserve">w = Softmax(FC(Embed(p))) ∈ R⁴,   s.t. Σwᵢ = 1</w:t>
      </w:r>
    </w:p>
    <w:p>
      <w:pPr>
        <w:spacing w:after="160" w:line="360"/>
        <w:jc w:val="both"/>
      </w:pPr>
      <w:r>
        <w:rPr>
          <w:rFonts w:ascii="Times New Roman" w:cs="Times New Roman" w:eastAsia="Times New Roman" w:hAnsi="Times New Roman"/>
          <w:sz w:val="24"/>
          <w:szCs w:val="24"/>
        </w:rPr>
        <w:t xml:space="preserve">Weights are learned from data rather than prescribed by hand, allowing the model to discover purpose-optimal feature importance empirically.</w:t>
      </w:r>
    </w:p>
    <w:p>
      <w:pPr>
        <w:pStyle w:val="Heading2"/>
        <w:spacing w:after="120" w:before="240"/>
      </w:pPr>
      <w:r>
        <w:rPr>
          <w:rFonts w:ascii="Times New Roman" w:cs="Times New Roman" w:eastAsia="Times New Roman" w:hAnsi="Times New Roman"/>
          <w:b/>
          <w:bCs/>
          <w:sz w:val="26"/>
          <w:szCs w:val="26"/>
        </w:rPr>
        <w:t xml:space="preserve">3.3 Dual-Head Architecture</w:t>
      </w:r>
    </w:p>
    <w:p>
      <w:pPr>
        <w:spacing w:after="160" w:line="360"/>
        <w:jc w:val="both"/>
      </w:pPr>
      <w:r>
        <w:rPr>
          <w:rFonts w:ascii="Times New Roman" w:cs="Times New Roman" w:eastAsia="Times New Roman" w:hAnsi="Times New Roman"/>
          <w:sz w:val="24"/>
          <w:szCs w:val="24"/>
        </w:rPr>
        <w:t xml:space="preserve">Feature Encoder (11D→64D) fuses with Purpose Embedding (16D) through a Shared Encoder (2-layer MLP + LayerNorm + Dropout). The Goal Head combines shared representation with PurposeWeightGenerator output for purpose-conditioned scoring (0–10). The CEFR Head independently predicts absolute proficiency (A1–C2) as 6-class classification.</w:t>
      </w:r>
    </w:p>
    <w:p>
      <w:pPr>
        <w:pStyle w:val="Heading2"/>
        <w:spacing w:after="120" w:before="240"/>
      </w:pPr>
      <w:r>
        <w:rPr>
          <w:rFonts w:ascii="Times New Roman" w:cs="Times New Roman" w:eastAsia="Times New Roman" w:hAnsi="Times New Roman"/>
          <w:b/>
          <w:bCs/>
          <w:sz w:val="26"/>
          <w:szCs w:val="26"/>
        </w:rPr>
        <w:t xml:space="preserve">3.4 Training Objective</w:t>
      </w:r>
    </w:p>
    <w:p>
      <w:pPr>
        <w:spacing w:after="160" w:before="160"/>
        <w:jc w:val="center"/>
      </w:pPr>
      <w:r>
        <w:rPr>
          <w:rFonts w:ascii="Times New Roman" w:cs="Times New Roman" w:eastAsia="Times New Roman" w:hAnsi="Times New Roman"/>
          <w:i/>
          <w:iCs/>
          <w:sz w:val="24"/>
          <w:szCs w:val="24"/>
        </w:rPr>
        <w:t xml:space="preserve">L = (1/2σ₁²)·L_goal + log(σ₁) + (1/2σ₂²)·L_cefr + log(σ₂)</w:t>
      </w:r>
    </w:p>
    <w:p>
      <w:pPr>
        <w:spacing w:after="160" w:line="360"/>
        <w:jc w:val="both"/>
      </w:pPr>
      <w:r>
        <w:rPr>
          <w:rFonts w:ascii="Times New Roman" w:cs="Times New Roman" w:eastAsia="Times New Roman" w:hAnsi="Times New Roman"/>
          <w:sz w:val="24"/>
          <w:szCs w:val="24"/>
        </w:rPr>
        <w:t xml:space="preserve">σ₁, σ₂ are learnable uncertainty parameters automatically balancing the two task losses (Kendall et al., 2018).</w:t>
      </w:r>
    </w:p>
    <w:p>
      <w:pPr>
        <w:spacing w:after="80"/>
      </w:pPr>
      <w:r>
        <w:t xml:space="preserve"/>
      </w:r>
    </w:p>
    <w:p>
      <w:pPr>
        <w:pStyle w:val="Heading1"/>
        <w:spacing w:after="160" w:before="320"/>
      </w:pPr>
      <w:r>
        <w:rPr>
          <w:rFonts w:ascii="Times New Roman" w:cs="Times New Roman" w:eastAsia="Times New Roman" w:hAnsi="Times New Roman"/>
          <w:b/>
          <w:bCs/>
          <w:sz w:val="28"/>
          <w:szCs w:val="28"/>
        </w:rPr>
        <w:t xml:space="preserve">4. Experimental Setup</w:t>
      </w:r>
    </w:p>
    <w:p>
      <w:pPr>
        <w:spacing w:after="160" w:line="360"/>
        <w:jc w:val="both"/>
      </w:pPr>
      <w:r>
        <w:rPr>
          <w:rFonts w:ascii="Times New Roman" w:cs="Times New Roman" w:eastAsia="Times New Roman" w:hAnsi="Times New Roman"/>
          <w:sz w:val="24"/>
          <w:szCs w:val="24"/>
        </w:rPr>
        <w:t xml:space="preserve">Dataset: Speechocean762 — 5,000 utterances, 250 non-native Mandarin speakers, 5 expert raters. Standard 2,500/2,500 train/test split. Each sample expanded to 3 purpose copies → 7,500 training samples (33.3% per purpose).</w:t>
      </w:r>
    </w:p>
    <w:p>
      <w:pPr>
        <w:spacing w:after="160" w:line="360"/>
        <w:jc w:val="both"/>
      </w:pPr>
      <w:r>
        <w:rPr>
          <w:rFonts w:ascii="Times New Roman" w:cs="Times New Roman" w:eastAsia="Times New Roman" w:hAnsi="Times New Roman"/>
          <w:sz w:val="24"/>
          <w:szCs w:val="24"/>
        </w:rPr>
        <w:t xml:space="preserve">Baselines: Ridge Regression, Lasso, SVR, Random Forest, GradientBoosting, XGBoost, Single-Head MLP. Ablation variants: (A) Fixed loss weights 0.6/0.4; (B) Hand-crafted fixed purpose weights; (A+B) Both fixed.</w:t>
      </w:r>
    </w:p>
    <w:p>
      <w:pPr>
        <w:spacing w:after="160" w:line="360"/>
        <w:jc w:val="both"/>
      </w:pPr>
      <w:r>
        <w:rPr>
          <w:rFonts w:ascii="Times New Roman" w:cs="Times New Roman" w:eastAsia="Times New Roman" w:hAnsi="Times New Roman"/>
          <w:sz w:val="24"/>
          <w:szCs w:val="24"/>
        </w:rPr>
        <w:t xml:space="preserve">Evaluation: CEFR exact accuracy and ±1 accuracy (primary); Goal RMSE, PCC, MAE (secondary — note: RMSE partly reflects proxy label construction). Seed 42, 60 epochs, AdamW + CosineAnnealingLR, RTX 4060 Ti.</w:t>
      </w:r>
    </w:p>
    <w:p>
      <w:pPr>
        <w:spacing w:after="80"/>
      </w:pPr>
      <w:r>
        <w:t xml:space="preserve"/>
      </w:r>
    </w:p>
    <w:p>
      <w:pPr>
        <w:pStyle w:val="Heading1"/>
        <w:spacing w:after="160" w:before="320"/>
      </w:pPr>
      <w:r>
        <w:rPr>
          <w:rFonts w:ascii="Times New Roman" w:cs="Times New Roman" w:eastAsia="Times New Roman" w:hAnsi="Times New Roman"/>
          <w:b/>
          <w:bCs/>
          <w:sz w:val="28"/>
          <w:szCs w:val="28"/>
        </w:rPr>
        <w:t xml:space="preserve">5. Results and Discussion</w:t>
      </w:r>
    </w:p>
    <w:p>
      <w:pPr>
        <w:pStyle w:val="Heading2"/>
        <w:spacing w:after="120" w:before="240"/>
      </w:pPr>
      <w:r>
        <w:rPr>
          <w:rFonts w:ascii="Times New Roman" w:cs="Times New Roman" w:eastAsia="Times New Roman" w:hAnsi="Times New Roman"/>
          <w:b/>
          <w:bCs/>
          <w:sz w:val="26"/>
          <w:szCs w:val="26"/>
        </w:rPr>
        <w:t xml:space="preserve">5.1 Main Results</w:t>
      </w:r>
    </w:p>
    <w:p>
      <w:pPr>
        <w:spacing w:after="160" w:line="360"/>
        <w:jc w:val="both"/>
      </w:pPr>
      <w:r>
        <w:rPr>
          <w:rFonts w:ascii="Times New Roman" w:cs="Times New Roman" w:eastAsia="Times New Roman" w:hAnsi="Times New Roman"/>
          <w:sz w:val="24"/>
          <w:szCs w:val="24"/>
        </w:rPr>
        <w:t xml:space="preserve">Table 1 presents main results. Our full PCDH model achieves </w:t>
      </w:r>
      <w:r>
        <w:rPr>
          <w:rFonts w:ascii="Times New Roman" w:cs="Times New Roman" w:eastAsia="Times New Roman" w:hAnsi="Times New Roman"/>
          <w:b/>
          <w:bCs/>
          <w:sz w:val="24"/>
          <w:szCs w:val="24"/>
        </w:rPr>
        <w:t xml:space="preserve">CEFR exact accuracy of 88.4% with 100% ±1 accuracy</w:t>
      </w:r>
      <w:r>
        <w:rPr>
          <w:rFonts w:ascii="Times New Roman" w:cs="Times New Roman" w:eastAsia="Times New Roman" w:hAnsi="Times New Roman"/>
          <w:sz w:val="24"/>
          <w:szCs w:val="24"/>
        </w:rPr>
        <w:t xml:space="preserve"> — never misclassifying by more than one CEFR band. RMSE improves from 0.4036 (Ridge) and 0.4335 (XGBoost) to 0.0974, a 4× reduction. </w:t>
      </w:r>
      <w:r>
        <w:rPr>
          <w:rFonts w:ascii="Times New Roman" w:cs="Times New Roman" w:eastAsia="Times New Roman" w:hAnsi="Times New Roman"/>
          <w:b/>
          <w:bCs/>
          <w:sz w:val="24"/>
          <w:szCs w:val="24"/>
        </w:rPr>
        <w:t xml:space="preserve">The low RMSE partly reflects alignment with the proxy label construction</w:t>
      </w:r>
      <w:r>
        <w:rPr>
          <w:rFonts w:ascii="Times New Roman" w:cs="Times New Roman" w:eastAsia="Times New Roman" w:hAnsi="Times New Roman"/>
          <w:sz w:val="24"/>
          <w:szCs w:val="24"/>
        </w:rPr>
        <w:t xml:space="preserve"> (see Section 6); CEFR accuracy is therefore the primary performance indicator.</w:t>
      </w:r>
    </w:p>
    <w:p>
      <w:pPr>
        <w:spacing w:after="80"/>
      </w:pPr>
      <w:r>
        <w:t xml:space="preserve"/>
      </w:r>
    </w:p>
    <w:p>
      <w:pPr>
        <w:spacing w:after="120"/>
        <w:jc w:val="center"/>
      </w:pPr>
      <w:r>
        <w:rPr>
          <w:rFonts w:ascii="Times New Roman" w:cs="Times New Roman" w:eastAsia="Times New Roman" w:hAnsi="Times New Roman"/>
          <w:b/>
          <w:bCs/>
          <w:sz w:val="22"/>
          <w:szCs w:val="22"/>
        </w:rPr>
        <w:t xml:space="preserve">Table 1. Main Results on Speechocean762 Test Set</w:t>
      </w:r>
    </w:p>
    <w:tbl>
      <w:tblPr>
        <w:tblW w:type="dxa" w:w="875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100"/>
        <w:gridCol w:w="1350"/>
        <w:gridCol w:w="1300"/>
      </w:tblGrid>
      <w:tr>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PCC ↑</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RMSE ↓</w:t>
            </w:r>
          </w:p>
        </w:tc>
        <w:tc>
          <w:tcPr>
            <w:tcW w:type="dxa" w:w="11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MAE ↓</w:t>
            </w:r>
          </w:p>
        </w:tc>
        <w:tc>
          <w:tcPr>
            <w:tcW w:type="dxa" w:w="135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CEFR Acc ↑</w:t>
            </w:r>
          </w:p>
        </w:tc>
        <w:tc>
          <w:tcPr>
            <w:tcW w:type="dxa" w:w="13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CEFR ±1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Ridge Regression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0.9655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0.4036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0.3514</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Lasso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0.9629</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0.4349</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0.3733</w:t>
            </w:r>
          </w:p>
        </w:tc>
        <w:tc>
          <w:tcPr>
            <w:tcW w:type="dxa" w:w="13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N/A</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SVR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0.9466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0.5013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0.3032</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Random Forest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0.9602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0.4326</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0.2650</w:t>
            </w:r>
          </w:p>
        </w:tc>
        <w:tc>
          <w:tcPr>
            <w:tcW w:type="dxa" w:w="13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N/A</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GradientBoosting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0.9652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0.4061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0.2948</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XGBoost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0.9602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0.4335</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0.2858</w:t>
            </w:r>
          </w:p>
        </w:tc>
        <w:tc>
          <w:tcPr>
            <w:tcW w:type="dxa" w:w="13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N/A</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Single-Head MLP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0.9627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0.4220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0.2996</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Ablation A (Fixed LW)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0.9980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0.0761</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0.0399</w:t>
            </w:r>
          </w:p>
        </w:tc>
        <w:tc>
          <w:tcPr>
            <w:tcW w:type="dxa" w:w="13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0.885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Ablation B (Fixed PW)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0.1523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0.1118</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0.887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1.000</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Ablation A+B</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0.9968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0.1314</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0.0904</w:t>
            </w:r>
          </w:p>
        </w:tc>
        <w:tc>
          <w:tcPr>
            <w:tcW w:type="dxa" w:w="13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0.887</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Ours: Full PCDH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0.9968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0.0974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0.0479</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0.884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1.000</w:t>
            </w:r>
          </w:p>
        </w:tc>
      </w:tr>
    </w:tbl>
    <w:p>
      <w:pPr>
        <w:spacing w:after="80"/>
      </w:pPr>
      <w:r>
        <w:t xml:space="preserve"/>
      </w:r>
    </w:p>
    <w:p>
      <w:pPr>
        <w:pStyle w:val="Heading2"/>
        <w:spacing w:after="120" w:before="240"/>
      </w:pPr>
      <w:r>
        <w:rPr>
          <w:rFonts w:ascii="Times New Roman" w:cs="Times New Roman" w:eastAsia="Times New Roman" w:hAnsi="Times New Roman"/>
          <w:b/>
          <w:bCs/>
          <w:sz w:val="26"/>
          <w:szCs w:val="26"/>
        </w:rPr>
        <w:t xml:space="preserve">5.2 Ablation Study</w:t>
      </w:r>
    </w:p>
    <w:p>
      <w:pPr>
        <w:spacing w:after="160" w:line="360"/>
        <w:jc w:val="both"/>
      </w:pPr>
      <w:r>
        <w:rPr>
          <w:rFonts w:ascii="Times New Roman" w:cs="Times New Roman" w:eastAsia="Times New Roman" w:hAnsi="Times New Roman"/>
          <w:sz w:val="24"/>
          <w:szCs w:val="24"/>
        </w:rPr>
        <w:t xml:space="preserve">Figure 2 compares RMSE across all baselines and ablation variants. Removing the PurposeWeightGenerator (Ablation B) increases RMSE from 0.097 to 0.152. Removing UncertaintyWeighting (Ablation A) yields lower RMSE (0.076) but optimizes only the goal head at the expense of multi-task balance. CEFR accuracy remains stable across ablations (0.884–0.887), confirming the CEFR head learns robust representations independently.</w:t>
      </w:r>
    </w:p>
    <w:p>
      <w:pPr>
        <w:spacing w:after="80"/>
      </w:pPr>
      <w:r>
        <w:t xml:space="preserve"/>
      </w:r>
    </w:p>
    <w:p>
      <w:pPr>
        <w:spacing w:after="80" w:before="120"/>
        <w:jc w:val="center"/>
      </w:pPr>
      <w:r>
        <w:drawing>
          <wp:inline distT="0" distB="0" distL="0" distR="0">
            <wp:extent cx="914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0" cy="26670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2. RMSE comparison across all baselines and ablation variants. Note: RMSE partly reflects proxy label construction.</w:t>
      </w:r>
    </w:p>
    <w:p>
      <w:pPr>
        <w:pStyle w:val="Heading2"/>
        <w:spacing w:after="120" w:before="240"/>
      </w:pPr>
      <w:r>
        <w:rPr>
          <w:rFonts w:ascii="Times New Roman" w:cs="Times New Roman" w:eastAsia="Times New Roman" w:hAnsi="Times New Roman"/>
          <w:b/>
          <w:bCs/>
          <w:sz w:val="26"/>
          <w:szCs w:val="26"/>
        </w:rPr>
        <w:t xml:space="preserve">5.3 Weight Convergence Trajectory</w:t>
      </w:r>
    </w:p>
    <w:p>
      <w:pPr>
        <w:spacing w:after="160" w:line="360"/>
        <w:jc w:val="both"/>
      </w:pPr>
      <w:r>
        <w:rPr>
          <w:rFonts w:ascii="Times New Roman" w:cs="Times New Roman" w:eastAsia="Times New Roman" w:hAnsi="Times New Roman"/>
          <w:sz w:val="24"/>
          <w:szCs w:val="24"/>
        </w:rPr>
        <w:t xml:space="preserve">Figure 1 shows PurposeWeightGenerator weights evolving over 60 epochs (dots=epoch 1; stars=epoch 60; dashed=literature presets). Travel purpose converges toward accuracy (0.46) and fluency (0.33); academic purpose assigns highest weight to prosodic (0.40), consistent with LSP theory.</w:t>
      </w:r>
    </w:p>
    <w:p>
      <w:pPr>
        <w:spacing w:after="80"/>
      </w:pPr>
      <w:r>
        <w:t xml:space="preserve"/>
      </w:r>
    </w:p>
    <w:p>
      <w:pPr>
        <w:spacing w:after="80" w:before="120"/>
        <w:jc w:val="center"/>
      </w:pPr>
      <w:r>
        <w:drawing>
          <wp:inline distT="0" distB="0" distL="0" distR="0">
            <wp:extent cx="86296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629650" cy="267652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1. Weight convergence trajectory over 60 epochs. Dashed lines = literature-based preset values.</w:t>
      </w:r>
    </w:p>
    <w:p>
      <w:pPr>
        <w:pStyle w:val="Heading2"/>
        <w:spacing w:after="120" w:before="240"/>
      </w:pPr>
      <w:r>
        <w:rPr>
          <w:rFonts w:ascii="Times New Roman" w:cs="Times New Roman" w:eastAsia="Times New Roman" w:hAnsi="Times New Roman"/>
          <w:b/>
          <w:bCs/>
          <w:sz w:val="26"/>
          <w:szCs w:val="26"/>
        </w:rPr>
        <w:t xml:space="preserve">5.4 Learned vs. Preset Weights</w:t>
      </w:r>
    </w:p>
    <w:p>
      <w:pPr>
        <w:spacing w:after="160" w:line="360"/>
        <w:jc w:val="both"/>
      </w:pPr>
      <w:r>
        <w:rPr>
          <w:rFonts w:ascii="Times New Roman" w:cs="Times New Roman" w:eastAsia="Times New Roman" w:hAnsi="Times New Roman"/>
          <w:sz w:val="24"/>
          <w:szCs w:val="24"/>
        </w:rPr>
        <w:t xml:space="preserve">Figure 4 compares learned (left) and literature-preset (right) weights. Travel and academic show strong alignment. Business completeness weight is lower than preset (0.058 vs. 0.40) due to Speechocean762 completeness bias (mean=9.98/10).</w:t>
      </w:r>
    </w:p>
    <w:p>
      <w:pPr>
        <w:spacing w:after="80"/>
      </w:pPr>
      <w:r>
        <w:t xml:space="preserve"/>
      </w:r>
    </w:p>
    <w:p>
      <w:pPr>
        <w:spacing w:after="80" w:before="120"/>
        <w:jc w:val="center"/>
      </w:pPr>
      <w:r>
        <w:drawing>
          <wp:inline distT="0" distB="0" distL="0" distR="0">
            <wp:extent cx="8181975"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181975" cy="260032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4. Learned vs. Literature-Based Purpose Weights (left: model-learned; right: AHP-derived presets).</w:t>
      </w:r>
    </w:p>
    <w:p>
      <w:pPr>
        <w:pStyle w:val="Heading2"/>
        <w:spacing w:after="120" w:before="240"/>
      </w:pPr>
      <w:r>
        <w:rPr>
          <w:rFonts w:ascii="Times New Roman" w:cs="Times New Roman" w:eastAsia="Times New Roman" w:hAnsi="Times New Roman"/>
          <w:b/>
          <w:bCs/>
          <w:sz w:val="26"/>
          <w:szCs w:val="26"/>
        </w:rPr>
        <w:t xml:space="preserve">5.5 CEFR Classification</w:t>
      </w:r>
    </w:p>
    <w:p>
      <w:pPr>
        <w:spacing w:after="160" w:line="360"/>
        <w:jc w:val="both"/>
      </w:pPr>
      <w:r>
        <w:rPr>
          <w:rFonts w:ascii="Times New Roman" w:cs="Times New Roman" w:eastAsia="Times New Roman" w:hAnsi="Times New Roman"/>
          <w:sz w:val="24"/>
          <w:szCs w:val="24"/>
        </w:rPr>
        <w:t xml:space="preserve">Figure 3 shows the CEFR confusion matrix. The model never misclassifies by more than one level (100% ±1 accuracy). C1 class dominance (55.2% of samples) limits finer discrimination at lower CEFR levels.</w:t>
      </w:r>
    </w:p>
    <w:p>
      <w:pPr>
        <w:spacing w:after="80"/>
      </w:pPr>
      <w:r>
        <w:t xml:space="preserve"/>
      </w:r>
    </w:p>
    <w:p>
      <w:pPr>
        <w:spacing w:after="80" w:before="120"/>
        <w:jc w:val="center"/>
      </w:pPr>
      <w:r>
        <w:drawing>
          <wp:inline distT="0" distB="0" distL="0" distR="0">
            <wp:extent cx="8086725"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086725" cy="355282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3. CEFR Confusion Matrix. Exact Acc=88.4%, ±1 Acc=100%.</w:t>
      </w:r>
    </w:p>
    <w:p>
      <w:pPr>
        <w:pStyle w:val="Heading2"/>
        <w:spacing w:after="120" w:before="240"/>
      </w:pPr>
      <w:r>
        <w:rPr>
          <w:rFonts w:ascii="Times New Roman" w:cs="Times New Roman" w:eastAsia="Times New Roman" w:hAnsi="Times New Roman"/>
          <w:b/>
          <w:bCs/>
          <w:sz w:val="26"/>
          <w:szCs w:val="26"/>
        </w:rPr>
        <w:t xml:space="preserve">5.6 Robustness Test</w:t>
      </w:r>
    </w:p>
    <w:p>
      <w:pPr>
        <w:spacing w:after="160" w:line="360"/>
        <w:jc w:val="both"/>
      </w:pPr>
      <w:r>
        <w:rPr>
          <w:rFonts w:ascii="Times New Roman" w:cs="Times New Roman" w:eastAsia="Times New Roman" w:hAnsi="Times New Roman"/>
          <w:sz w:val="24"/>
          <w:szCs w:val="24"/>
        </w:rPr>
        <w:t xml:space="preserve">To examine whether performance reflects proxy label memorization, we evaluated the model under three levels of academic weight shift (training weights fixed at [0.20, 0.30, 0.20, 0.30]). Figure 5 shows results: </w:t>
      </w:r>
      <w:r>
        <w:rPr>
          <w:rFonts w:ascii="Times New Roman" w:cs="Times New Roman" w:eastAsia="Times New Roman" w:hAnsi="Times New Roman"/>
          <w:b/>
          <w:bCs/>
          <w:sz w:val="24"/>
          <w:szCs w:val="24"/>
        </w:rPr>
        <w:t xml:space="preserve">Case 1 (±0.05): ΔPCC = −0.006 (Robust)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Case 2 (reversed priority): ΔPCC = +0.002 (Robust)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Case 3 (extreme, completeness ×5): ΔPCC = −0.032 (Partial)</w:t>
      </w:r>
      <w:r>
        <w:rPr>
          <w:rFonts w:ascii="Times New Roman" w:cs="Times New Roman" w:eastAsia="Times New Roman" w:hAnsi="Times New Roman"/>
          <w:sz w:val="24"/>
          <w:szCs w:val="24"/>
        </w:rPr>
        <w:t xml:space="preserve">. Even under extreme reallocation, PCC remains above 0.96. Small-to-moderate shifts (Cases 1–2) are fully absorbed, suggesting the model learns patterns generalizable beyond the specific training formula.</w:t>
      </w:r>
    </w:p>
    <w:p>
      <w:pPr>
        <w:spacing w:after="80"/>
      </w:pPr>
      <w:r>
        <w:t xml:space="preserve"/>
      </w:r>
    </w:p>
    <w:p>
      <w:pPr>
        <w:spacing w:after="80" w:before="120"/>
        <w:jc w:val="center"/>
      </w:pPr>
      <w:r>
        <w:drawing>
          <wp:inline distT="0" distB="0" distL="0" distR="0">
            <wp:extent cx="782002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820025" cy="32575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Figure 5. Robustness Test: Academic PCC and RMSE under 3 levels of weight shift. Training weights fixed.</w:t>
      </w:r>
    </w:p>
    <w:p>
      <w:pPr>
        <w:pStyle w:val="Heading2"/>
        <w:spacing w:after="120" w:before="240"/>
      </w:pPr>
      <w:r>
        <w:rPr>
          <w:rFonts w:ascii="Times New Roman" w:cs="Times New Roman" w:eastAsia="Times New Roman" w:hAnsi="Times New Roman"/>
          <w:b/>
          <w:bCs/>
          <w:sz w:val="26"/>
          <w:szCs w:val="26"/>
        </w:rPr>
        <w:t xml:space="preserve">5.7 Qualitative Analysis</w:t>
      </w:r>
    </w:p>
    <w:p>
      <w:pPr>
        <w:spacing w:after="160" w:line="360"/>
        <w:jc w:val="both"/>
      </w:pPr>
      <w:r>
        <w:rPr>
          <w:rFonts w:ascii="Times New Roman" w:cs="Times New Roman" w:eastAsia="Times New Roman" w:hAnsi="Times New Roman"/>
          <w:sz w:val="24"/>
          <w:szCs w:val="24"/>
        </w:rPr>
        <w:t xml:space="preserve">Table 2 shows purpose score divergence. A pronunciation-strong learner (accuracy=9.0, completeness=6.0) receives travel=8.32 vs. business=6.74 (gap=1.58). A vocabulary-strong learner shows the inverse. Maximum within-learner purpose gap reaches 1.67 points — meaningful diagnostic information obscured by a single absolute score.</w:t>
      </w:r>
    </w:p>
    <w:p>
      <w:pPr>
        <w:spacing w:after="80"/>
      </w:pPr>
      <w:r>
        <w:t xml:space="preserve"/>
      </w:r>
    </w:p>
    <w:p>
      <w:pPr>
        <w:spacing w:after="120"/>
        <w:jc w:val="center"/>
      </w:pPr>
      <w:r>
        <w:rPr>
          <w:rFonts w:ascii="Times New Roman" w:cs="Times New Roman" w:eastAsia="Times New Roman" w:hAnsi="Times New Roman"/>
          <w:b/>
          <w:bCs/>
          <w:sz w:val="22"/>
          <w:szCs w:val="22"/>
        </w:rPr>
        <w:t xml:space="preserve">Table 2. Qualitative Analysis: Purpose Score Divergence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1400"/>
        <w:gridCol w:w="900"/>
      </w:tblGrid>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Learner Profile</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Travel</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Business</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Academic</w:t>
            </w:r>
          </w:p>
        </w:tc>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Max Gap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Pronunciation-strong (acc=9.0, comp=6.0)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8.32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6.74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7.27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1.58</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Vocabulary-strong (acc=6.0, comp=9.5)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6.79</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7.47</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7.39</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0.68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Balanced (all=7.5)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7.69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7.06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7.49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0.63</w:t>
            </w:r>
          </w:p>
        </w:tc>
      </w:tr>
    </w:tbl>
    <w:p>
      <w:pPr>
        <w:spacing w:after="80"/>
      </w:pPr>
      <w:r>
        <w:t xml:space="preserve"/>
      </w:r>
    </w:p>
    <w:p>
      <w:pPr>
        <w:spacing w:after="80"/>
      </w:pPr>
      <w:r>
        <w:t xml:space="preserve"/>
      </w:r>
    </w:p>
    <w:p>
      <w:pPr>
        <w:pStyle w:val="Heading1"/>
        <w:spacing w:after="160" w:before="320"/>
      </w:pPr>
      <w:r>
        <w:rPr>
          <w:rFonts w:ascii="Times New Roman" w:cs="Times New Roman" w:eastAsia="Times New Roman" w:hAnsi="Times New Roman"/>
          <w:b/>
          <w:bCs/>
          <w:sz w:val="28"/>
          <w:szCs w:val="28"/>
        </w:rPr>
        <w:t xml:space="preserve">6. Limitations and Future Work</w:t>
      </w:r>
    </w:p>
    <w:p>
      <w:pPr>
        <w:spacing w:after="160" w:line="360"/>
        <w:jc w:val="both"/>
      </w:pPr>
      <w:r>
        <w:rPr>
          <w:rFonts w:ascii="Times New Roman" w:cs="Times New Roman" w:eastAsia="Times New Roman" w:hAnsi="Times New Roman"/>
          <w:sz w:val="24"/>
          <w:szCs w:val="24"/>
        </w:rPr>
        <w:t xml:space="preserve">First, goal_score targets are </w:t>
      </w:r>
      <w:r>
        <w:rPr>
          <w:rFonts w:ascii="Times New Roman" w:cs="Times New Roman" w:eastAsia="Times New Roman" w:hAnsi="Times New Roman"/>
          <w:b/>
          <w:bCs/>
          <w:sz w:val="24"/>
          <w:szCs w:val="24"/>
        </w:rPr>
        <w:t xml:space="preserve">theory-based proxy labels</w:t>
      </w:r>
      <w:r>
        <w:rPr>
          <w:rFonts w:ascii="Times New Roman" w:cs="Times New Roman" w:eastAsia="Times New Roman" w:hAnsi="Times New Roman"/>
          <w:sz w:val="24"/>
          <w:szCs w:val="24"/>
        </w:rPr>
        <w:t xml:space="preserve"> constructed from linear combinations of input features, not human-judged scores. </w:t>
      </w:r>
      <w:r>
        <w:rPr>
          <w:rFonts w:ascii="Times New Roman" w:cs="Times New Roman" w:eastAsia="Times New Roman" w:hAnsi="Times New Roman"/>
          <w:b/>
          <w:bCs/>
          <w:sz w:val="24"/>
          <w:szCs w:val="24"/>
        </w:rPr>
        <w:t xml:space="preserve">The low RMSE partly reflects alignment with the proxy label construction</w:t>
      </w:r>
      <w:r>
        <w:rPr>
          <w:rFonts w:ascii="Times New Roman" w:cs="Times New Roman" w:eastAsia="Times New Roman" w:hAnsi="Times New Roman"/>
          <w:sz w:val="24"/>
          <w:szCs w:val="24"/>
        </w:rPr>
        <w:t xml:space="preserve"> — even Ridge Regression achieves PCC=0.9655, confirming the task is tractable by design. Future work should validate purpose weights through expert annotation or learner self-report studies.</w:t>
      </w:r>
    </w:p>
    <w:p>
      <w:pPr>
        <w:spacing w:after="160" w:line="360"/>
        <w:jc w:val="both"/>
      </w:pPr>
      <w:r>
        <w:rPr>
          <w:rFonts w:ascii="Times New Roman" w:cs="Times New Roman" w:eastAsia="Times New Roman" w:hAnsi="Times New Roman"/>
          <w:sz w:val="24"/>
          <w:szCs w:val="24"/>
        </w:rPr>
        <w:t xml:space="preserve">Second, Speechocean762 contains exclusively Mandarin-speaking learners, limiting cross-lingual generalizability. Third, completeness feature bias (mean=9.98/10) reduces discriminative business-purpose weight learning.</w:t>
      </w:r>
    </w:p>
    <w:p>
      <w:pPr>
        <w:spacing w:after="160" w:line="360"/>
        <w:jc w:val="both"/>
      </w:pPr>
      <w:r>
        <w:rPr>
          <w:rFonts w:ascii="Times New Roman" w:cs="Times New Roman" w:eastAsia="Times New Roman" w:hAnsi="Times New Roman"/>
          <w:sz w:val="24"/>
          <w:szCs w:val="24"/>
        </w:rPr>
        <w:t xml:space="preserve">Fourth, the current model uses expert-annotated features. A follow-up paper will address: (1) end-to-end raw audio input via wav2vec 2.0, eliminating the proxy label problem; (2) Contrastive Learning for purpose-conditioned representation without explicit targets; (3) user study evaluation of purpose-conditioned feedback on learner motivation and outcomes.</w:t>
      </w:r>
    </w:p>
    <w:p>
      <w:pPr>
        <w:spacing w:after="80"/>
      </w:pPr>
      <w:r>
        <w:t xml:space="preserve"/>
      </w:r>
    </w:p>
    <w:p>
      <w:pPr>
        <w:pStyle w:val="Heading1"/>
        <w:spacing w:after="160" w:before="320"/>
      </w:pPr>
      <w:r>
        <w:rPr>
          <w:rFonts w:ascii="Times New Roman" w:cs="Times New Roman" w:eastAsia="Times New Roman" w:hAnsi="Times New Roman"/>
          <w:b/>
          <w:bCs/>
          <w:sz w:val="28"/>
          <w:szCs w:val="28"/>
        </w:rPr>
        <w:t xml:space="preserve">7. Conclusion</w:t>
      </w:r>
    </w:p>
    <w:p>
      <w:pPr>
        <w:spacing w:after="160" w:line="360"/>
        <w:jc w:val="both"/>
      </w:pPr>
      <w:r>
        <w:rPr>
          <w:rFonts w:ascii="Times New Roman" w:cs="Times New Roman" w:eastAsia="Times New Roman" w:hAnsi="Times New Roman"/>
          <w:sz w:val="24"/>
          <w:szCs w:val="24"/>
        </w:rPr>
        <w:t xml:space="preserve">We presented PCDH, the first purpose-conditioned dual-head model for automated English language proficiency assessment. The learnable PurposeWeightGenerator discovers patterns consistent with LSP theory, and a 3-case robustness test confirms generalizable learning beyond proxy label memorization. Experiments on Speechocean762 show 4× RMSE improvement over Ridge and XGBoost, with CEFR accuracy of 88.4% and 100% ±1 accuracy.</w:t>
      </w:r>
    </w:p>
    <w:p>
      <w:pPr>
        <w:spacing w:after="160" w:line="360"/>
        <w:jc w:val="both"/>
      </w:pPr>
      <w:r>
        <w:rPr>
          <w:rFonts w:ascii="Times New Roman" w:cs="Times New Roman" w:eastAsia="Times New Roman" w:hAnsi="Times New Roman"/>
          <w:sz w:val="24"/>
          <w:szCs w:val="24"/>
        </w:rPr>
        <w:t xml:space="preserve">Code: https://github.com/jangy3079-oss/goal-aware-proficiency</w:t>
      </w:r>
    </w:p>
    <w:p>
      <w:pPr>
        <w:spacing w:after="80"/>
      </w:pPr>
      <w:r>
        <w:t xml:space="preserve"/>
      </w:r>
    </w:p>
    <w:p>
      <w:pPr>
        <w:pStyle w:val="Heading1"/>
        <w:spacing w:after="160" w:before="320"/>
      </w:pPr>
      <w:r>
        <w:rPr>
          <w:rFonts w:ascii="Times New Roman" w:cs="Times New Roman" w:eastAsia="Times New Roman" w:hAnsi="Times New Roman"/>
          <w:b/>
          <w:bCs/>
          <w:sz w:val="28"/>
          <w:szCs w:val="28"/>
        </w:rPr>
        <w:t xml:space="preserve">References</w:t>
      </w:r>
    </w:p>
    <w:p>
      <w:pPr>
        <w:spacing w:after="160" w:line="360"/>
        <w:jc w:val="both"/>
      </w:pPr>
      <w:r>
        <w:rPr>
          <w:rFonts w:ascii="Times New Roman" w:cs="Times New Roman" w:eastAsia="Times New Roman" w:hAnsi="Times New Roman"/>
          <w:sz w:val="24"/>
          <w:szCs w:val="24"/>
        </w:rPr>
        <w:t xml:space="preserve">Bamdev, P., et al. (2023). Automated speech scoring system under the lens. IJAIED, 33(1), 119–154.</w:t>
      </w:r>
    </w:p>
    <w:p>
      <w:pPr>
        <w:spacing w:after="160" w:line="360"/>
        <w:jc w:val="both"/>
      </w:pPr>
      <w:r>
        <w:rPr>
          <w:rFonts w:ascii="Times New Roman" w:cs="Times New Roman" w:eastAsia="Times New Roman" w:hAnsi="Times New Roman"/>
          <w:sz w:val="24"/>
          <w:szCs w:val="24"/>
        </w:rPr>
        <w:t xml:space="preserve">Chen, Y. W., Yu, Z., &amp; Hirschberg, J. (2023). MultiPA: A multi-task speech pronunciation assessment system. arXiv:2308.12490.</w:t>
      </w:r>
    </w:p>
    <w:p>
      <w:pPr>
        <w:spacing w:after="160" w:line="360"/>
        <w:jc w:val="both"/>
      </w:pPr>
      <w:r>
        <w:rPr>
          <w:rFonts w:ascii="Times New Roman" w:cs="Times New Roman" w:eastAsia="Times New Roman" w:hAnsi="Times New Roman"/>
          <w:sz w:val="24"/>
          <w:szCs w:val="24"/>
        </w:rPr>
        <w:t xml:space="preserve">Douglas, D. (2000). Assessing languages for specific purposes. Cambridge University Press.</w:t>
      </w:r>
    </w:p>
    <w:p>
      <w:pPr>
        <w:spacing w:after="160" w:line="360"/>
        <w:jc w:val="both"/>
      </w:pPr>
      <w:r>
        <w:rPr>
          <w:rFonts w:ascii="Times New Roman" w:cs="Times New Roman" w:eastAsia="Times New Roman" w:hAnsi="Times New Roman"/>
          <w:sz w:val="24"/>
          <w:szCs w:val="24"/>
        </w:rPr>
        <w:t xml:space="preserve">Gong, Y., et al. (2022). Transformer-based multi-aspect multi-granularity pronunciation assessment. ICASSP 2022, 7262–7266.</w:t>
      </w:r>
    </w:p>
    <w:p>
      <w:pPr>
        <w:spacing w:after="160" w:line="360"/>
        <w:jc w:val="both"/>
      </w:pPr>
      <w:r>
        <w:rPr>
          <w:rFonts w:ascii="Times New Roman" w:cs="Times New Roman" w:eastAsia="Times New Roman" w:hAnsi="Times New Roman"/>
          <w:sz w:val="24"/>
          <w:szCs w:val="24"/>
        </w:rPr>
        <w:t xml:space="preserve">Kendall, A., Gal, Y., &amp; Cipolla, R. (2018). Multi-task learning using uncertainty to weigh losses. CVPR 2018.</w:t>
      </w:r>
    </w:p>
    <w:p>
      <w:pPr>
        <w:spacing w:after="160" w:line="360"/>
        <w:jc w:val="both"/>
      </w:pPr>
      <w:r>
        <w:rPr>
          <w:rFonts w:ascii="Times New Roman" w:cs="Times New Roman" w:eastAsia="Times New Roman" w:hAnsi="Times New Roman"/>
          <w:sz w:val="24"/>
          <w:szCs w:val="24"/>
        </w:rPr>
        <w:t xml:space="preserve">Kim, E., et al. (2022). Automatic pronunciation assessment using self-supervised speech representation learning. Interspeech 2022.</w:t>
      </w:r>
    </w:p>
    <w:p>
      <w:pPr>
        <w:spacing w:after="160" w:line="360"/>
        <w:jc w:val="both"/>
      </w:pPr>
      <w:r>
        <w:rPr>
          <w:rFonts w:ascii="Times New Roman" w:cs="Times New Roman" w:eastAsia="Times New Roman" w:hAnsi="Times New Roman"/>
          <w:sz w:val="24"/>
          <w:szCs w:val="24"/>
        </w:rPr>
        <w:t xml:space="preserve">Saaty, T. L. (1980). The analytic hierarchy process. McGraw-Hill.</w:t>
      </w:r>
    </w:p>
    <w:p>
      <w:pPr>
        <w:spacing w:after="160" w:line="360"/>
        <w:jc w:val="both"/>
      </w:pPr>
      <w:r>
        <w:rPr>
          <w:rFonts w:ascii="Times New Roman" w:cs="Times New Roman" w:eastAsia="Times New Roman" w:hAnsi="Times New Roman"/>
          <w:sz w:val="24"/>
          <w:szCs w:val="24"/>
        </w:rPr>
        <w:t xml:space="preserve">Zhang, J., et al. (2021). speechocean762: An open-source non-native English speech corpus. Interspeech 2021.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after="12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879bdd38e0d7fdb6ae19c51010b76247c65cac.png"/><Relationship Id="rId8" Type="http://schemas.openxmlformats.org/officeDocument/2006/relationships/image" Target="media/6efa5c31887629ea2d3f78e679f05198bbc91b67.png"/><Relationship Id="rId9" Type="http://schemas.openxmlformats.org/officeDocument/2006/relationships/image" Target="media/f640a0d3e79a91858d55eb46aeec7b18c0fc9c9a.png"/><Relationship Id="rId10" Type="http://schemas.openxmlformats.org/officeDocument/2006/relationships/image" Target="media/3393605cd29d086a04193932714db4cff94ffa93.png"/><Relationship Id="rId11" Type="http://schemas.openxmlformats.org/officeDocument/2006/relationships/image" Target="media/9a3ccf9084df30bfdf59c024fc44f28ee91b1e7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2026-04-20T23:41:07.724Z</dcterms:created>
  <dcterms:modified xsi:type="dcterms:W3CDTF">2026-04-20T23:41:07.725Z</dcterms:modified>
</cp:coreProperties>
</file>

<file path=docProps/custom.xml><?xml version="1.0" encoding="utf-8"?>
<Properties xmlns="http://schemas.openxmlformats.org/officeDocument/2006/custom-properties" xmlns:vt="http://schemas.openxmlformats.org/officeDocument/2006/docPropsVTypes"/>
</file>