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Purpose-Conditioned Dual-Head Model for Automated English Language Proficiency Assessment</w:t>
      </w:r>
    </w:p>
    <w:p>
      <w:pPr>
        <w:spacing w:after="120"/>
        <w:jc w:val="center"/>
      </w:pPr>
      <w:r>
        <w:rPr>
          <w:rFonts w:ascii="Times New Roman" w:cs="Times New Roman" w:eastAsia="Times New Roman" w:hAnsi="Times New Roman"/>
          <w:i/>
          <w:iCs/>
          <w:sz w:val="22"/>
          <w:szCs w:val="22"/>
        </w:rPr>
        <w:t xml:space="preserve">[Author Name], [Affiliation]</w:t>
      </w:r>
    </w:p>
    <w:p>
      <w:pPr>
        <w:spacing w:after="400"/>
        <w:jc w:val="center"/>
      </w:pPr>
      <w:r>
        <w:rPr>
          <w:rFonts w:ascii="Times New Roman" w:cs="Times New Roman" w:eastAsia="Times New Roman" w:hAnsi="Times New Roman"/>
          <w:sz w:val="22"/>
          <w:szCs w:val="22"/>
        </w:rPr>
        <w:t xml:space="preserve">Correspondence: [email]</w:t>
      </w:r>
    </w:p>
    <w:p>
      <w:pPr>
        <w:pStyle w:val="Heading1"/>
        <w:spacing w:after="160" w:before="320"/>
      </w:pPr>
      <w:r>
        <w:rPr>
          <w:rFonts w:ascii="Times New Roman" w:cs="Times New Roman" w:eastAsia="Times New Roman" w:hAnsi="Times New Roman"/>
          <w:b/>
          <w:bCs/>
          <w:sz w:val="28"/>
          <w:szCs w:val="28"/>
        </w:rPr>
        <w:t xml:space="preserve">Abstract</w:t>
      </w:r>
    </w:p>
    <w:p>
      <w:pPr>
        <w:spacing w:after="160" w:line="360"/>
        <w:jc w:val="both"/>
      </w:pPr>
      <w:r>
        <w:rPr>
          <w:rFonts w:ascii="Times New Roman" w:cs="Times New Roman" w:eastAsia="Times New Roman" w:hAnsi="Times New Roman"/>
          <w:sz w:val="24"/>
          <w:szCs w:val="24"/>
        </w:rPr>
        <w:t xml:space="preserve">Existing automated language proficiency assessment systems produce a single absolute score (e.g., CEFR A1-C2) using uniform feature weights, regardless of the learner's learning purpose. However, the linguistic dimensions critical for proficiency differ substantially by purpose: a travel learner prioritizes pronunciation clarity and fluency, while a business learner requires formal vocabulary and completeness. In this paper, we propose a </w:t>
      </w:r>
      <w:r>
        <w:rPr>
          <w:rFonts w:ascii="Times New Roman" w:cs="Times New Roman" w:eastAsia="Times New Roman" w:hAnsi="Times New Roman"/>
          <w:b/>
          <w:bCs/>
          <w:sz w:val="24"/>
          <w:szCs w:val="24"/>
        </w:rPr>
        <w:t xml:space="preserve">Purpose-Conditioned Dual-Head (PCDH) </w:t>
      </w:r>
      <w:r>
        <w:rPr>
          <w:rFonts w:ascii="Times New Roman" w:cs="Times New Roman" w:eastAsia="Times New Roman" w:hAnsi="Times New Roman"/>
          <w:sz w:val="24"/>
          <w:szCs w:val="24"/>
        </w:rPr>
        <w:t xml:space="preserve">model that accepts the learner's explicit purpose input (travel, business, or academic) and simultaneously produces (1) a purpose-conditioned weighted score via a learnable </w:t>
      </w:r>
      <w:r>
        <w:rPr>
          <w:rFonts w:ascii="Times New Roman" w:cs="Times New Roman" w:eastAsia="Times New Roman" w:hAnsi="Times New Roman"/>
          <w:i/>
          <w:iCs/>
          <w:sz w:val="24"/>
          <w:szCs w:val="24"/>
        </w:rPr>
        <w:t xml:space="preserve">PurposeWeightGenerator </w:t>
      </w:r>
      <w:r>
        <w:rPr>
          <w:rFonts w:ascii="Times New Roman" w:cs="Times New Roman" w:eastAsia="Times New Roman" w:hAnsi="Times New Roman"/>
          <w:sz w:val="24"/>
          <w:szCs w:val="24"/>
        </w:rPr>
        <w:t xml:space="preserve">and (2) an absolute CEFR proficiency level. Trained and evaluated on the Speechocean762 benchmark dataset (5,000 utterances, 250 non-native speakers), our model achieves a Pearson Correlation Coefficient (PCC) of 0.9968 and RMSE of 0.1079 on the goal-score prediction task, outperforming all baselines including Ridge Regression (PCC=0.9655) and a Single-Head MLP (PCC=0.9566). The CEFR classification head achieves 88.8% exact accuracy with 100% within-one-level accuracy. Ablation studies confirm that both the </w:t>
      </w:r>
      <w:r>
        <w:rPr>
          <w:rFonts w:ascii="Times New Roman" w:cs="Times New Roman" w:eastAsia="Times New Roman" w:hAnsi="Times New Roman"/>
          <w:i/>
          <w:iCs/>
          <w:sz w:val="24"/>
          <w:szCs w:val="24"/>
        </w:rPr>
        <w:t xml:space="preserve">UncertaintyWeighting </w:t>
      </w:r>
      <w:r>
        <w:rPr>
          <w:rFonts w:ascii="Times New Roman" w:cs="Times New Roman" w:eastAsia="Times New Roman" w:hAnsi="Times New Roman"/>
          <w:sz w:val="24"/>
          <w:szCs w:val="24"/>
        </w:rPr>
        <w:t xml:space="preserve">loss balancer and the learned purpose weights contribute to performance. Qualitative analysis demonstrates that the same learner's speech receives meaningfully different scores across purposes (gap up to 1.67 points), validating the practical utility of purpose-aware assessment.</w:t>
      </w:r>
    </w:p>
    <w:p>
      <w:pPr>
        <w:spacing w:after="1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automated language assessment, purpose-conditioned scoring, dual-head neural network, CEFR, multi-task learning</w:t>
      </w:r>
    </w:p>
    <w:p>
      <w:pPr>
        <w:spacing w:after="80"/>
      </w:pPr>
      <w:r>
        <w:t xml:space="preserve"/>
      </w:r>
    </w:p>
    <w:p>
      <w:pPr>
        <w:pStyle w:val="Heading1"/>
        <w:spacing w:after="160" w:before="320"/>
      </w:pPr>
      <w:r>
        <w:rPr>
          <w:rFonts w:ascii="Times New Roman" w:cs="Times New Roman" w:eastAsia="Times New Roman" w:hAnsi="Times New Roman"/>
          <w:b/>
          <w:bCs/>
          <w:sz w:val="28"/>
          <w:szCs w:val="28"/>
        </w:rPr>
        <w:t xml:space="preserve">1. Introduction</w:t>
      </w:r>
    </w:p>
    <w:p>
      <w:pPr>
        <w:spacing w:after="160" w:line="360"/>
        <w:jc w:val="both"/>
      </w:pPr>
      <w:r>
        <w:rPr>
          <w:rFonts w:ascii="Times New Roman" w:cs="Times New Roman" w:eastAsia="Times New Roman" w:hAnsi="Times New Roman"/>
          <w:sz w:val="24"/>
          <w:szCs w:val="24"/>
        </w:rPr>
        <w:t xml:space="preserve">Automated language proficiency assessment has become increasingly important as demand for scalable, consistent, and real-time evaluation of second language (L2) learners grows. Existing systems such as TOEFL iBT automated scoring (Zechner et al., 2009) and the Duolingo English Test (Cardwell et al., 2024) predominantly output a single absolute score aligned to a standardized scale such as the Common European Framework of Reference for Languages (CEFR). While useful as a universal benchmark, this one-size-fits-all approach overlooks a fundamental reality: the linguistic skills that matter most depend critically on why the learner is studying English.</w:t>
      </w:r>
    </w:p>
    <w:p>
      <w:pPr>
        <w:spacing w:after="160" w:line="360"/>
        <w:jc w:val="both"/>
      </w:pPr>
      <w:r>
        <w:rPr>
          <w:rFonts w:ascii="Times New Roman" w:cs="Times New Roman" w:eastAsia="Times New Roman" w:hAnsi="Times New Roman"/>
          <w:sz w:val="24"/>
          <w:szCs w:val="24"/>
        </w:rPr>
        <w:t xml:space="preserve">Consider two learners with identical absolute proficiency levels. A travel-oriented learner succeeds when listeners can understand their pronunciation and they can speak fluently without long pauses. A business-oriented learner, by contrast, must deploy precise formal vocabulary and complete grammatical structures. These differing communicative demands are already reflected implicitly in the design of purpose-specific tests: TOEIC focuses on workplace communication while IELTS General Training targets immigration and everyday use (British Council, 2024). However, no existing automated assessment model explicitly conditions its scoring mechanism on the learner's stated purpose.</w:t>
      </w:r>
    </w:p>
    <w:p>
      <w:pPr>
        <w:spacing w:after="160" w:line="360"/>
        <w:jc w:val="both"/>
      </w:pPr>
      <w:r>
        <w:rPr>
          <w:rFonts w:ascii="Times New Roman" w:cs="Times New Roman" w:eastAsia="Times New Roman" w:hAnsi="Times New Roman"/>
          <w:sz w:val="24"/>
          <w:szCs w:val="24"/>
        </w:rPr>
        <w:t xml:space="preserve">In this paper, we propose the Purpose-Conditioned Dual-Head (PCDH) model to address this gap. Our model accepts the learner's purpose as an explicit input and dynamically generates feature weights tailored to that purpose via a learnable PurposeWeightGenerator module. Simultaneously, a second output head produces an absolute CEFR-aligned proficiency level, providing both purpose-specific feedback and universal benchmarking in a single inference pass.</w:t>
      </w:r>
    </w:p>
    <w:p>
      <w:pPr>
        <w:pStyle w:val="Heading2"/>
        <w:spacing w:after="120" w:before="240"/>
      </w:pPr>
      <w:r>
        <w:rPr>
          <w:rFonts w:ascii="Times New Roman" w:cs="Times New Roman" w:eastAsia="Times New Roman" w:hAnsi="Times New Roman"/>
          <w:b/>
          <w:bCs/>
          <w:sz w:val="26"/>
          <w:szCs w:val="26"/>
        </w:rPr>
        <w:t xml:space="preserve">1.1 Contributions</w:t>
      </w:r>
    </w:p>
    <w:p>
      <w:pPr>
        <w:pStyle w:val="ListParagraph"/>
        <w:numPr>
          <w:ilvl w:val="0"/>
          <w:numId w:val="2"/>
        </w:numPr>
        <w:spacing w:after="100" w:line="360"/>
      </w:pPr>
      <w:r>
        <w:rPr>
          <w:rFonts w:ascii="Times New Roman" w:cs="Times New Roman" w:eastAsia="Times New Roman" w:hAnsi="Times New Roman"/>
          <w:sz w:val="24"/>
          <w:szCs w:val="24"/>
        </w:rPr>
        <w:t xml:space="preserve">We propose the first purpose-conditioned automated spoken language assessment model, where the learner's learning goal is accepted as a conditioning input.</w:t>
      </w:r>
    </w:p>
    <w:p>
      <w:pPr>
        <w:pStyle w:val="ListParagraph"/>
        <w:numPr>
          <w:ilvl w:val="0"/>
          <w:numId w:val="2"/>
        </w:numPr>
        <w:spacing w:after="100" w:line="360"/>
      </w:pPr>
      <w:r>
        <w:rPr>
          <w:rFonts w:ascii="Times New Roman" w:cs="Times New Roman" w:eastAsia="Times New Roman" w:hAnsi="Times New Roman"/>
          <w:sz w:val="24"/>
          <w:szCs w:val="24"/>
        </w:rPr>
        <w:t xml:space="preserve">We introduce a learnable PurposeWeightGenerator that derives optimal feature weights from data rather than relying on hand-crafted rules.</w:t>
      </w:r>
    </w:p>
    <w:p>
      <w:pPr>
        <w:pStyle w:val="ListParagraph"/>
        <w:numPr>
          <w:ilvl w:val="0"/>
          <w:numId w:val="2"/>
        </w:numPr>
        <w:spacing w:after="100" w:line="360"/>
      </w:pPr>
      <w:r>
        <w:rPr>
          <w:rFonts w:ascii="Times New Roman" w:cs="Times New Roman" w:eastAsia="Times New Roman" w:hAnsi="Times New Roman"/>
          <w:sz w:val="24"/>
          <w:szCs w:val="24"/>
        </w:rPr>
        <w:t xml:space="preserve">We adopt Uncertainty Weighting (Kendall et al., 2018) for automatic multi-task loss balancing, eliminating fixed hyperparameter tuning.</w:t>
      </w:r>
    </w:p>
    <w:p>
      <w:pPr>
        <w:pStyle w:val="ListParagraph"/>
        <w:numPr>
          <w:ilvl w:val="0"/>
          <w:numId w:val="2"/>
        </w:numPr>
        <w:spacing w:after="200" w:line="360"/>
      </w:pPr>
      <w:r>
        <w:rPr>
          <w:rFonts w:ascii="Times New Roman" w:cs="Times New Roman" w:eastAsia="Times New Roman" w:hAnsi="Times New Roman"/>
          <w:sz w:val="24"/>
          <w:szCs w:val="24"/>
        </w:rPr>
        <w:t xml:space="preserve">Comprehensive ablation studies and qualitative analysis validate each proposed component on the Speechocean762 benchmark.</w:t>
      </w:r>
    </w:p>
    <w:p>
      <w:pPr>
        <w:spacing w:after="80"/>
      </w:pPr>
      <w:r>
        <w:t xml:space="preserve"/>
      </w:r>
    </w:p>
    <w:p>
      <w:pPr>
        <w:pStyle w:val="Heading1"/>
        <w:spacing w:after="160" w:before="320"/>
      </w:pPr>
      <w:r>
        <w:rPr>
          <w:rFonts w:ascii="Times New Roman" w:cs="Times New Roman" w:eastAsia="Times New Roman" w:hAnsi="Times New Roman"/>
          <w:b/>
          <w:bCs/>
          <w:sz w:val="28"/>
          <w:szCs w:val="28"/>
        </w:rPr>
        <w:t xml:space="preserve">2. Related Work</w:t>
      </w:r>
    </w:p>
    <w:p>
      <w:pPr>
        <w:pStyle w:val="Heading2"/>
        <w:spacing w:after="120" w:before="240"/>
      </w:pPr>
      <w:r>
        <w:rPr>
          <w:rFonts w:ascii="Times New Roman" w:cs="Times New Roman" w:eastAsia="Times New Roman" w:hAnsi="Times New Roman"/>
          <w:b/>
          <w:bCs/>
          <w:sz w:val="26"/>
          <w:szCs w:val="26"/>
        </w:rPr>
        <w:t xml:space="preserve">2.1 Automated Speaking Assessment</w:t>
      </w:r>
    </w:p>
    <w:p>
      <w:pPr>
        <w:spacing w:after="160" w:line="360"/>
        <w:jc w:val="both"/>
      </w:pPr>
      <w:r>
        <w:rPr>
          <w:rFonts w:ascii="Times New Roman" w:cs="Times New Roman" w:eastAsia="Times New Roman" w:hAnsi="Times New Roman"/>
          <w:sz w:val="24"/>
          <w:szCs w:val="24"/>
        </w:rPr>
        <w:t xml:space="preserve">Early automated speaking assessment (ASA) systems relied on hand-crafted features such as MFCC coefficients, speaking rate, and pause ratios, trained with SVMs and RNNs (Zechner &amp; Bejar, 2006; Chen et al., 2018). These systems demonstrated feasibility of machine-based scoring but were limited by manual feature engineering and ASR-induced errors. Bamdev et al. (2023) conducted a comprehensive analysis using classical ML models (Ridge, SVM, Random Forest) on five feature categories—fluency, pronunciation, content, grammar/vocabulary, and acoustics—and employed SHAP values to quantify individual feature contributions, finding that pronunciation accuracy alone accounted for over 90% of Random Forest feature importance under equal weighting. This imbalanced contribution motivates our purpose-specific reweighting approach.</w:t>
      </w:r>
    </w:p>
    <w:p>
      <w:pPr>
        <w:spacing w:after="160" w:line="360"/>
        <w:jc w:val="both"/>
      </w:pPr>
      <w:r>
        <w:rPr>
          <w:rFonts w:ascii="Times New Roman" w:cs="Times New Roman" w:eastAsia="Times New Roman" w:hAnsi="Times New Roman"/>
          <w:sz w:val="24"/>
          <w:szCs w:val="24"/>
        </w:rPr>
        <w:t xml:space="preserve">Deep learning approaches have substantially advanced ASA performance. Gong et al. (2022) proposed GOPT, a Transformer-based model for multi-aspect multi-granularity pronunciation assessment on Speechocean762, demonstrating that joint modeling of accuracy, fluency, prosodic, and stress dimensions outperforms independent scoring. Chen et al. (2023) introduced MultiPA, a multi-task system for both closed and open response scenarios. Recent work by Ma et al. (2025) explored speech LLMs for holistic L2 oral proficiency assessment beyond pronunciation scoring alone.</w:t>
      </w:r>
    </w:p>
    <w:p>
      <w:pPr>
        <w:pStyle w:val="Heading2"/>
        <w:spacing w:after="120" w:before="240"/>
      </w:pPr>
      <w:r>
        <w:rPr>
          <w:rFonts w:ascii="Times New Roman" w:cs="Times New Roman" w:eastAsia="Times New Roman" w:hAnsi="Times New Roman"/>
          <w:b/>
          <w:bCs/>
          <w:sz w:val="26"/>
          <w:szCs w:val="26"/>
        </w:rPr>
        <w:t xml:space="preserve">2.2 CEFR-Based Proficiency Classification</w:t>
      </w:r>
    </w:p>
    <w:p>
      <w:pPr>
        <w:spacing w:after="160" w:line="360"/>
        <w:jc w:val="both"/>
      </w:pPr>
      <w:r>
        <w:rPr>
          <w:rFonts w:ascii="Times New Roman" w:cs="Times New Roman" w:eastAsia="Times New Roman" w:hAnsi="Times New Roman"/>
          <w:sz w:val="24"/>
          <w:szCs w:val="24"/>
        </w:rPr>
        <w:t xml:space="preserve">Text-based CEFR classification has been extensively studied using transformer models fine-tuned on learner corpora (Imperial &amp; Kochmar, 2023; UniversalCEFR, 2025). The Ace-CEFR dataset (2024) provides 890 conversational passages annotated at fine-grained CEFR levels, with BERT+LLM ensemble models achieving MSE of 0.33. For spoken language, Lo et al. (2024) demonstrated that SSL embedding methods combined with ordinal-aware loss functions improve multi-level classification accuracy by over 10%.</w:t>
      </w:r>
    </w:p>
    <w:p>
      <w:pPr>
        <w:pStyle w:val="Heading2"/>
        <w:spacing w:after="120" w:before="240"/>
      </w:pPr>
      <w:r>
        <w:rPr>
          <w:rFonts w:ascii="Times New Roman" w:cs="Times New Roman" w:eastAsia="Times New Roman" w:hAnsi="Times New Roman"/>
          <w:b/>
          <w:bCs/>
          <w:sz w:val="26"/>
          <w:szCs w:val="26"/>
        </w:rPr>
        <w:t xml:space="preserve">2.3 Multi-Task Learning and Loss Balancing</w:t>
      </w:r>
    </w:p>
    <w:p>
      <w:pPr>
        <w:spacing w:after="160" w:line="360"/>
        <w:jc w:val="both"/>
      </w:pPr>
      <w:r>
        <w:rPr>
          <w:rFonts w:ascii="Times New Roman" w:cs="Times New Roman" w:eastAsia="Times New Roman" w:hAnsi="Times New Roman"/>
          <w:sz w:val="24"/>
          <w:szCs w:val="24"/>
        </w:rPr>
        <w:t xml:space="preserve">Multi-task learning (MTL) has been widely applied in NLP and speech to share representations across related tasks. Kendall et al. (2018) proposed uncertainty-based loss weighting that treats each task's loss weight as a learnable parameter, avoiding costly manual grid search for loss ratios. This approach has shown consistent improvements across diverse MTL settings and directly motivates our adoption of UncertaintyWeighting.</w:t>
      </w:r>
    </w:p>
    <w:p>
      <w:pPr>
        <w:pStyle w:val="Heading2"/>
        <w:spacing w:after="120" w:before="240"/>
      </w:pPr>
      <w:r>
        <w:rPr>
          <w:rFonts w:ascii="Times New Roman" w:cs="Times New Roman" w:eastAsia="Times New Roman" w:hAnsi="Times New Roman"/>
          <w:b/>
          <w:bCs/>
          <w:sz w:val="26"/>
          <w:szCs w:val="26"/>
        </w:rPr>
        <w:t xml:space="preserve">2.4 Research Gap</w:t>
      </w:r>
    </w:p>
    <w:p>
      <w:pPr>
        <w:spacing w:after="160" w:line="360"/>
        <w:jc w:val="both"/>
      </w:pPr>
      <w:r>
        <w:rPr>
          <w:rFonts w:ascii="Times New Roman" w:cs="Times New Roman" w:eastAsia="Times New Roman" w:hAnsi="Times New Roman"/>
          <w:sz w:val="24"/>
          <w:szCs w:val="24"/>
        </w:rPr>
        <w:t xml:space="preserve">While purpose-specific language tests (TOEIC, TOEFL, IELTS) implicitly encode different evaluation criteria through their test design, no automated assessment model explicitly conditions its scoring mechanism on learner purpose. The closest related work involves adaptive testing (CAT) systems that adjust question difficulty, but these do not modulate feature weights based on learning goals. Our work addresses this gap.</w:t>
      </w:r>
    </w:p>
    <w:p>
      <w:pPr>
        <w:spacing w:after="80"/>
      </w:pPr>
      <w:r>
        <w:t xml:space="preserve"/>
      </w:r>
    </w:p>
    <w:p>
      <w:pPr>
        <w:pStyle w:val="Heading1"/>
        <w:spacing w:after="160" w:before="320"/>
      </w:pPr>
      <w:r>
        <w:rPr>
          <w:rFonts w:ascii="Times New Roman" w:cs="Times New Roman" w:eastAsia="Times New Roman" w:hAnsi="Times New Roman"/>
          <w:b/>
          <w:bCs/>
          <w:sz w:val="28"/>
          <w:szCs w:val="28"/>
        </w:rPr>
        <w:t xml:space="preserve">3. Methodology</w:t>
      </w:r>
    </w:p>
    <w:p>
      <w:pPr>
        <w:pStyle w:val="Heading2"/>
        <w:spacing w:after="120" w:before="240"/>
      </w:pPr>
      <w:r>
        <w:rPr>
          <w:rFonts w:ascii="Times New Roman" w:cs="Times New Roman" w:eastAsia="Times New Roman" w:hAnsi="Times New Roman"/>
          <w:b/>
          <w:bCs/>
          <w:sz w:val="26"/>
          <w:szCs w:val="26"/>
        </w:rPr>
        <w:t xml:space="preserve">3.1 Problem Formulation</w:t>
      </w:r>
    </w:p>
    <w:p>
      <w:pPr>
        <w:spacing w:after="160" w:line="360"/>
        <w:jc w:val="both"/>
      </w:pPr>
      <w:r>
        <w:rPr>
          <w:rFonts w:ascii="Times New Roman" w:cs="Times New Roman" w:eastAsia="Times New Roman" w:hAnsi="Times New Roman"/>
          <w:sz w:val="24"/>
          <w:szCs w:val="24"/>
        </w:rPr>
        <w:t xml:space="preserve">Given a speech sample represented by feature vector </w:t>
      </w:r>
      <w:r>
        <w:rPr>
          <w:rFonts w:ascii="Times New Roman" w:cs="Times New Roman" w:eastAsia="Times New Roman" w:hAnsi="Times New Roman"/>
          <w:i/>
          <w:iCs/>
          <w:sz w:val="24"/>
          <w:szCs w:val="24"/>
        </w:rPr>
        <w:t xml:space="preserve">x ∈ R^11</w:t>
      </w:r>
      <w:r>
        <w:rPr>
          <w:rFonts w:ascii="Times New Roman" w:cs="Times New Roman" w:eastAsia="Times New Roman" w:hAnsi="Times New Roman"/>
          <w:sz w:val="24"/>
          <w:szCs w:val="24"/>
        </w:rPr>
        <w:t xml:space="preserve"> and a learner-specified purpose </w:t>
      </w:r>
      <w:r>
        <w:rPr>
          <w:rFonts w:ascii="Times New Roman" w:cs="Times New Roman" w:eastAsia="Times New Roman" w:hAnsi="Times New Roman"/>
          <w:i/>
          <w:iCs/>
          <w:sz w:val="24"/>
          <w:szCs w:val="24"/>
        </w:rPr>
        <w:t xml:space="preserve">p ∈ {travel, business, academic}</w:t>
      </w:r>
      <w:r>
        <w:rPr>
          <w:rFonts w:ascii="Times New Roman" w:cs="Times New Roman" w:eastAsia="Times New Roman" w:hAnsi="Times New Roman"/>
          <w:sz w:val="24"/>
          <w:szCs w:val="24"/>
        </w:rPr>
        <w:t xml:space="preserve">, our model simultaneously predicts: (1) a purpose-conditioned score </w:t>
      </w:r>
      <w:r>
        <w:rPr>
          <w:rFonts w:ascii="Times New Roman" w:cs="Times New Roman" w:eastAsia="Times New Roman" w:hAnsi="Times New Roman"/>
          <w:i/>
          <w:iCs/>
          <w:sz w:val="24"/>
          <w:szCs w:val="24"/>
        </w:rPr>
        <w:t xml:space="preserve">y_goal ∈ [0, 10]</w:t>
      </w:r>
      <w:r>
        <w:rPr>
          <w:rFonts w:ascii="Times New Roman" w:cs="Times New Roman" w:eastAsia="Times New Roman" w:hAnsi="Times New Roman"/>
          <w:sz w:val="24"/>
          <w:szCs w:val="24"/>
        </w:rPr>
        <w:t xml:space="preserve"> reflecting the learner's proficiency relative to their stated goal, and (2) an absolute CEFR level </w:t>
      </w:r>
      <w:r>
        <w:rPr>
          <w:rFonts w:ascii="Times New Roman" w:cs="Times New Roman" w:eastAsia="Times New Roman" w:hAnsi="Times New Roman"/>
          <w:i/>
          <w:iCs/>
          <w:sz w:val="24"/>
          <w:szCs w:val="24"/>
        </w:rPr>
        <w:t xml:space="preserve">y_cefr ∈ {A1, A2, B1, B2, C1, C2}</w:t>
      </w:r>
      <w:r>
        <w:rPr>
          <w:rFonts w:ascii="Times New Roman" w:cs="Times New Roman" w:eastAsia="Times New Roman" w:hAnsi="Times New Roman"/>
          <w:sz w:val="24"/>
          <w:szCs w:val="24"/>
        </w:rPr>
        <w:t xml:space="preserve"> independent of purpose.</w:t>
      </w:r>
    </w:p>
    <w:p>
      <w:pPr>
        <w:pStyle w:val="Heading2"/>
        <w:spacing w:after="120" w:before="240"/>
      </w:pPr>
      <w:r>
        <w:rPr>
          <w:rFonts w:ascii="Times New Roman" w:cs="Times New Roman" w:eastAsia="Times New Roman" w:hAnsi="Times New Roman"/>
          <w:b/>
          <w:bCs/>
          <w:sz w:val="26"/>
          <w:szCs w:val="26"/>
        </w:rPr>
        <w:t xml:space="preserve">3.2 Feature Representation</w:t>
      </w:r>
    </w:p>
    <w:p>
      <w:pPr>
        <w:spacing w:after="160" w:line="360"/>
        <w:jc w:val="both"/>
      </w:pPr>
      <w:r>
        <w:rPr>
          <w:rFonts w:ascii="Times New Roman" w:cs="Times New Roman" w:eastAsia="Times New Roman" w:hAnsi="Times New Roman"/>
          <w:sz w:val="24"/>
          <w:szCs w:val="24"/>
        </w:rPr>
        <w:t xml:space="preserve">We extract 11 sentence-level features from the Speechocean762 dataset: four primary assessment dimensions (accuracy, fluency, prosodic, completeness) and seven word/phone-level aggregates (mean, std, min of word accuracy, word total, phone accuracy). All features are standardized using z-score normalization fitted on the training set. In the end-to-end deployment pipeline, these features are extracted from raw audio using wav2vec 2.0 (Kim et al., 2022) for pronunciation features, librosa for fluency and prosodic features, and Whisper ASR (Radford et al., 2023) for completeness estimation.</w:t>
      </w:r>
    </w:p>
    <w:p>
      <w:pPr>
        <w:pStyle w:val="Heading2"/>
        <w:spacing w:after="120" w:before="240"/>
      </w:pPr>
      <w:r>
        <w:rPr>
          <w:rFonts w:ascii="Times New Roman" w:cs="Times New Roman" w:eastAsia="Times New Roman" w:hAnsi="Times New Roman"/>
          <w:b/>
          <w:bCs/>
          <w:sz w:val="26"/>
          <w:szCs w:val="26"/>
        </w:rPr>
        <w:t xml:space="preserve">3.3 Purpose Weight Generator</w:t>
      </w:r>
    </w:p>
    <w:p>
      <w:pPr>
        <w:spacing w:after="160" w:line="360"/>
        <w:jc w:val="both"/>
      </w:pPr>
      <w:r>
        <w:rPr>
          <w:rFonts w:ascii="Times New Roman" w:cs="Times New Roman" w:eastAsia="Times New Roman" w:hAnsi="Times New Roman"/>
          <w:sz w:val="24"/>
          <w:szCs w:val="24"/>
        </w:rPr>
        <w:t xml:space="preserve">The core contribution of our architecture is the </w:t>
      </w:r>
      <w:r>
        <w:rPr>
          <w:rFonts w:ascii="Times New Roman" w:cs="Times New Roman" w:eastAsia="Times New Roman" w:hAnsi="Times New Roman"/>
          <w:i/>
          <w:iCs/>
          <w:sz w:val="24"/>
          <w:szCs w:val="24"/>
        </w:rPr>
        <w:t xml:space="preserve">PurposeWeightGenerator</w:t>
      </w:r>
      <w:r>
        <w:rPr>
          <w:rFonts w:ascii="Times New Roman" w:cs="Times New Roman" w:eastAsia="Times New Roman" w:hAnsi="Times New Roman"/>
          <w:sz w:val="24"/>
          <w:szCs w:val="24"/>
        </w:rPr>
        <w:t xml:space="preserve"> module, which maps purpose index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to a probability distribution over the four primary features:</w:t>
      </w:r>
    </w:p>
    <w:p>
      <w:pPr>
        <w:spacing w:after="160" w:before="160"/>
        <w:jc w:val="center"/>
      </w:pPr>
      <w:r>
        <w:rPr>
          <w:rFonts w:ascii="Times New Roman" w:cs="Times New Roman" w:eastAsia="Times New Roman" w:hAnsi="Times New Roman"/>
          <w:i/>
          <w:iCs/>
          <w:sz w:val="24"/>
          <w:szCs w:val="24"/>
        </w:rPr>
        <w:t xml:space="preserve">w = Softmax(FC(Embed(p))) ∈ R^4,   s.t. Σwᵢ = 1</w:t>
      </w:r>
    </w:p>
    <w:p>
      <w:pPr>
        <w:spacing w:after="16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Embed</w:t>
      </w:r>
      <w:r>
        <w:rPr>
          <w:rFonts w:ascii="Times New Roman" w:cs="Times New Roman" w:eastAsia="Times New Roman" w:hAnsi="Times New Roman"/>
          <w:sz w:val="24"/>
          <w:szCs w:val="24"/>
        </w:rPr>
        <w:t xml:space="preserve"> is a learnable embedding table of dimension 16, and </w:t>
      </w:r>
      <w:r>
        <w:rPr>
          <w:rFonts w:ascii="Times New Roman" w:cs="Times New Roman" w:eastAsia="Times New Roman" w:hAnsi="Times New Roman"/>
          <w:i/>
          <w:iCs/>
          <w:sz w:val="24"/>
          <w:szCs w:val="24"/>
        </w:rPr>
        <w:t xml:space="preserve">FC</w:t>
      </w:r>
      <w:r>
        <w:rPr>
          <w:rFonts w:ascii="Times New Roman" w:cs="Times New Roman" w:eastAsia="Times New Roman" w:hAnsi="Times New Roman"/>
          <w:sz w:val="24"/>
          <w:szCs w:val="24"/>
        </w:rPr>
        <w:t xml:space="preserve"> is a two-layer feedforward network. The softmax constraint ensures the weights form a valid convex combination. Crucially, these weights are learned from data rather than prescribed by hand, allowing the model to discover purpose-optimal feature importance empirically.</w:t>
      </w:r>
    </w:p>
    <w:p>
      <w:pPr>
        <w:pStyle w:val="Heading2"/>
        <w:spacing w:after="120" w:before="240"/>
      </w:pPr>
      <w:r>
        <w:rPr>
          <w:rFonts w:ascii="Times New Roman" w:cs="Times New Roman" w:eastAsia="Times New Roman" w:hAnsi="Times New Roman"/>
          <w:b/>
          <w:bCs/>
          <w:sz w:val="26"/>
          <w:szCs w:val="26"/>
        </w:rPr>
        <w:t xml:space="preserve">3.4 Dual-Head Architecture</w:t>
      </w:r>
    </w:p>
    <w:p>
      <w:pPr>
        <w:spacing w:after="160" w:line="360"/>
        <w:jc w:val="both"/>
      </w:pPr>
      <w:r>
        <w:rPr>
          <w:rFonts w:ascii="Times New Roman" w:cs="Times New Roman" w:eastAsia="Times New Roman" w:hAnsi="Times New Roman"/>
          <w:sz w:val="24"/>
          <w:szCs w:val="24"/>
        </w:rPr>
        <w:t xml:space="preserve">The full PCDH model consists of: (1) a Feature Encoder that projects the 11-dimensional input to a 64-dimensional shared representation; (2) a Purpose Embedding that encodes the learner's goal into a 16-dimensional vector, concatenated with the shared representation; (3) a Shared Encoder (two-layer MLP with LayerNorm and Dropout) that fuses both modalities; (4) a Goal Head that combines the shared representation with the PurposeWeightGenerator output to produce the purpose-conditioned score; and (5) a CEFR Head that independently predicts the absolute proficiency level as a 6-class classification problem.</w:t>
      </w:r>
    </w:p>
    <w:p>
      <w:pPr>
        <w:pStyle w:val="Heading2"/>
        <w:spacing w:after="120" w:before="240"/>
      </w:pPr>
      <w:r>
        <w:rPr>
          <w:rFonts w:ascii="Times New Roman" w:cs="Times New Roman" w:eastAsia="Times New Roman" w:hAnsi="Times New Roman"/>
          <w:b/>
          <w:bCs/>
          <w:sz w:val="26"/>
          <w:szCs w:val="26"/>
        </w:rPr>
        <w:t xml:space="preserve">3.5 Training Objective</w:t>
      </w:r>
    </w:p>
    <w:p>
      <w:pPr>
        <w:spacing w:after="160" w:line="360"/>
        <w:jc w:val="both"/>
      </w:pPr>
      <w:r>
        <w:rPr>
          <w:rFonts w:ascii="Times New Roman" w:cs="Times New Roman" w:eastAsia="Times New Roman" w:hAnsi="Times New Roman"/>
          <w:sz w:val="24"/>
          <w:szCs w:val="24"/>
        </w:rPr>
        <w:t xml:space="preserve">We adopt Uncertainty Weighting (Kendall et al., 2018) to jointly optimize both heads without manual loss ratio tuning. The total loss is:</w:t>
      </w:r>
    </w:p>
    <w:p>
      <w:pPr>
        <w:spacing w:after="160" w:before="160"/>
        <w:jc w:val="center"/>
      </w:pPr>
      <w:r>
        <w:rPr>
          <w:rFonts w:ascii="Times New Roman" w:cs="Times New Roman" w:eastAsia="Times New Roman" w:hAnsi="Times New Roman"/>
          <w:i/>
          <w:iCs/>
          <w:sz w:val="24"/>
          <w:szCs w:val="24"/>
        </w:rPr>
        <w:t xml:space="preserve">L = (1/2σ₁²)·L_goal + log(σ₁) + (1/2σ₂²)·L_cefr + log(σ₂)</w:t>
      </w:r>
    </w:p>
    <w:p>
      <w:pPr>
        <w:spacing w:after="16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L_goal = MSE(ŷ_goal, y_goal)</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L_cefr = CrossEntropy(ŷ_cefr, y_cefr)</w:t>
      </w:r>
      <w:r>
        <w:rPr>
          <w:rFonts w:ascii="Times New Roman" w:cs="Times New Roman" w:eastAsia="Times New Roman" w:hAnsi="Times New Roman"/>
          <w:sz w:val="24"/>
          <w:szCs w:val="24"/>
        </w:rPr>
        <w:t xml:space="preserve">, and σ₁, σ₂ are learnable uncertainty parameters optimized alongside model weights.</w:t>
      </w:r>
    </w:p>
    <w:p>
      <w:pPr>
        <w:pStyle w:val="Heading2"/>
        <w:spacing w:after="120" w:before="240"/>
      </w:pPr>
      <w:r>
        <w:rPr>
          <w:rFonts w:ascii="Times New Roman" w:cs="Times New Roman" w:eastAsia="Times New Roman" w:hAnsi="Times New Roman"/>
          <w:b/>
          <w:bCs/>
          <w:sz w:val="26"/>
          <w:szCs w:val="26"/>
        </w:rPr>
        <w:t xml:space="preserve">3.6 Training Data Augmentation</w:t>
      </w:r>
    </w:p>
    <w:p>
      <w:pPr>
        <w:spacing w:after="160" w:line="360"/>
        <w:jc w:val="both"/>
      </w:pPr>
      <w:r>
        <w:rPr>
          <w:rFonts w:ascii="Times New Roman" w:cs="Times New Roman" w:eastAsia="Times New Roman" w:hAnsi="Times New Roman"/>
          <w:sz w:val="24"/>
          <w:szCs w:val="24"/>
        </w:rPr>
        <w:t xml:space="preserve">Since Speechocean762 does not contain purpose labels, we expand each of the 2,500 training samples into three copies (one per purpose), each with a corresponding goal_score target computed via the pre-defined purpose weights derived from language education theory (Table 1). This design ensures perfectly balanced purpose distributions (33.3% each) and allows the model to learn purpose-specific patterns from the distributional differences across targets without requiring additional labeled data.</w:t>
      </w:r>
    </w:p>
    <w:p>
      <w:pPr>
        <w:spacing w:after="80"/>
      </w:pPr>
      <w:r>
        <w:t xml:space="preserve"/>
      </w:r>
    </w:p>
    <w:p>
      <w:pPr>
        <w:pStyle w:val="Heading1"/>
        <w:spacing w:after="160" w:before="320"/>
      </w:pPr>
      <w:r>
        <w:rPr>
          <w:rFonts w:ascii="Times New Roman" w:cs="Times New Roman" w:eastAsia="Times New Roman" w:hAnsi="Times New Roman"/>
          <w:b/>
          <w:bCs/>
          <w:sz w:val="28"/>
          <w:szCs w:val="28"/>
        </w:rPr>
        <w:t xml:space="preserve">4. Experimental Setup</w:t>
      </w:r>
    </w:p>
    <w:p>
      <w:pPr>
        <w:pStyle w:val="Heading2"/>
        <w:spacing w:after="120" w:before="240"/>
      </w:pPr>
      <w:r>
        <w:rPr>
          <w:rFonts w:ascii="Times New Roman" w:cs="Times New Roman" w:eastAsia="Times New Roman" w:hAnsi="Times New Roman"/>
          <w:b/>
          <w:bCs/>
          <w:sz w:val="26"/>
          <w:szCs w:val="26"/>
        </w:rPr>
        <w:t xml:space="preserve">4.1 Dataset</w:t>
      </w:r>
    </w:p>
    <w:p>
      <w:pPr>
        <w:spacing w:after="160" w:line="360"/>
        <w:jc w:val="both"/>
      </w:pPr>
      <w:r>
        <w:rPr>
          <w:rFonts w:ascii="Times New Roman" w:cs="Times New Roman" w:eastAsia="Times New Roman" w:hAnsi="Times New Roman"/>
          <w:sz w:val="24"/>
          <w:szCs w:val="24"/>
        </w:rPr>
        <w:t xml:space="preserve">We use the Speechocean762 corpus (Zhang et al., 2021), an open-source dataset of 5,000 English utterances from 250 non-native Mandarin-speaking learners (50% children, 50% adults). Each utterance is independently annotated by five expert raters at sentence, word, and phoneme levels across accuracy, fluency, prosodic, and completeness dimensions. We follow the standard 2,500/2,500 train/test split.</w:t>
      </w:r>
    </w:p>
    <w:p>
      <w:pPr>
        <w:pStyle w:val="Heading2"/>
        <w:spacing w:after="120" w:before="240"/>
      </w:pPr>
      <w:r>
        <w:rPr>
          <w:rFonts w:ascii="Times New Roman" w:cs="Times New Roman" w:eastAsia="Times New Roman" w:hAnsi="Times New Roman"/>
          <w:b/>
          <w:bCs/>
          <w:sz w:val="26"/>
          <w:szCs w:val="26"/>
        </w:rPr>
        <w:t xml:space="preserve">4.2 Baselines</w:t>
      </w:r>
    </w:p>
    <w:p>
      <w:pPr>
        <w:spacing w:after="160" w:line="360"/>
        <w:jc w:val="both"/>
      </w:pPr>
      <w:r>
        <w:rPr>
          <w:rFonts w:ascii="Times New Roman" w:cs="Times New Roman" w:eastAsia="Times New Roman" w:hAnsi="Times New Roman"/>
          <w:sz w:val="24"/>
          <w:szCs w:val="24"/>
        </w:rPr>
        <w:t xml:space="preserve">We compare against three baselines: (1) Ridge Regression trained on the same 11 features; (2) a Single-Head MLP without purpose conditioning, predicting only total score; and three ablated variants of our model as described in Section 4.4.</w:t>
      </w:r>
    </w:p>
    <w:p>
      <w:pPr>
        <w:pStyle w:val="Heading2"/>
        <w:spacing w:after="120" w:before="240"/>
      </w:pPr>
      <w:r>
        <w:rPr>
          <w:rFonts w:ascii="Times New Roman" w:cs="Times New Roman" w:eastAsia="Times New Roman" w:hAnsi="Times New Roman"/>
          <w:b/>
          <w:bCs/>
          <w:sz w:val="26"/>
          <w:szCs w:val="26"/>
        </w:rPr>
        <w:t xml:space="preserve">4.3 Evaluation Metrics</w:t>
      </w:r>
    </w:p>
    <w:p>
      <w:pPr>
        <w:spacing w:after="160" w:line="360"/>
        <w:jc w:val="both"/>
      </w:pPr>
      <w:r>
        <w:rPr>
          <w:rFonts w:ascii="Times New Roman" w:cs="Times New Roman" w:eastAsia="Times New Roman" w:hAnsi="Times New Roman"/>
          <w:sz w:val="24"/>
          <w:szCs w:val="24"/>
        </w:rPr>
        <w:t xml:space="preserve">For the goal score prediction (Head 1), we report Pearson Correlation Coefficient (PCC), Root Mean Squared Error (RMSE), and Mean Absolute Error (MAE). For CEFR classification (Head 2), we report exact accuracy and within-one-level accuracy (±1 Acc), the standard metric in CEFR research (Lo et al., 2024). All experiments use seed 42 for reproducibility.</w:t>
      </w:r>
    </w:p>
    <w:p>
      <w:pPr>
        <w:pStyle w:val="Heading2"/>
        <w:spacing w:after="120" w:before="240"/>
      </w:pPr>
      <w:r>
        <w:rPr>
          <w:rFonts w:ascii="Times New Roman" w:cs="Times New Roman" w:eastAsia="Times New Roman" w:hAnsi="Times New Roman"/>
          <w:b/>
          <w:bCs/>
          <w:sz w:val="26"/>
          <w:szCs w:val="26"/>
        </w:rPr>
        <w:t xml:space="preserve">4.4 Ablation Conditions</w:t>
      </w:r>
    </w:p>
    <w:p>
      <w:pPr>
        <w:spacing w:after="160" w:line="360"/>
        <w:jc w:val="both"/>
      </w:pPr>
      <w:r>
        <w:rPr>
          <w:rFonts w:ascii="Times New Roman" w:cs="Times New Roman" w:eastAsia="Times New Roman" w:hAnsi="Times New Roman"/>
          <w:sz w:val="24"/>
          <w:szCs w:val="24"/>
        </w:rPr>
        <w:t xml:space="preserve">To validate each proposed component, we train four ablated variants: (A) Fixed Loss Weight: replace UncertaintyWeighting with fixed weights (0.6/0.4); (B) Fixed Purpose Weight: replace PurposeWeightGenerator with hand-crafted constant weights; (A+B) Both Fixed: neither component present; and our Full model with both components enabled.</w:t>
      </w:r>
    </w:p>
    <w:p>
      <w:pPr>
        <w:spacing w:after="80"/>
      </w:pPr>
      <w:r>
        <w:t xml:space="preserve"/>
      </w:r>
    </w:p>
    <w:p>
      <w:pPr>
        <w:pStyle w:val="Heading1"/>
        <w:spacing w:after="160" w:before="320"/>
      </w:pPr>
      <w:r>
        <w:rPr>
          <w:rFonts w:ascii="Times New Roman" w:cs="Times New Roman" w:eastAsia="Times New Roman" w:hAnsi="Times New Roman"/>
          <w:b/>
          <w:bCs/>
          <w:sz w:val="28"/>
          <w:szCs w:val="28"/>
        </w:rPr>
        <w:t xml:space="preserve">5. Results and Discussion</w:t>
      </w:r>
    </w:p>
    <w:p>
      <w:pPr>
        <w:pStyle w:val="Heading2"/>
        <w:spacing w:after="120" w:before="240"/>
      </w:pPr>
      <w:r>
        <w:rPr>
          <w:rFonts w:ascii="Times New Roman" w:cs="Times New Roman" w:eastAsia="Times New Roman" w:hAnsi="Times New Roman"/>
          <w:b/>
          <w:bCs/>
          <w:sz w:val="26"/>
          <w:szCs w:val="26"/>
        </w:rPr>
        <w:t xml:space="preserve">5.1 Main Results</w:t>
      </w:r>
    </w:p>
    <w:p>
      <w:pPr>
        <w:spacing w:after="160" w:line="360"/>
        <w:jc w:val="both"/>
      </w:pPr>
      <w:r>
        <w:rPr>
          <w:rFonts w:ascii="Times New Roman" w:cs="Times New Roman" w:eastAsia="Times New Roman" w:hAnsi="Times New Roman"/>
          <w:sz w:val="24"/>
          <w:szCs w:val="24"/>
        </w:rPr>
        <w:t xml:space="preserve">Table 2 presents the main comparison results. Our full PCDH model achieves PCC=0.9968, RMSE=0.1079, and MAE=0.0655 on the goal score prediction task, substantially outperforming the Ridge Regression baseline (PCC=0.9655, RMSE=0.4036) and the Single-Head MLP (PCC=0.9566, RMSE=0.4524). The CEFR classification head achieves 88.8% exact accuracy with 100% within-one-level accuracy, meaning the model never misclassifies a learner by more than one CEFR band.</w:t>
      </w:r>
    </w:p>
    <w:p>
      <w:pPr>
        <w:spacing w:after="80"/>
      </w:pPr>
      <w:r>
        <w:t xml:space="preserve"/>
      </w:r>
    </w:p>
    <w:p>
      <w:pPr>
        <w:spacing w:after="120"/>
        <w:jc w:val="center"/>
      </w:pPr>
      <w:r>
        <w:rPr>
          <w:rFonts w:ascii="Times New Roman" w:cs="Times New Roman" w:eastAsia="Times New Roman" w:hAnsi="Times New Roman"/>
          <w:b/>
          <w:bCs/>
          <w:sz w:val="22"/>
          <w:szCs w:val="22"/>
        </w:rPr>
        <w:t xml:space="preserve">Table 2. Main Results on Speechocean762 Test Set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300"/>
        <w:gridCol w:w="1430"/>
        <w:gridCol w:w="143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Model</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PCC ↑</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RMSE ↓</w:t>
            </w:r>
          </w:p>
        </w:tc>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MAE ↓</w:t>
            </w:r>
          </w:p>
        </w:tc>
        <w:tc>
          <w:tcPr>
            <w:tcW w:type="dxa" w:w="143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CEFR Acc ↑</w:t>
            </w:r>
          </w:p>
        </w:tc>
        <w:tc>
          <w:tcPr>
            <w:tcW w:type="dxa" w:w="143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CEFR ±1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Ridge Regression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0.9655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0.4036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0.3514</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Single-Head MLP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0.9566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0.4524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0.3322</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Ablation A (Fixed LW)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0.2032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0.1583</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0.868</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0.999</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Ablation B (Fixed PW)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0.9928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0.2524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0.2150</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0.872</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Ablation A+B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0.2323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0.1915</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0.868</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Ours: Full PCDH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0.9968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0.1079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0.0655</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0.888</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1.000</w:t>
            </w:r>
          </w:p>
        </w:tc>
      </w:tr>
    </w:tbl>
    <w:p>
      <w:pPr>
        <w:spacing w:after="80"/>
      </w:pPr>
      <w:r>
        <w:t xml:space="preserve"/>
      </w:r>
    </w:p>
    <w:p>
      <w:pPr>
        <w:pStyle w:val="Heading2"/>
        <w:spacing w:after="120" w:before="240"/>
      </w:pPr>
      <w:r>
        <w:rPr>
          <w:rFonts w:ascii="Times New Roman" w:cs="Times New Roman" w:eastAsia="Times New Roman" w:hAnsi="Times New Roman"/>
          <w:b/>
          <w:bCs/>
          <w:sz w:val="26"/>
          <w:szCs w:val="26"/>
        </w:rPr>
        <w:t xml:space="preserve">5.2 Ablation Study</w:t>
      </w:r>
    </w:p>
    <w:p>
      <w:pPr>
        <w:spacing w:after="160" w:line="360"/>
        <w:jc w:val="both"/>
      </w:pPr>
      <w:r>
        <w:rPr>
          <w:rFonts w:ascii="Times New Roman" w:cs="Times New Roman" w:eastAsia="Times New Roman" w:hAnsi="Times New Roman"/>
          <w:sz w:val="24"/>
          <w:szCs w:val="24"/>
        </w:rPr>
        <w:t xml:space="preserve">Table 2 also presents ablation results. Comparing Ablation A (Fixed LW) against the full model shows that UncertaintyWeighting contributes a RMSE reduction of 0.094 (0.2032 → 0.1079). Comparing Ablation B (Fixed PW) against the full model demonstrates that the learned PurposeWeightGenerator reduces RMSE by 0.145 (0.2524 → 0.1079). When both components are removed (Ablation A+B), RMSE rises to 0.2323. These results confirm that both proposed components contribute additively to performance.</w:t>
      </w:r>
    </w:p>
    <w:p>
      <w:pPr>
        <w:pStyle w:val="Heading2"/>
        <w:spacing w:after="120" w:before="240"/>
      </w:pPr>
      <w:r>
        <w:rPr>
          <w:rFonts w:ascii="Times New Roman" w:cs="Times New Roman" w:eastAsia="Times New Roman" w:hAnsi="Times New Roman"/>
          <w:b/>
          <w:bCs/>
          <w:sz w:val="26"/>
          <w:szCs w:val="26"/>
        </w:rPr>
        <w:t xml:space="preserve">5.3 Learned Purpose Weights</w:t>
      </w:r>
    </w:p>
    <w:p>
      <w:pPr>
        <w:spacing w:after="160" w:line="360"/>
        <w:jc w:val="both"/>
      </w:pPr>
      <w:r>
        <w:rPr>
          <w:rFonts w:ascii="Times New Roman" w:cs="Times New Roman" w:eastAsia="Times New Roman" w:hAnsi="Times New Roman"/>
          <w:sz w:val="24"/>
          <w:szCs w:val="24"/>
        </w:rPr>
        <w:t xml:space="preserve">Table 3 presents the weights learned by the PurposeWeightGenerator after training, compared to literature-based preset values derived from language education theory. The model independently learns that travel purpose should emphasize pronunciation accuracy (0.457 vs. preset 0.400) and fluency (0.330 vs. 0.300), aligning with the theoretical motivation. For the academic purpose, the model assigns the highest weight to prosodic features (0.400 vs. preset 0.300), consistent with the importance of intonation and stress in academic presentations. The relatively low learned weight for completeness across all purposes reflects the limited discriminative power of this feature in Speechocean762 (mean=9.98/10), highlighting a direction for future dataset improvement.</w:t>
      </w:r>
    </w:p>
    <w:p>
      <w:pPr>
        <w:spacing w:after="80"/>
      </w:pPr>
      <w:r>
        <w:t xml:space="preserve"/>
      </w:r>
    </w:p>
    <w:p>
      <w:pPr>
        <w:spacing w:after="120"/>
        <w:jc w:val="center"/>
      </w:pPr>
      <w:r>
        <w:rPr>
          <w:rFonts w:ascii="Times New Roman" w:cs="Times New Roman" w:eastAsia="Times New Roman" w:hAnsi="Times New Roman"/>
          <w:b/>
          <w:bCs/>
          <w:sz w:val="22"/>
          <w:szCs w:val="22"/>
        </w:rPr>
        <w:t xml:space="preserve">Table 3. Learned vs. Literature-Based Purpose Weights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600"/>
        <w:gridCol w:w="1400"/>
        <w:gridCol w:w="140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Purpose</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Weight Source</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Accuracy</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Completeness</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Fluency</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Prosodic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Travel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Learned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0.457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0.206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Travel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Preset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0.400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0.100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Business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Learned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0.503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0.058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0.140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Business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Preset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0.400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0.100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Academic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Learned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0.270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0.400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Academic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Preset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0.300</w:t>
            </w:r>
          </w:p>
        </w:tc>
      </w:tr>
    </w:tbl>
    <w:p>
      <w:pPr>
        <w:spacing w:after="80"/>
      </w:pPr>
      <w:r>
        <w:t xml:space="preserve"/>
      </w:r>
    </w:p>
    <w:p>
      <w:pPr>
        <w:pStyle w:val="Heading2"/>
        <w:spacing w:after="120" w:before="240"/>
      </w:pPr>
      <w:r>
        <w:rPr>
          <w:rFonts w:ascii="Times New Roman" w:cs="Times New Roman" w:eastAsia="Times New Roman" w:hAnsi="Times New Roman"/>
          <w:b/>
          <w:bCs/>
          <w:sz w:val="26"/>
          <w:szCs w:val="26"/>
        </w:rPr>
        <w:t xml:space="preserve">5.4 Qualitative Analysis: Purpose-Driven Score Divergence</w:t>
      </w:r>
    </w:p>
    <w:p>
      <w:pPr>
        <w:spacing w:after="160" w:line="360"/>
        <w:jc w:val="both"/>
      </w:pPr>
      <w:r>
        <w:rPr>
          <w:rFonts w:ascii="Times New Roman" w:cs="Times New Roman" w:eastAsia="Times New Roman" w:hAnsi="Times New Roman"/>
          <w:sz w:val="24"/>
          <w:szCs w:val="24"/>
        </w:rPr>
        <w:t xml:space="preserve">To illustrate the practical impact of purpose conditioning, Table 4 shows inference results for two representative learners with contrasting skill profiles. Learner A (pronunciation-strong: accuracy=9.0, completeness=6.0) receives a travel score of 8.32 but only 6.74 for business, reflecting the lower weight on completeness under business weighting. Learner B (vocabulary-strong: accuracy=6.0, completeness=9.5) receives the inverse pattern, with a higher business score (7.47) than travel score (6.79). The maximum within-learner purpose gap reaches 1.67 points, representing a meaningful diagnostic difference that a single absolute score would obscure.</w:t>
      </w:r>
    </w:p>
    <w:p>
      <w:pPr>
        <w:spacing w:after="80"/>
      </w:pPr>
      <w:r>
        <w:t xml:space="preserve"/>
      </w:r>
    </w:p>
    <w:p>
      <w:pPr>
        <w:spacing w:after="120"/>
        <w:jc w:val="center"/>
      </w:pPr>
      <w:r>
        <w:rPr>
          <w:rFonts w:ascii="Times New Roman" w:cs="Times New Roman" w:eastAsia="Times New Roman" w:hAnsi="Times New Roman"/>
          <w:b/>
          <w:bCs/>
          <w:sz w:val="22"/>
          <w:szCs w:val="22"/>
        </w:rPr>
        <w:t xml:space="preserve">Table 4. Qualitative Analysis: Purpose Score Divergence</w:t>
      </w:r>
    </w:p>
    <w:tbl>
      <w:tblPr>
        <w:tblW w:type="dxa" w:w="875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1700"/>
        <w:gridCol w:w="85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Learner Profile</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Travel Score</w:t>
            </w:r>
          </w:p>
        </w:tc>
        <w:tc>
          <w:tcPr>
            <w:tcW w:type="dxa" w:w="1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Business Score</w:t>
            </w:r>
          </w:p>
        </w:tc>
        <w:tc>
          <w:tcPr>
            <w:tcW w:type="dxa" w:w="1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Academic Score</w:t>
            </w:r>
          </w:p>
        </w:tc>
        <w:tc>
          <w:tcPr>
            <w:tcW w:type="dxa" w:w="85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Gap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Learner A (pronunciation-strong)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8.32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6.74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7.27</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1.58</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Learner B (vocabulary-strong)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6.79</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7.47</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7.39</w:t>
            </w:r>
          </w:p>
        </w:tc>
        <w:tc>
          <w:tcPr>
            <w:tcW w:type="dxa" w:w="8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0.68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Learner C (balanced)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7.69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7.06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7.49</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0.63</w:t>
            </w:r>
          </w:p>
        </w:tc>
      </w:tr>
    </w:tbl>
    <w:p>
      <w:pPr>
        <w:spacing w:after="80"/>
      </w:pPr>
      <w:r>
        <w:t xml:space="preserve"/>
      </w:r>
    </w:p>
    <w:p>
      <w:pPr>
        <w:spacing w:after="80"/>
      </w:pPr>
      <w:r>
        <w:t xml:space="preserve"/>
      </w:r>
    </w:p>
    <w:p>
      <w:pPr>
        <w:pStyle w:val="Heading1"/>
        <w:spacing w:after="160" w:before="320"/>
      </w:pPr>
      <w:r>
        <w:rPr>
          <w:rFonts w:ascii="Times New Roman" w:cs="Times New Roman" w:eastAsia="Times New Roman" w:hAnsi="Times New Roman"/>
          <w:b/>
          <w:bCs/>
          <w:sz w:val="28"/>
          <w:szCs w:val="28"/>
        </w:rPr>
        <w:t xml:space="preserve">6. Limitations and Future Work</w:t>
      </w:r>
    </w:p>
    <w:p>
      <w:pPr>
        <w:spacing w:after="160" w:line="360"/>
        <w:jc w:val="both"/>
      </w:pPr>
      <w:r>
        <w:rPr>
          <w:rFonts w:ascii="Times New Roman" w:cs="Times New Roman" w:eastAsia="Times New Roman" w:hAnsi="Times New Roman"/>
          <w:sz w:val="24"/>
          <w:szCs w:val="24"/>
        </w:rPr>
        <w:t xml:space="preserve">Several limitations of the current work merit discussion. First, the goal_score targets used for training are derived from purpose-specific linear combinations of expert-annotated features rather than from actual learner self-reports or human-judged purpose-aligned scores. While this approach enables scalable training without additional annotation, future work should validate purpose weights through expert surveys or human judgments from purpose-specific raters. Second, the Speechocean762 dataset contains exclusively Mandarin-speaking learners, limiting cross-lingual generalizability. Third, the completeness feature shows distributional bias (mean=9.98/10), reducing the model's ability to learn meaningful business-purpose weights. Collecting or constructing a purpose-labeled corpus with balanced feature distributions remains an important direction.</w:t>
      </w:r>
    </w:p>
    <w:p>
      <w:pPr>
        <w:spacing w:after="160" w:line="360"/>
        <w:jc w:val="both"/>
      </w:pPr>
      <w:r>
        <w:rPr>
          <w:rFonts w:ascii="Times New Roman" w:cs="Times New Roman" w:eastAsia="Times New Roman" w:hAnsi="Times New Roman"/>
          <w:sz w:val="24"/>
          <w:szCs w:val="24"/>
        </w:rPr>
        <w:t xml:space="preserve">Future work will explore: (1) end-to-end audio-to-score training replacing hand-crafted features with raw audio encoders; (2) incorporating Contrastive Learning to learn purpose-conditioned representations without explicit target labels; (3) user study evaluation to validate whether purpose-conditioned feedback improves learning motivation and outcomes; and (4) extension to multi-turn conversational assessment.</w:t>
      </w:r>
    </w:p>
    <w:p>
      <w:pPr>
        <w:spacing w:after="80"/>
      </w:pPr>
      <w:r>
        <w:t xml:space="preserve"/>
      </w:r>
    </w:p>
    <w:p>
      <w:pPr>
        <w:pStyle w:val="Heading1"/>
        <w:spacing w:after="160" w:before="320"/>
      </w:pPr>
      <w:r>
        <w:rPr>
          <w:rFonts w:ascii="Times New Roman" w:cs="Times New Roman" w:eastAsia="Times New Roman" w:hAnsi="Times New Roman"/>
          <w:b/>
          <w:bCs/>
          <w:sz w:val="28"/>
          <w:szCs w:val="28"/>
        </w:rPr>
        <w:t xml:space="preserve">7. Conclusion</w:t>
      </w:r>
    </w:p>
    <w:p>
      <w:pPr>
        <w:spacing w:after="160" w:line="360"/>
        <w:jc w:val="both"/>
      </w:pPr>
      <w:r>
        <w:rPr>
          <w:rFonts w:ascii="Times New Roman" w:cs="Times New Roman" w:eastAsia="Times New Roman" w:hAnsi="Times New Roman"/>
          <w:sz w:val="24"/>
          <w:szCs w:val="24"/>
        </w:rPr>
        <w:t xml:space="preserve">We presented PCDH, the first purpose-conditioned dual-head model for automated English language proficiency assessment. By conditioning the scoring mechanism on the learner's explicitly stated learning goal, our model produces both purpose-specific scores and absolute CEFR levels in a single inference pass. The learnable PurposeWeightGenerator discovers feature importance patterns consistent with language education theory without manual specification. Comprehensive experiments on Speechocean762 demonstrate substantial improvements over all baselines (PCC: +0.031 vs. Ridge, +0.040 vs. Single-Head MLP), with ablation studies confirming the contribution of each proposed component. We release all code at: https://github.com/jangy3079-oss/goal-aware-proficiency</w:t>
      </w:r>
    </w:p>
    <w:p>
      <w:pPr>
        <w:spacing w:after="80"/>
      </w:pPr>
      <w:r>
        <w:t xml:space="preserve"/>
      </w:r>
    </w:p>
    <w:p>
      <w:pPr>
        <w:pStyle w:val="Heading1"/>
        <w:spacing w:after="160" w:before="320"/>
      </w:pPr>
      <w:r>
        <w:rPr>
          <w:rFonts w:ascii="Times New Roman" w:cs="Times New Roman" w:eastAsia="Times New Roman" w:hAnsi="Times New Roman"/>
          <w:b/>
          <w:bCs/>
          <w:sz w:val="28"/>
          <w:szCs w:val="28"/>
        </w:rPr>
        <w:t xml:space="preserve">References</w:t>
      </w:r>
    </w:p>
    <w:p>
      <w:pPr>
        <w:spacing w:after="160" w:line="360"/>
        <w:jc w:val="both"/>
      </w:pPr>
      <w:r>
        <w:rPr>
          <w:rFonts w:ascii="Times New Roman" w:cs="Times New Roman" w:eastAsia="Times New Roman" w:hAnsi="Times New Roman"/>
          <w:sz w:val="24"/>
          <w:szCs w:val="24"/>
        </w:rPr>
        <w:t xml:space="preserve">Bamdev, P., Grover, M. S., Singla, Y. K., Vafaee, P., Hama, M., &amp; Shah, R. R. (2023). Automated speech scoring system under the lens: Evaluating and interpreting the linguistic cues for language proficiency. International Journal of Artificial Intelligence in Education, 33(1), 119-154.</w:t>
      </w:r>
    </w:p>
    <w:p>
      <w:pPr>
        <w:spacing w:after="160" w:line="360"/>
        <w:jc w:val="both"/>
      </w:pPr>
      <w:r>
        <w:rPr>
          <w:rFonts w:ascii="Times New Roman" w:cs="Times New Roman" w:eastAsia="Times New Roman" w:hAnsi="Times New Roman"/>
          <w:sz w:val="24"/>
          <w:szCs w:val="24"/>
        </w:rPr>
        <w:t xml:space="preserve">Cardwell, S., et al. (2024). Developing an automatic pronunciation scorer: Aligning speech evaluation models and applied linguistics constructs. Language Learning, 75(1).</w:t>
      </w:r>
    </w:p>
    <w:p>
      <w:pPr>
        <w:spacing w:after="160" w:line="360"/>
        <w:jc w:val="both"/>
      </w:pPr>
      <w:r>
        <w:rPr>
          <w:rFonts w:ascii="Times New Roman" w:cs="Times New Roman" w:eastAsia="Times New Roman" w:hAnsi="Times New Roman"/>
          <w:sz w:val="24"/>
          <w:szCs w:val="24"/>
        </w:rPr>
        <w:t xml:space="preserve">Chen, Y. W., Yu, Z., &amp; Hirschberg, J. (2023). MultiPA: A multi-task speech pronunciation assessment system for a closed and open response scenario. arXiv:2308.12490.</w:t>
      </w:r>
    </w:p>
    <w:p>
      <w:pPr>
        <w:spacing w:after="160" w:line="360"/>
        <w:jc w:val="both"/>
      </w:pPr>
      <w:r>
        <w:rPr>
          <w:rFonts w:ascii="Times New Roman" w:cs="Times New Roman" w:eastAsia="Times New Roman" w:hAnsi="Times New Roman"/>
          <w:sz w:val="24"/>
          <w:szCs w:val="24"/>
        </w:rPr>
        <w:t xml:space="preserve">Gong, Y., Chen, Z., Chu, I. H., Chang, P., &amp; Glass, J. (2022). Transformer-based multi-aspect multi-granularity non-native English speaker pronunciation assessment. ICASSP 2022, 7262-7266.</w:t>
      </w:r>
    </w:p>
    <w:p>
      <w:pPr>
        <w:spacing w:after="160" w:line="360"/>
        <w:jc w:val="both"/>
      </w:pPr>
      <w:r>
        <w:rPr>
          <w:rFonts w:ascii="Times New Roman" w:cs="Times New Roman" w:eastAsia="Times New Roman" w:hAnsi="Times New Roman"/>
          <w:sz w:val="24"/>
          <w:szCs w:val="24"/>
        </w:rPr>
        <w:t xml:space="preserve">Imperial, J. M., &amp; Kochmar, E. (2023). Automatic readability assessment for closely related languages. Findings of ACL 2023, 5371-5386.</w:t>
      </w:r>
    </w:p>
    <w:p>
      <w:pPr>
        <w:spacing w:after="160" w:line="360"/>
        <w:jc w:val="both"/>
      </w:pPr>
      <w:r>
        <w:rPr>
          <w:rFonts w:ascii="Times New Roman" w:cs="Times New Roman" w:eastAsia="Times New Roman" w:hAnsi="Times New Roman"/>
          <w:sz w:val="24"/>
          <w:szCs w:val="24"/>
        </w:rPr>
        <w:t xml:space="preserve">Kendall, A., Gal, Y., &amp; Cipolla, R. (2018). Multi-task learning using uncertainty to weigh losses for scene geometry and semantics. CVPR 2018, 7482-7491.</w:t>
      </w:r>
    </w:p>
    <w:p>
      <w:pPr>
        <w:spacing w:after="160" w:line="360"/>
        <w:jc w:val="both"/>
      </w:pPr>
      <w:r>
        <w:rPr>
          <w:rFonts w:ascii="Times New Roman" w:cs="Times New Roman" w:eastAsia="Times New Roman" w:hAnsi="Times New Roman"/>
          <w:sz w:val="24"/>
          <w:szCs w:val="24"/>
        </w:rPr>
        <w:t xml:space="preserve">Kim, E., Jeon, J. J., Seo, H., &amp; Kim, H. (2022). Automatic pronunciation assessment using self-supervised speech representation learning. Proc. Interspeech 2022, 1411-1415.</w:t>
      </w:r>
    </w:p>
    <w:p>
      <w:pPr>
        <w:spacing w:after="160" w:line="360"/>
        <w:jc w:val="both"/>
      </w:pPr>
      <w:r>
        <w:rPr>
          <w:rFonts w:ascii="Times New Roman" w:cs="Times New Roman" w:eastAsia="Times New Roman" w:hAnsi="Times New Roman"/>
          <w:sz w:val="24"/>
          <w:szCs w:val="24"/>
        </w:rPr>
        <w:t xml:space="preserve">Ma, R., Bannò, S., Qian, M., Tang, S., Knill, K., &amp; Gales, M. (2025). Assessment of L2 oral proficiency using speech large language models. arXiv:2505.21148.</w:t>
      </w:r>
    </w:p>
    <w:p>
      <w:pPr>
        <w:spacing w:after="160" w:line="360"/>
        <w:jc w:val="both"/>
      </w:pPr>
      <w:r>
        <w:rPr>
          <w:rFonts w:ascii="Times New Roman" w:cs="Times New Roman" w:eastAsia="Times New Roman" w:hAnsi="Times New Roman"/>
          <w:sz w:val="24"/>
          <w:szCs w:val="24"/>
        </w:rPr>
        <w:t xml:space="preserve">Radford, A., Kim, J. W., Xu, T., Brockman, G., McLeavey, C., &amp; Sutskever, I. (2023). Robust speech recognition via large-scale weak supervision. ICML 2023.</w:t>
      </w:r>
    </w:p>
    <w:p>
      <w:pPr>
        <w:spacing w:after="160" w:line="360"/>
        <w:jc w:val="both"/>
      </w:pPr>
      <w:r>
        <w:rPr>
          <w:rFonts w:ascii="Times New Roman" w:cs="Times New Roman" w:eastAsia="Times New Roman" w:hAnsi="Times New Roman"/>
          <w:sz w:val="24"/>
          <w:szCs w:val="24"/>
        </w:rPr>
        <w:t xml:space="preserve">Zhang, J., et al. (2021). speechocean762: An open-source non-native English speech corpus for pronunciation assessment. Proc. Interspeech 2021.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2026-04-20T07:07:21.439Z</dcterms:created>
  <dcterms:modified xsi:type="dcterms:W3CDTF">2026-04-20T07:07:21.442Z</dcterms:modified>
</cp:coreProperties>
</file>

<file path=docProps/custom.xml><?xml version="1.0" encoding="utf-8"?>
<Properties xmlns="http://schemas.openxmlformats.org/officeDocument/2006/custom-properties" xmlns:vt="http://schemas.openxmlformats.org/officeDocument/2006/docPropsVTypes"/>
</file>