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Nanum Gothic" w:hAnsi="Nanum Gothic" w:eastAsia="Nanum Gothic"/>
          <w:b/>
          <w:color w:val="7A3E2E"/>
          <w:sz w:val="36"/>
        </w:rPr>
        <w:t>ERD 주요 테이블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900"/>
            <w:tcW w:w="1900" w:type="dxa"/>
            <w:tcMar>
              <w:top w:w="110" w:type="dxa"/>
              <w:start w:w="120" w:type="dxa"/>
              <w:bottom w:w="110" w:type="dxa"/>
              <w:end w:w="120" w:type="dxa"/>
            </w:tcMar>
            <w:shd w:fill="F4EEE8"/>
            <w:vAlign w:val="center"/>
          </w:tcPr>
          <w:p>
            <w:pPr>
              <w:spacing w:after="0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2"/>
              </w:rPr>
              <w:t>테이블명</w:t>
            </w:r>
          </w:p>
        </w:tc>
        <w:tc>
          <w:tcPr>
            <w:tcW w:type="dxa" w:w="3850"/>
            <w:tcW w:w="3850" w:type="dxa"/>
            <w:tcMar>
              <w:top w:w="110" w:type="dxa"/>
              <w:start w:w="120" w:type="dxa"/>
              <w:bottom w:w="110" w:type="dxa"/>
              <w:end w:w="120" w:type="dxa"/>
            </w:tcMar>
            <w:shd w:fill="F4EEE8"/>
            <w:vAlign w:val="center"/>
          </w:tcPr>
          <w:p>
            <w:pPr>
              <w:spacing w:after="0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2"/>
              </w:rPr>
              <w:t>주요 컬럼</w:t>
            </w:r>
          </w:p>
        </w:tc>
        <w:tc>
          <w:tcPr>
            <w:tcW w:type="dxa" w:w="2600"/>
            <w:tcW w:w="2600" w:type="dxa"/>
            <w:tcMar>
              <w:top w:w="110" w:type="dxa"/>
              <w:start w:w="120" w:type="dxa"/>
              <w:bottom w:w="110" w:type="dxa"/>
              <w:end w:w="120" w:type="dxa"/>
            </w:tcMar>
            <w:shd w:fill="F4EEE8"/>
            <w:vAlign w:val="center"/>
          </w:tcPr>
          <w:p>
            <w:pPr>
              <w:spacing w:after="0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2"/>
              </w:rPr>
              <w:t>관계 (Relation)</w:t>
            </w:r>
          </w:p>
        </w:tc>
        <w:tc>
          <w:tcPr>
            <w:tcW w:type="dxa" w:w="3100"/>
            <w:tcW w:w="3100" w:type="dxa"/>
            <w:tcMar>
              <w:top w:w="110" w:type="dxa"/>
              <w:start w:w="120" w:type="dxa"/>
              <w:bottom w:w="110" w:type="dxa"/>
              <w:end w:w="120" w:type="dxa"/>
            </w:tcMar>
            <w:shd w:fill="F4EEE8"/>
            <w:vAlign w:val="center"/>
          </w:tcPr>
          <w:p>
            <w:pPr>
              <w:spacing w:after="0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2"/>
              </w:rPr>
              <w:t>설명</w:t>
            </w:r>
          </w:p>
        </w:tc>
      </w:tr>
      <w:tr>
        <w:tc>
          <w:tcPr>
            <w:tcW w:type="dxa" w:w="1900"/>
            <w:tcW w:w="19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1"/>
              </w:rPr>
              <w:t>experiences</w:t>
            </w:r>
          </w:p>
        </w:tc>
        <w:tc>
          <w:tcPr>
            <w:tcW w:type="dxa" w:w="3850"/>
            <w:tcW w:w="385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id, user_id, title, category,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situation, task, action, result,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ai_task_id</w:t>
            </w:r>
          </w:p>
        </w:tc>
        <w:tc>
          <w:tcPr>
            <w:tcW w:type="dxa" w:w="2600"/>
            <w:tcW w:w="26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users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ai_tasks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N:M → competencies</w:t>
            </w:r>
          </w:p>
        </w:tc>
        <w:tc>
          <w:tcPr>
            <w:tcW w:type="dxa" w:w="3100"/>
            <w:tcW w:w="31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사용자의 프로젝트·활동 경험을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STAR 구조로 저장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AI 추출 경험 여부와 경험 역량을 관리</w:t>
            </w:r>
          </w:p>
        </w:tc>
      </w:tr>
      <w:tr>
        <w:tc>
          <w:tcPr>
            <w:tcW w:type="dxa" w:w="1900"/>
            <w:tcW w:w="19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1"/>
              </w:rPr>
              <w:t>job_postings</w:t>
            </w:r>
          </w:p>
        </w:tc>
        <w:tc>
          <w:tcPr>
            <w:tcW w:type="dxa" w:w="3850"/>
            <w:tcW w:w="385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id, company_id, position, content,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source_url, deadline, status,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analyzed_at</w:t>
            </w:r>
          </w:p>
        </w:tc>
        <w:tc>
          <w:tcPr>
            <w:tcW w:type="dxa" w:w="2600"/>
            <w:tcW w:w="26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companies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1:N → job_posting_questions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N:M → competencies</w:t>
            </w:r>
          </w:p>
        </w:tc>
        <w:tc>
          <w:tcPr>
            <w:tcW w:type="dxa" w:w="3100"/>
            <w:tcW w:w="31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회사별 채용공고 원문과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직무·마감일·상태를 저장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AI 공고 분석 완료 여부를 관리</w:t>
            </w:r>
          </w:p>
        </w:tc>
      </w:tr>
      <w:tr>
        <w:tc>
          <w:tcPr>
            <w:tcW w:type="dxa" w:w="1900"/>
            <w:tcW w:w="19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1"/>
              </w:rPr>
              <w:t>job_matches</w:t>
            </w:r>
          </w:p>
        </w:tc>
        <w:tc>
          <w:tcPr>
            <w:tcW w:type="dxa" w:w="3850"/>
            <w:tcW w:w="385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id, user_id, job_posting_id,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match_score, verdict, covered_count,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coverage, input_hash</w:t>
            </w:r>
          </w:p>
        </w:tc>
        <w:tc>
          <w:tcPr>
            <w:tcW w:type="dxa" w:w="2600"/>
            <w:tcW w:w="26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users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job_postings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관련 AI 작업은 ai_tasks에서 관리</w:t>
            </w:r>
          </w:p>
        </w:tc>
        <w:tc>
          <w:tcPr>
            <w:tcW w:type="dxa" w:w="3100"/>
            <w:tcW w:w="31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사용자 경험과 채용공고의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역량 비교 결과를 저장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매칭 점수·판정·부족 역량을 제공</w:t>
            </w:r>
          </w:p>
        </w:tc>
      </w:tr>
      <w:tr>
        <w:tc>
          <w:tcPr>
            <w:tcW w:type="dxa" w:w="1900"/>
            <w:tcW w:w="19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/>
                <w:color w:val="6B4F3A"/>
                <w:sz w:val="21"/>
              </w:rPr>
              <w:t>ai_tasks</w:t>
            </w:r>
          </w:p>
        </w:tc>
        <w:tc>
          <w:tcPr>
            <w:tcW w:type="dxa" w:w="3850"/>
            <w:tcW w:w="385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id, task_type, status, user_id,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job_posting_id, question_id,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request_payload, result_payload,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model, prompt_version</w:t>
            </w:r>
          </w:p>
        </w:tc>
        <w:tc>
          <w:tcPr>
            <w:tcW w:type="dxa" w:w="2600"/>
            <w:tcW w:w="26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users (선택)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job_postings (선택)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N:1 → questions (선택)</w:t>
            </w:r>
          </w:p>
        </w:tc>
        <w:tc>
          <w:tcPr>
            <w:tcW w:type="dxa" w:w="3100"/>
            <w:tcW w:w="3100" w:type="dxa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공고 분석·경험 추출·매칭·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자소서 초안 생성 작업을 통합 관리</w:t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</w:r>
            <w:r>
              <w:br/>
            </w:r>
            <w:r>
              <w:rPr>
                <w:rFonts w:ascii="Nanum Gothic" w:hAnsi="Nanum Gothic" w:eastAsia="Nanum Gothic"/>
                <w:b w:val="0"/>
                <w:color w:val="6B4F3A"/>
                <w:sz w:val="21"/>
              </w:rPr>
              <w:t>상태·결과·실패·재시도 이력 저장</w:t>
            </w:r>
          </w:p>
        </w:tc>
      </w:tr>
    </w:tbl>
    <w:p/>
    <w:p>
      <w:pPr>
        <w:spacing w:before="160" w:after="0"/>
      </w:pPr>
      <w:r>
        <w:rPr>
          <w:rFonts w:ascii="Nanum Gothic" w:hAnsi="Nanum Gothic" w:eastAsia="Nanum Gothic"/>
          <w:b/>
          <w:color w:val="7A3E2E"/>
          <w:sz w:val="22"/>
        </w:rPr>
        <w:t xml:space="preserve">발표 핵심 흐름: </w:t>
      </w:r>
      <w:r>
        <w:rPr>
          <w:rFonts w:ascii="Nanum Gothic" w:hAnsi="Nanum Gothic" w:eastAsia="Nanum Gothic"/>
          <w:b w:val="0"/>
          <w:color w:val="6B4F3A"/>
          <w:sz w:val="22"/>
        </w:rPr>
        <w:t>experiences + job_postings → ai_tasks → job_matches</w:t>
      </w:r>
    </w:p>
    <w:sectPr w:rsidR="00FC693F" w:rsidRPr="0006063C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