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GRAFI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</w:rPr>
        <w:t>Na spodnjem grafu lahko opazimo spreminjanje kineti</w:t>
      </w:r>
      <w:r>
        <w:rPr>
          <w:rFonts w:hAnsi="Helvetica" w:hint="default"/>
          <w:b w:val="0"/>
          <w:bCs w:val="0"/>
          <w:rtl w:val="0"/>
        </w:rPr>
        <w:t>č</w:t>
      </w:r>
      <w:r>
        <w:rPr>
          <w:b w:val="0"/>
          <w:bCs w:val="0"/>
          <w:rtl w:val="0"/>
        </w:rPr>
        <w:t>ne energije (rde</w:t>
      </w:r>
      <w:r>
        <w:rPr>
          <w:rFonts w:hAnsi="Helvetica" w:hint="default"/>
          <w:b w:val="0"/>
          <w:bCs w:val="0"/>
          <w:rtl w:val="0"/>
        </w:rPr>
        <w:t>č</w:t>
      </w:r>
      <w:r>
        <w:rPr>
          <w:b w:val="0"/>
          <w:bCs w:val="0"/>
          <w:rtl w:val="0"/>
        </w:rPr>
        <w:t>i graf) in nihajne energije (modri graf) na primeru velikem 100000 iteracij.</w:t>
      </w:r>
    </w:p>
    <w:p>
      <w:pPr>
        <w:pStyle w:val="Body"/>
        <w:rPr>
          <w:b w:val="1"/>
          <w:bCs w:val="1"/>
        </w:rPr>
      </w:pPr>
      <w:r>
        <w:rPr>
          <w:b w:val="0"/>
          <w:bCs w:val="0"/>
        </w:rPr>
        <w:tab/>
      </w:r>
      <w:r>
        <w:rPr>
          <w:b w:val="1"/>
          <w:b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-328247</wp:posOffset>
            </wp:positionH>
            <wp:positionV relativeFrom="line">
              <wp:posOffset>191859</wp:posOffset>
            </wp:positionV>
            <wp:extent cx="6763852" cy="507288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raf1 (robovi fiksni, euler)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852" cy="5072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Na spodnjem grafu je prikazana 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asovna zahtevnost iteracij na primeru velikem 10000 iteracij za vse tri uporabljene metode. Eulerjeva metoda (rde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a) je v za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 xml:space="preserve">etnih iteracijah, kot tudi v nadalnjih, 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asovno najzaht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-646519</wp:posOffset>
            </wp:positionH>
            <wp:positionV relativeFrom="page">
              <wp:posOffset>1793910</wp:posOffset>
            </wp:positionV>
            <wp:extent cx="8599097" cy="522849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grafCas.jp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9097" cy="5228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>evnej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a metoda med tremi, medtem ko sta si RK4 in Leapfrog po zahtevnosti enakovredni, le da pri metodi Leapfrog kriti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ne odseke algoritem najzahtevnej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e iteracije pora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una nekoliko prej kot RK4.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REZULTATI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Program smo testirali na razli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nih nastavitvah. Mo</w:t>
      </w:r>
      <w:r>
        <w:rPr>
          <w:rFonts w:ascii="Arial Unicode MS" w:cs="Arial Unicode MS" w:hAnsi="Helvetica" w:eastAsia="Arial Unicode MS" w:hint="default"/>
          <w:rtl w:val="0"/>
        </w:rPr>
        <w:t>ž</w:t>
      </w:r>
      <w:r>
        <w:rPr>
          <w:rFonts w:ascii="Helvetica" w:cs="Arial Unicode MS" w:hAnsi="Arial Unicode MS" w:eastAsia="Arial Unicode MS"/>
          <w:rtl w:val="0"/>
        </w:rPr>
        <w:t>no je nastaviti dva razli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na na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ina obravnave robov, da so robovi fiksni ali pa dinami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ni in se spreminjajo po vzoru vode v bazenu. Mo</w:t>
      </w:r>
      <w:r>
        <w:rPr>
          <w:rFonts w:ascii="Arial Unicode MS" w:cs="Arial Unicode MS" w:hAnsi="Helvetica" w:eastAsia="Arial Unicode MS" w:hint="default"/>
          <w:rtl w:val="0"/>
        </w:rPr>
        <w:t>ž</w:t>
      </w:r>
      <w:r>
        <w:rPr>
          <w:rFonts w:ascii="Helvetica" w:cs="Arial Unicode MS" w:hAnsi="Arial Unicode MS" w:eastAsia="Arial Unicode MS"/>
          <w:rtl w:val="0"/>
        </w:rPr>
        <w:t>no je nastavljati tudi okolico, kjer lahko nastavimo razli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ne konfiguracije prednastavljenih matrik ute</w:t>
      </w:r>
      <w:r>
        <w:rPr>
          <w:rFonts w:ascii="Arial Unicode MS" w:cs="Arial Unicode MS" w:hAnsi="Helvetica" w:eastAsia="Arial Unicode MS" w:hint="default"/>
          <w:rtl w:val="0"/>
        </w:rPr>
        <w:t>ž</w:t>
      </w:r>
      <w:r>
        <w:rPr>
          <w:rFonts w:ascii="Helvetica" w:cs="Arial Unicode MS" w:hAnsi="Arial Unicode MS" w:eastAsia="Arial Unicode MS"/>
          <w:rtl w:val="0"/>
        </w:rPr>
        <w:t>i, ki kasneje delujejo kot stati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ne to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ke v na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i matriki. Nastaviti pa je mo</w:t>
      </w:r>
      <w:r>
        <w:rPr>
          <w:rFonts w:ascii="Arial Unicode MS" w:cs="Arial Unicode MS" w:hAnsi="Helvetica" w:eastAsia="Arial Unicode MS" w:hint="default"/>
          <w:rtl w:val="0"/>
        </w:rPr>
        <w:t>ž</w:t>
      </w:r>
      <w:r>
        <w:rPr>
          <w:rFonts w:ascii="Helvetica" w:cs="Arial Unicode MS" w:hAnsi="Arial Unicode MS" w:eastAsia="Arial Unicode MS"/>
          <w:rtl w:val="0"/>
        </w:rPr>
        <w:t xml:space="preserve">no tudi nekaj </w:t>
      </w:r>
      <w:r>
        <w:rPr>
          <w:rFonts w:ascii="Arial Unicode MS" w:cs="Arial Unicode MS" w:hAnsi="Helvetica" w:eastAsia="Arial Unicode MS" w:hint="default"/>
          <w:rtl w:val="0"/>
        </w:rPr>
        <w:t>ž</w:t>
      </w:r>
      <w:r>
        <w:rPr>
          <w:rFonts w:ascii="Helvetica" w:cs="Arial Unicode MS" w:hAnsi="Arial Unicode MS" w:eastAsia="Arial Unicode MS"/>
          <w:rtl w:val="0"/>
        </w:rPr>
        <w:t>e vnaprej skonfiguriranih za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etnih pogojev. Spodaj pa je predstavljenih nekaj zanimivej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ih rezultatov.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1. Osnovni val s fiksnimi robovi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231555</wp:posOffset>
            </wp:positionV>
            <wp:extent cx="5742355" cy="3555452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21" y="21633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fdsafasfsaf.tiff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55" cy="3555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2. Osnovni val z dinami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nimi robvi.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-67309</wp:posOffset>
            </wp:positionH>
            <wp:positionV relativeFrom="line">
              <wp:posOffset>281102</wp:posOffset>
            </wp:positionV>
            <wp:extent cx="6120057" cy="3671101"/>
            <wp:effectExtent l="0" t="0" r="0" b="0"/>
            <wp:wrapThrough wrapText="bothSides" distL="152400" distR="152400">
              <wp:wrapPolygon edited="1">
                <wp:start x="0" y="0"/>
                <wp:lineTo x="0" y="21627"/>
                <wp:lineTo x="21600" y="21627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al s prostimi robovi.tiff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1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3. Valovanje s fiksnimi robovi in dvema stati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nima poljema (ve</w:t>
      </w:r>
      <w:r>
        <w:rPr>
          <w:rFonts w:ascii="Arial Unicode MS" w:cs="Arial Unicode MS" w:hAnsi="Helvetica" w:eastAsia="Arial Unicode MS" w:hint="default"/>
          <w:rtl w:val="0"/>
        </w:rPr>
        <w:t>č</w:t>
      </w:r>
      <w:r>
        <w:rPr>
          <w:rFonts w:ascii="Helvetica" w:cs="Arial Unicode MS" w:hAnsi="Arial Unicode MS" w:eastAsia="Arial Unicode MS"/>
          <w:rtl w:val="0"/>
        </w:rPr>
        <w:t>jim in manj</w:t>
      </w:r>
      <w:r>
        <w:rPr>
          <w:rFonts w:ascii="Arial Unicode MS" w:cs="Arial Unicode MS" w:hAnsi="Helvetica" w:eastAsia="Arial Unicode MS" w:hint="default"/>
          <w:rtl w:val="0"/>
        </w:rPr>
        <w:t>š</w:t>
      </w:r>
      <w:r>
        <w:rPr>
          <w:rFonts w:ascii="Helvetica" w:cs="Arial Unicode MS" w:hAnsi="Arial Unicode MS" w:eastAsia="Arial Unicode MS"/>
          <w:rtl w:val="0"/>
        </w:rPr>
        <w:t>im otokom).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4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537120</wp:posOffset>
            </wp:positionH>
            <wp:positionV relativeFrom="page">
              <wp:posOffset>1072853</wp:posOffset>
            </wp:positionV>
            <wp:extent cx="6120057" cy="3844586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21" y="21624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dsfdsafdsfds.tiff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44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429080</wp:posOffset>
            </wp:positionH>
            <wp:positionV relativeFrom="page">
              <wp:posOffset>5745383</wp:posOffset>
            </wp:positionV>
            <wp:extent cx="6336137" cy="3759441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00" y="21615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ve luknji interferenca.tiff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137" cy="3759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>. Valovanje skozi zid z dvema luknjama kjer prihaja do uklona in interference valov.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image" Target="media/image3.tif"/><Relationship Id="rId9" Type="http://schemas.openxmlformats.org/officeDocument/2006/relationships/image" Target="media/image4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