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61" w:lineRule="auto"/>
      </w:pPr>
      <w:r>
        <w:rPr>
          <w:color w:val="1F4D79"/>
        </w:rPr>
        <w:t>GLP-1</w:t>
      </w:r>
      <w:r>
        <w:rPr>
          <w:color w:val="1F4D79"/>
          <w:spacing w:val="-5"/>
        </w:rPr>
        <w:t> </w:t>
      </w:r>
      <w:r>
        <w:rPr>
          <w:color w:val="1F4D79"/>
        </w:rPr>
        <w:t>Receptor</w:t>
      </w:r>
      <w:r>
        <w:rPr>
          <w:color w:val="1F4D79"/>
          <w:spacing w:val="-5"/>
        </w:rPr>
        <w:t> </w:t>
      </w:r>
      <w:r>
        <w:rPr>
          <w:color w:val="1F4D79"/>
        </w:rPr>
        <w:t>Agonists</w:t>
      </w:r>
      <w:r>
        <w:rPr>
          <w:color w:val="1F4D79"/>
          <w:spacing w:val="-5"/>
        </w:rPr>
        <w:t> </w:t>
      </w:r>
      <w:r>
        <w:rPr>
          <w:color w:val="1F4D79"/>
        </w:rPr>
        <w:t>for</w:t>
      </w:r>
      <w:r>
        <w:rPr>
          <w:color w:val="1F4D79"/>
          <w:spacing w:val="-5"/>
        </w:rPr>
        <w:t> </w:t>
      </w:r>
      <w:r>
        <w:rPr>
          <w:color w:val="1F4D79"/>
        </w:rPr>
        <w:t>Obesity:</w:t>
      </w:r>
      <w:r>
        <w:rPr>
          <w:color w:val="1F4D79"/>
          <w:spacing w:val="-5"/>
        </w:rPr>
        <w:t> </w:t>
      </w:r>
      <w:r>
        <w:rPr>
          <w:color w:val="1F4D79"/>
        </w:rPr>
        <w:t>A</w:t>
      </w:r>
      <w:r>
        <w:rPr>
          <w:color w:val="1F4D79"/>
          <w:spacing w:val="-5"/>
        </w:rPr>
        <w:t> </w:t>
      </w:r>
      <w:r>
        <w:rPr>
          <w:color w:val="1F4D79"/>
        </w:rPr>
        <w:t>Medical</w:t>
      </w:r>
      <w:r>
        <w:rPr>
          <w:color w:val="1F4D79"/>
          <w:spacing w:val="-5"/>
        </w:rPr>
        <w:t> </w:t>
      </w:r>
      <w:r>
        <w:rPr>
          <w:color w:val="1F4D79"/>
        </w:rPr>
        <w:t>Breakthrough or an Incomplete Solution?</w:t>
      </w:r>
    </w:p>
    <w:p>
      <w:pPr>
        <w:spacing w:line="439" w:lineRule="auto" w:before="150"/>
        <w:ind w:left="452" w:right="449" w:firstLine="0"/>
        <w:jc w:val="center"/>
        <w:rPr>
          <w:rFonts w:ascii="Arial"/>
          <w:i/>
          <w:sz w:val="20"/>
        </w:rPr>
      </w:pPr>
      <w:r>
        <w:rPr>
          <w:rFonts w:ascii="Arial"/>
          <w:i/>
          <w:color w:val="545454"/>
          <w:sz w:val="20"/>
        </w:rPr>
        <w:t>A</w:t>
      </w:r>
      <w:r>
        <w:rPr>
          <w:rFonts w:ascii="Arial"/>
          <w:i/>
          <w:color w:val="545454"/>
          <w:spacing w:val="-4"/>
          <w:sz w:val="20"/>
        </w:rPr>
        <w:t> </w:t>
      </w:r>
      <w:r>
        <w:rPr>
          <w:rFonts w:ascii="Arial"/>
          <w:i/>
          <w:color w:val="545454"/>
          <w:sz w:val="20"/>
        </w:rPr>
        <w:t>Scientific</w:t>
      </w:r>
      <w:r>
        <w:rPr>
          <w:rFonts w:ascii="Arial"/>
          <w:i/>
          <w:color w:val="545454"/>
          <w:spacing w:val="-4"/>
          <w:sz w:val="20"/>
        </w:rPr>
        <w:t> </w:t>
      </w:r>
      <w:r>
        <w:rPr>
          <w:rFonts w:ascii="Arial"/>
          <w:i/>
          <w:color w:val="545454"/>
          <w:sz w:val="20"/>
        </w:rPr>
        <w:t>Editorial</w:t>
      </w:r>
      <w:r>
        <w:rPr>
          <w:rFonts w:ascii="Arial"/>
          <w:i/>
          <w:color w:val="545454"/>
          <w:spacing w:val="-4"/>
          <w:sz w:val="20"/>
        </w:rPr>
        <w:t> </w:t>
      </w:r>
      <w:r>
        <w:rPr>
          <w:rFonts w:ascii="Arial"/>
          <w:i/>
          <w:color w:val="545454"/>
          <w:sz w:val="20"/>
        </w:rPr>
        <w:t>on</w:t>
      </w:r>
      <w:r>
        <w:rPr>
          <w:rFonts w:ascii="Arial"/>
          <w:i/>
          <w:color w:val="545454"/>
          <w:spacing w:val="-4"/>
          <w:sz w:val="20"/>
        </w:rPr>
        <w:t> </w:t>
      </w:r>
      <w:r>
        <w:rPr>
          <w:rFonts w:ascii="Arial"/>
          <w:i/>
          <w:color w:val="545454"/>
          <w:sz w:val="20"/>
        </w:rPr>
        <w:t>Efficacy,</w:t>
      </w:r>
      <w:r>
        <w:rPr>
          <w:rFonts w:ascii="Arial"/>
          <w:i/>
          <w:color w:val="545454"/>
          <w:spacing w:val="-4"/>
          <w:sz w:val="20"/>
        </w:rPr>
        <w:t> </w:t>
      </w:r>
      <w:r>
        <w:rPr>
          <w:rFonts w:ascii="Arial"/>
          <w:i/>
          <w:color w:val="545454"/>
          <w:sz w:val="20"/>
        </w:rPr>
        <w:t>Long-Term</w:t>
      </w:r>
      <w:r>
        <w:rPr>
          <w:rFonts w:ascii="Arial"/>
          <w:i/>
          <w:color w:val="545454"/>
          <w:spacing w:val="-4"/>
          <w:sz w:val="20"/>
        </w:rPr>
        <w:t> </w:t>
      </w:r>
      <w:r>
        <w:rPr>
          <w:rFonts w:ascii="Arial"/>
          <w:i/>
          <w:color w:val="545454"/>
          <w:sz w:val="20"/>
        </w:rPr>
        <w:t>Care,</w:t>
      </w:r>
      <w:r>
        <w:rPr>
          <w:rFonts w:ascii="Arial"/>
          <w:i/>
          <w:color w:val="545454"/>
          <w:spacing w:val="-4"/>
          <w:sz w:val="20"/>
        </w:rPr>
        <w:t> </w:t>
      </w:r>
      <w:r>
        <w:rPr>
          <w:rFonts w:ascii="Arial"/>
          <w:i/>
          <w:color w:val="545454"/>
          <w:sz w:val="20"/>
        </w:rPr>
        <w:t>Evidence</w:t>
      </w:r>
      <w:r>
        <w:rPr>
          <w:rFonts w:ascii="Arial"/>
          <w:i/>
          <w:color w:val="545454"/>
          <w:spacing w:val="-4"/>
          <w:sz w:val="20"/>
        </w:rPr>
        <w:t> </w:t>
      </w:r>
      <w:r>
        <w:rPr>
          <w:rFonts w:ascii="Arial"/>
          <w:i/>
          <w:color w:val="545454"/>
          <w:sz w:val="20"/>
        </w:rPr>
        <w:t>Quality,</w:t>
      </w:r>
      <w:r>
        <w:rPr>
          <w:rFonts w:ascii="Arial"/>
          <w:i/>
          <w:color w:val="545454"/>
          <w:spacing w:val="-4"/>
          <w:sz w:val="20"/>
        </w:rPr>
        <w:t> </w:t>
      </w:r>
      <w:r>
        <w:rPr>
          <w:rFonts w:ascii="Arial"/>
          <w:i/>
          <w:color w:val="545454"/>
          <w:sz w:val="20"/>
        </w:rPr>
        <w:t>and</w:t>
      </w:r>
      <w:r>
        <w:rPr>
          <w:rFonts w:ascii="Arial"/>
          <w:i/>
          <w:color w:val="545454"/>
          <w:spacing w:val="-4"/>
          <w:sz w:val="20"/>
        </w:rPr>
        <w:t> </w:t>
      </w:r>
      <w:r>
        <w:rPr>
          <w:rFonts w:ascii="Arial"/>
          <w:i/>
          <w:color w:val="545454"/>
          <w:sz w:val="20"/>
        </w:rPr>
        <w:t>Equitable</w:t>
      </w:r>
      <w:r>
        <w:rPr>
          <w:rFonts w:ascii="Arial"/>
          <w:i/>
          <w:color w:val="545454"/>
          <w:spacing w:val="-4"/>
          <w:sz w:val="20"/>
        </w:rPr>
        <w:t> </w:t>
      </w:r>
      <w:r>
        <w:rPr>
          <w:rFonts w:ascii="Arial"/>
          <w:i/>
          <w:color w:val="545454"/>
          <w:sz w:val="20"/>
        </w:rPr>
        <w:t>Access Scientific Editorial | Week 4 Medical Writing Assignment</w:t>
      </w:r>
    </w:p>
    <w:p>
      <w:pPr>
        <w:pStyle w:val="BodyText"/>
        <w:spacing w:before="132"/>
        <w:ind w:left="0" w:right="0"/>
        <w:jc w:val="left"/>
        <w:rPr>
          <w:rFonts w:ascii="Arial"/>
          <w:i/>
          <w:sz w:val="20"/>
        </w:rPr>
      </w:pPr>
    </w:p>
    <w:p>
      <w:pPr>
        <w:pStyle w:val="Heading2"/>
        <w:spacing w:before="0"/>
      </w:pPr>
      <w:r>
        <w:rPr>
          <w:color w:val="1F4D79"/>
          <w:spacing w:val="-2"/>
        </w:rPr>
        <w:t>Introduction</w:t>
      </w:r>
    </w:p>
    <w:p>
      <w:pPr>
        <w:pStyle w:val="BodyText"/>
        <w:spacing w:line="278" w:lineRule="auto"/>
      </w:pPr>
      <w:r>
        <w:rPr/>
        <w:t>Obesity is a complex, chronic disease shaped by biological, behavioural, environmental, and social factors. </w:t>
      </w:r>
      <w:r>
        <w:rPr/>
        <w:t>For decades, treatment has often been framed primarily as a matter of personal discipline, despite evidence that appetite regulation, genetics, medications, sleep, stress, food environments, and socioeconomic conditions all influence body weight. Glucagon-like peptide-1 (GLP-1) receptor agonists—and newer dual incretin</w:t>
      </w:r>
      <w:r>
        <w:rPr>
          <w:spacing w:val="80"/>
        </w:rPr>
        <w:t> </w:t>
      </w:r>
      <w:r>
        <w:rPr/>
        <w:t>medicines—have begun to change this landscape. These medicines can produce weight reductions substantially greater than those generally achieved with older pharmacological options, while also improving several cardiometabolic risk factors.</w:t>
      </w:r>
    </w:p>
    <w:p>
      <w:pPr>
        <w:pStyle w:val="BodyText"/>
        <w:spacing w:line="278" w:lineRule="auto"/>
      </w:pPr>
      <w:r>
        <w:rPr/>
        <w:t>Yet enthusiasm has sometimes moved faster than the evidence and the health systems needed to use </w:t>
      </w:r>
      <w:r>
        <w:rPr/>
        <w:t>these therapies responsibly. Headlines can portray injections as effortless shortcuts, while social media can blur the difference between approved treatment, off-label use, and unregulated products. Meanwhile, high costs, supply constraints, adverse effects, and uncertainty about long-term treatment create practical and ethical questions. This editorial</w:t>
      </w:r>
      <w:r>
        <w:rPr>
          <w:spacing w:val="-4"/>
        </w:rPr>
        <w:t> </w:t>
      </w:r>
      <w:r>
        <w:rPr/>
        <w:t>argues</w:t>
      </w:r>
      <w:r>
        <w:rPr>
          <w:spacing w:val="-4"/>
        </w:rPr>
        <w:t> </w:t>
      </w:r>
      <w:r>
        <w:rPr/>
        <w:t>that</w:t>
      </w:r>
      <w:r>
        <w:rPr>
          <w:spacing w:val="-4"/>
        </w:rPr>
        <w:t> </w:t>
      </w:r>
      <w:r>
        <w:rPr/>
        <w:t>incretin-based</w:t>
      </w:r>
      <w:r>
        <w:rPr>
          <w:spacing w:val="-4"/>
        </w:rPr>
        <w:t> </w:t>
      </w:r>
      <w:r>
        <w:rPr/>
        <w:t>medicines</w:t>
      </w:r>
      <w:r>
        <w:rPr>
          <w:spacing w:val="-4"/>
        </w:rPr>
        <w:t> </w:t>
      </w:r>
      <w:r>
        <w:rPr/>
        <w:t>are</w:t>
      </w:r>
      <w:r>
        <w:rPr>
          <w:spacing w:val="-4"/>
        </w:rPr>
        <w:t> </w:t>
      </w:r>
      <w:r>
        <w:rPr/>
        <w:t>an</w:t>
      </w:r>
      <w:r>
        <w:rPr>
          <w:spacing w:val="-4"/>
        </w:rPr>
        <w:t> </w:t>
      </w:r>
      <w:r>
        <w:rPr/>
        <w:t>important</w:t>
      </w:r>
      <w:r>
        <w:rPr>
          <w:spacing w:val="-4"/>
        </w:rPr>
        <w:t> </w:t>
      </w:r>
      <w:r>
        <w:rPr/>
        <w:t>advance</w:t>
      </w:r>
      <w:r>
        <w:rPr>
          <w:spacing w:val="-4"/>
        </w:rPr>
        <w:t> </w:t>
      </w:r>
      <w:r>
        <w:rPr/>
        <w:t>in</w:t>
      </w:r>
      <w:r>
        <w:rPr>
          <w:spacing w:val="-4"/>
        </w:rPr>
        <w:t> </w:t>
      </w:r>
      <w:r>
        <w:rPr/>
        <w:t>obesity</w:t>
      </w:r>
      <w:r>
        <w:rPr>
          <w:spacing w:val="-4"/>
        </w:rPr>
        <w:t> </w:t>
      </w:r>
      <w:r>
        <w:rPr/>
        <w:t>care,</w:t>
      </w:r>
      <w:r>
        <w:rPr>
          <w:spacing w:val="-4"/>
        </w:rPr>
        <w:t> </w:t>
      </w:r>
      <w:r>
        <w:rPr/>
        <w:t>but</w:t>
      </w:r>
      <w:r>
        <w:rPr>
          <w:spacing w:val="-4"/>
        </w:rPr>
        <w:t> </w:t>
      </w:r>
      <w:r>
        <w:rPr/>
        <w:t>their</w:t>
      </w:r>
      <w:r>
        <w:rPr>
          <w:spacing w:val="-4"/>
        </w:rPr>
        <w:t> </w:t>
      </w:r>
      <w:r>
        <w:rPr/>
        <w:t>value</w:t>
      </w:r>
      <w:r>
        <w:rPr>
          <w:spacing w:val="-4"/>
        </w:rPr>
        <w:t> </w:t>
      </w:r>
      <w:r>
        <w:rPr/>
        <w:t>will</w:t>
      </w:r>
      <w:r>
        <w:rPr>
          <w:spacing w:val="-4"/>
        </w:rPr>
        <w:t> </w:t>
      </w:r>
      <w:r>
        <w:rPr/>
        <w:t>depend on appropriate patient selection, transparent discussion of benefits and harms, long-term monitoring, robust trial methods, and fair access. They should complement—not replace—person-centred care and public-health </w:t>
      </w:r>
      <w:r>
        <w:rPr>
          <w:spacing w:val="-2"/>
        </w:rPr>
        <w:t>prevention.</w:t>
      </w:r>
    </w:p>
    <w:p>
      <w:pPr>
        <w:pStyle w:val="Heading2"/>
      </w:pPr>
      <w:r>
        <w:rPr>
          <w:color w:val="1F4D79"/>
          <w:spacing w:val="-2"/>
        </w:rPr>
        <w:t>Analysis</w:t>
      </w:r>
    </w:p>
    <w:p>
      <w:pPr>
        <w:pStyle w:val="BodyText"/>
        <w:spacing w:line="278" w:lineRule="auto"/>
      </w:pPr>
      <w:r>
        <w:rPr/>
        <w:t>The clinical evidence for incretin-based treatment is compelling. Semaglutide acts at the GLP-1 receptor, supporting glucose-dependent insulin secretion, reducing glucagon secretion when appropriate, slowing </w:t>
      </w:r>
      <w:r>
        <w:rPr/>
        <w:t>gastric emptying, and influencing appetite and satiety. Tirzepatide acts on both glucose-dependent insulinotropic polypeptide (GIP) and GLP-1 receptors. These mechanisms can help patients feel satisfied with smaller amounts of food and reduce energy intake; they are not simply “willpower in a syringe.”</w:t>
      </w:r>
    </w:p>
    <w:p>
      <w:pPr>
        <w:pStyle w:val="BodyText"/>
        <w:spacing w:line="271" w:lineRule="auto" w:before="140"/>
      </w:pPr>
      <w:r>
        <w:rPr/>
        <w:t>In STEP 1, a randomised, double-blind trial, 1,961 adults with overweight or obesity without diabetes received once-weekly semaglutide 2.4 mg or placebo, alongside lifestyle intervention, for 68 weeks. Mean body-</w:t>
      </w:r>
      <w:r>
        <w:rPr/>
        <w:t>weight change</w:t>
      </w:r>
      <w:r>
        <w:rPr>
          <w:spacing w:val="33"/>
        </w:rPr>
        <w:t> </w:t>
      </w:r>
      <w:r>
        <w:rPr/>
        <w:t>was</w:t>
      </w:r>
      <w:r>
        <w:rPr>
          <w:spacing w:val="33"/>
        </w:rPr>
        <w:t> </w:t>
      </w:r>
      <w:r>
        <w:rPr>
          <w:rFonts w:ascii="Symbol" w:hAnsi="Symbol"/>
        </w:rPr>
        <w:t></w:t>
      </w:r>
      <w:r>
        <w:rPr/>
        <w:t>14.9%</w:t>
      </w:r>
      <w:r>
        <w:rPr>
          <w:spacing w:val="33"/>
        </w:rPr>
        <w:t> </w:t>
      </w:r>
      <w:r>
        <w:rPr/>
        <w:t>with</w:t>
      </w:r>
      <w:r>
        <w:rPr>
          <w:spacing w:val="33"/>
        </w:rPr>
        <w:t> </w:t>
      </w:r>
      <w:r>
        <w:rPr/>
        <w:t>semaglutide</w:t>
      </w:r>
      <w:r>
        <w:rPr>
          <w:spacing w:val="33"/>
        </w:rPr>
        <w:t> </w:t>
      </w:r>
      <w:r>
        <w:rPr/>
        <w:t>and</w:t>
      </w:r>
      <w:r>
        <w:rPr>
          <w:spacing w:val="33"/>
        </w:rPr>
        <w:t> </w:t>
      </w:r>
      <w:r>
        <w:rPr>
          <w:rFonts w:ascii="Symbol" w:hAnsi="Symbol"/>
        </w:rPr>
        <w:t></w:t>
      </w:r>
      <w:r>
        <w:rPr/>
        <w:t>2.4%</w:t>
      </w:r>
      <w:r>
        <w:rPr>
          <w:spacing w:val="33"/>
        </w:rPr>
        <w:t> </w:t>
      </w:r>
      <w:r>
        <w:rPr/>
        <w:t>with</w:t>
      </w:r>
      <w:r>
        <w:rPr>
          <w:spacing w:val="33"/>
        </w:rPr>
        <w:t> </w:t>
      </w:r>
      <w:r>
        <w:rPr/>
        <w:t>placebo.</w:t>
      </w:r>
      <w:r>
        <w:rPr>
          <w:spacing w:val="33"/>
        </w:rPr>
        <w:t> </w:t>
      </w:r>
      <w:r>
        <w:rPr/>
        <w:t>The</w:t>
      </w:r>
      <w:r>
        <w:rPr>
          <w:spacing w:val="33"/>
        </w:rPr>
        <w:t> </w:t>
      </w:r>
      <w:r>
        <w:rPr/>
        <w:t>estimated</w:t>
      </w:r>
      <w:r>
        <w:rPr>
          <w:spacing w:val="33"/>
        </w:rPr>
        <w:t> </w:t>
      </w:r>
      <w:r>
        <w:rPr/>
        <w:t>between-group</w:t>
      </w:r>
      <w:r>
        <w:rPr>
          <w:spacing w:val="33"/>
        </w:rPr>
        <w:t> </w:t>
      </w:r>
      <w:r>
        <w:rPr/>
        <w:t>difference</w:t>
      </w:r>
      <w:r>
        <w:rPr>
          <w:spacing w:val="33"/>
        </w:rPr>
        <w:t> </w:t>
      </w:r>
      <w:r>
        <w:rPr>
          <w:spacing w:val="-5"/>
        </w:rPr>
        <w:t>was</w:t>
      </w:r>
    </w:p>
    <w:p>
      <w:pPr>
        <w:pStyle w:val="BodyText"/>
        <w:spacing w:line="271" w:lineRule="auto" w:before="0"/>
      </w:pPr>
      <w:r>
        <w:rPr>
          <w:rFonts w:ascii="Symbol" w:hAnsi="Symbol"/>
        </w:rPr>
        <w:t></w:t>
      </w:r>
      <w:r>
        <w:rPr/>
        <w:t>12.4 percentage points. This provides a concrete example of a clinically meaningful effect, but also </w:t>
      </w:r>
      <w:r>
        <w:rPr/>
        <w:t>illustrates why an editorial must report the comparison group and duration rather than quote the treatment result alone. In SURMOUNT-1, 2,539 adults without diabetes were randomised to tirzepatide or placebo for 72 weeks. Mean weight</w:t>
      </w:r>
      <w:r>
        <w:rPr>
          <w:spacing w:val="23"/>
        </w:rPr>
        <w:t> </w:t>
      </w:r>
      <w:r>
        <w:rPr/>
        <w:t>change</w:t>
      </w:r>
      <w:r>
        <w:rPr>
          <w:spacing w:val="23"/>
        </w:rPr>
        <w:t> </w:t>
      </w:r>
      <w:r>
        <w:rPr/>
        <w:t>was</w:t>
      </w:r>
      <w:r>
        <w:rPr>
          <w:spacing w:val="23"/>
        </w:rPr>
        <w:t> </w:t>
      </w:r>
      <w:r>
        <w:rPr>
          <w:rFonts w:ascii="Symbol" w:hAnsi="Symbol"/>
        </w:rPr>
        <w:t></w:t>
      </w:r>
      <w:r>
        <w:rPr/>
        <w:t>15.0%,</w:t>
      </w:r>
      <w:r>
        <w:rPr>
          <w:spacing w:val="23"/>
        </w:rPr>
        <w:t> </w:t>
      </w:r>
      <w:r>
        <w:rPr>
          <w:rFonts w:ascii="Symbol" w:hAnsi="Symbol"/>
        </w:rPr>
        <w:t></w:t>
      </w:r>
      <w:r>
        <w:rPr/>
        <w:t>19.5%,</w:t>
      </w:r>
      <w:r>
        <w:rPr>
          <w:spacing w:val="23"/>
        </w:rPr>
        <w:t> </w:t>
      </w:r>
      <w:r>
        <w:rPr/>
        <w:t>and</w:t>
      </w:r>
      <w:r>
        <w:rPr>
          <w:spacing w:val="23"/>
        </w:rPr>
        <w:t> </w:t>
      </w:r>
      <w:r>
        <w:rPr>
          <w:rFonts w:ascii="Symbol" w:hAnsi="Symbol"/>
        </w:rPr>
        <w:t></w:t>
      </w:r>
      <w:r>
        <w:rPr/>
        <w:t>20.9%</w:t>
      </w:r>
      <w:r>
        <w:rPr>
          <w:spacing w:val="23"/>
        </w:rPr>
        <w:t> </w:t>
      </w:r>
      <w:r>
        <w:rPr/>
        <w:t>with</w:t>
      </w:r>
      <w:r>
        <w:rPr>
          <w:spacing w:val="23"/>
        </w:rPr>
        <w:t> </w:t>
      </w:r>
      <w:r>
        <w:rPr/>
        <w:t>5</w:t>
      </w:r>
      <w:r>
        <w:rPr>
          <w:spacing w:val="23"/>
        </w:rPr>
        <w:t> </w:t>
      </w:r>
      <w:r>
        <w:rPr/>
        <w:t>mg,</w:t>
      </w:r>
      <w:r>
        <w:rPr>
          <w:spacing w:val="23"/>
        </w:rPr>
        <w:t> </w:t>
      </w:r>
      <w:r>
        <w:rPr/>
        <w:t>10</w:t>
      </w:r>
      <w:r>
        <w:rPr>
          <w:spacing w:val="23"/>
        </w:rPr>
        <w:t> </w:t>
      </w:r>
      <w:r>
        <w:rPr/>
        <w:t>mg,</w:t>
      </w:r>
      <w:r>
        <w:rPr>
          <w:spacing w:val="23"/>
        </w:rPr>
        <w:t> </w:t>
      </w:r>
      <w:r>
        <w:rPr/>
        <w:t>and</w:t>
      </w:r>
      <w:r>
        <w:rPr>
          <w:spacing w:val="23"/>
        </w:rPr>
        <w:t> </w:t>
      </w:r>
      <w:r>
        <w:rPr/>
        <w:t>15</w:t>
      </w:r>
      <w:r>
        <w:rPr>
          <w:spacing w:val="23"/>
        </w:rPr>
        <w:t> </w:t>
      </w:r>
      <w:r>
        <w:rPr/>
        <w:t>mg,</w:t>
      </w:r>
      <w:r>
        <w:rPr>
          <w:spacing w:val="23"/>
        </w:rPr>
        <w:t> </w:t>
      </w:r>
      <w:r>
        <w:rPr/>
        <w:t>respectively,</w:t>
      </w:r>
      <w:r>
        <w:rPr>
          <w:spacing w:val="23"/>
        </w:rPr>
        <w:t> </w:t>
      </w:r>
      <w:r>
        <w:rPr/>
        <w:t>compared</w:t>
      </w:r>
      <w:r>
        <w:rPr>
          <w:spacing w:val="23"/>
        </w:rPr>
        <w:t> </w:t>
      </w:r>
      <w:r>
        <w:rPr>
          <w:spacing w:val="-4"/>
        </w:rPr>
        <w:t>with</w:t>
      </w:r>
    </w:p>
    <w:p>
      <w:pPr>
        <w:pStyle w:val="BodyText"/>
        <w:spacing w:line="276" w:lineRule="auto" w:before="0"/>
        <w:ind w:right="23"/>
      </w:pPr>
      <w:r>
        <w:rPr>
          <w:rFonts w:ascii="Symbol" w:hAnsi="Symbol"/>
        </w:rPr>
        <w:t></w:t>
      </w:r>
      <w:r>
        <w:rPr/>
        <w:t>3.1% with placebo. These are group averages, not guarantees for an individual, and trial participants may </w:t>
      </w:r>
      <w:r>
        <w:rPr/>
        <w:t>not represent every patient seen in routine practice.</w:t>
      </w:r>
    </w:p>
    <w:p>
      <w:pPr>
        <w:pStyle w:val="BodyText"/>
        <w:spacing w:line="278" w:lineRule="auto" w:before="122"/>
      </w:pPr>
      <w:r>
        <w:rPr/>
        <w:t>The importance of these medicines extends beyond the scale. In SELECT, 17,604 adults aged 45 years or older with pre-existing cardiovascular disease and overweight or obesity, but without diabetes, were randomised to semaglutide 2.4 mg or placebo. Major adverse cardiovascular events occurred in 6.5% of the semaglutide group and 8.0% of the placebo group over a mean follow-up of about 40 months. The absolute difference was 1.5 percentage points; the relative reduction was about 20%. The absolute difference is important for </w:t>
      </w:r>
      <w:r>
        <w:rPr/>
        <w:t>clinical interpretation: it helps clinicians explain the magnitude of benefit without implying that every patient has the</w:t>
      </w:r>
      <w:r>
        <w:rPr>
          <w:spacing w:val="40"/>
        </w:rPr>
        <w:t> </w:t>
      </w:r>
      <w:r>
        <w:rPr/>
        <w:t>same baseline risk. Because SELECT enrolled people with established cardiovascular disease, the result should not automatically be generalised to all people living with obesity.</w:t>
      </w:r>
    </w:p>
    <w:p>
      <w:pPr>
        <w:pStyle w:val="BodyText"/>
        <w:spacing w:after="0" w:line="278" w:lineRule="auto"/>
        <w:sectPr>
          <w:footerReference w:type="default" r:id="rId5"/>
          <w:type w:val="continuous"/>
          <w:pgSz w:w="11910" w:h="16840"/>
          <w:pgMar w:header="0" w:footer="510" w:top="980" w:bottom="740" w:left="1133" w:right="1133"/>
          <w:pgNumType w:start="1"/>
        </w:sectPr>
      </w:pPr>
    </w:p>
    <w:p>
      <w:pPr>
        <w:pStyle w:val="BodyText"/>
        <w:spacing w:line="278" w:lineRule="auto" w:before="72"/>
      </w:pPr>
      <w:r>
        <w:rPr/>
        <w:t>The World Health Organization’s 2025 guidance recognised GLP-1-based medicines as a possible long-term treatment for adults living with obesity, while making conditional recommendations. This caution </w:t>
      </w:r>
      <w:r>
        <w:rPr/>
        <w:t>reflects uncertainties</w:t>
      </w:r>
      <w:r>
        <w:rPr>
          <w:spacing w:val="40"/>
        </w:rPr>
        <w:t> </w:t>
      </w:r>
      <w:r>
        <w:rPr/>
        <w:t>about</w:t>
      </w:r>
      <w:r>
        <w:rPr>
          <w:spacing w:val="40"/>
        </w:rPr>
        <w:t> </w:t>
      </w:r>
      <w:r>
        <w:rPr/>
        <w:t>long-term</w:t>
      </w:r>
      <w:r>
        <w:rPr>
          <w:spacing w:val="40"/>
        </w:rPr>
        <w:t> </w:t>
      </w:r>
      <w:r>
        <w:rPr/>
        <w:t>effectiveness</w:t>
      </w:r>
      <w:r>
        <w:rPr>
          <w:spacing w:val="40"/>
        </w:rPr>
        <w:t> </w:t>
      </w:r>
      <w:r>
        <w:rPr/>
        <w:t>and</w:t>
      </w:r>
      <w:r>
        <w:rPr>
          <w:spacing w:val="40"/>
        </w:rPr>
        <w:t> </w:t>
      </w:r>
      <w:r>
        <w:rPr/>
        <w:t>safety,</w:t>
      </w:r>
      <w:r>
        <w:rPr>
          <w:spacing w:val="40"/>
        </w:rPr>
        <w:t> </w:t>
      </w:r>
      <w:r>
        <w:rPr/>
        <w:t>treatment</w:t>
      </w:r>
      <w:r>
        <w:rPr>
          <w:spacing w:val="40"/>
        </w:rPr>
        <w:t> </w:t>
      </w:r>
      <w:r>
        <w:rPr/>
        <w:t>maintenance</w:t>
      </w:r>
      <w:r>
        <w:rPr>
          <w:spacing w:val="40"/>
        </w:rPr>
        <w:t> </w:t>
      </w:r>
      <w:r>
        <w:rPr/>
        <w:t>and</w:t>
      </w:r>
      <w:r>
        <w:rPr>
          <w:spacing w:val="40"/>
        </w:rPr>
        <w:t> </w:t>
      </w:r>
      <w:r>
        <w:rPr/>
        <w:t>discontinuation,</w:t>
      </w:r>
      <w:r>
        <w:rPr>
          <w:spacing w:val="40"/>
        </w:rPr>
        <w:t> </w:t>
      </w:r>
      <w:r>
        <w:rPr/>
        <w:t>costs, health-system readiness, and equity. Medicines should be integrated with comprehensive care, including appropriate dietary and physical-activity support. This is more useful than either uncritical celebration or blanket </w:t>
      </w:r>
      <w:r>
        <w:rPr>
          <w:spacing w:val="-2"/>
        </w:rPr>
        <w:t>rejection.</w:t>
      </w:r>
    </w:p>
    <w:p>
      <w:pPr>
        <w:pStyle w:val="BodyText"/>
        <w:spacing w:line="278" w:lineRule="auto"/>
      </w:pPr>
      <w:r>
        <w:rPr/>
        <w:t>Treatment</w:t>
      </w:r>
      <w:r>
        <w:rPr>
          <w:spacing w:val="-2"/>
        </w:rPr>
        <w:t> </w:t>
      </w:r>
      <w:r>
        <w:rPr/>
        <w:t>discontinuation</w:t>
      </w:r>
      <w:r>
        <w:rPr>
          <w:spacing w:val="-2"/>
        </w:rPr>
        <w:t> </w:t>
      </w:r>
      <w:r>
        <w:rPr/>
        <w:t>also</w:t>
      </w:r>
      <w:r>
        <w:rPr>
          <w:spacing w:val="-2"/>
        </w:rPr>
        <w:t> </w:t>
      </w:r>
      <w:r>
        <w:rPr/>
        <w:t>matters.</w:t>
      </w:r>
      <w:r>
        <w:rPr>
          <w:spacing w:val="-2"/>
        </w:rPr>
        <w:t> </w:t>
      </w:r>
      <w:r>
        <w:rPr/>
        <w:t>In</w:t>
      </w:r>
      <w:r>
        <w:rPr>
          <w:spacing w:val="-2"/>
        </w:rPr>
        <w:t> </w:t>
      </w:r>
      <w:r>
        <w:rPr/>
        <w:t>the</w:t>
      </w:r>
      <w:r>
        <w:rPr>
          <w:spacing w:val="-2"/>
        </w:rPr>
        <w:t> </w:t>
      </w:r>
      <w:r>
        <w:rPr/>
        <w:t>STEP</w:t>
      </w:r>
      <w:r>
        <w:rPr>
          <w:spacing w:val="-2"/>
        </w:rPr>
        <w:t> </w:t>
      </w:r>
      <w:r>
        <w:rPr/>
        <w:t>1</w:t>
      </w:r>
      <w:r>
        <w:rPr>
          <w:spacing w:val="-2"/>
        </w:rPr>
        <w:t> </w:t>
      </w:r>
      <w:r>
        <w:rPr/>
        <w:t>extension,</w:t>
      </w:r>
      <w:r>
        <w:rPr>
          <w:spacing w:val="-2"/>
        </w:rPr>
        <w:t> </w:t>
      </w:r>
      <w:r>
        <w:rPr/>
        <w:t>327</w:t>
      </w:r>
      <w:r>
        <w:rPr>
          <w:spacing w:val="-2"/>
        </w:rPr>
        <w:t> </w:t>
      </w:r>
      <w:r>
        <w:rPr/>
        <w:t>participants</w:t>
      </w:r>
      <w:r>
        <w:rPr>
          <w:spacing w:val="-2"/>
        </w:rPr>
        <w:t> </w:t>
      </w:r>
      <w:r>
        <w:rPr/>
        <w:t>were</w:t>
      </w:r>
      <w:r>
        <w:rPr>
          <w:spacing w:val="-2"/>
        </w:rPr>
        <w:t> </w:t>
      </w:r>
      <w:r>
        <w:rPr/>
        <w:t>followed</w:t>
      </w:r>
      <w:r>
        <w:rPr>
          <w:spacing w:val="-2"/>
        </w:rPr>
        <w:t> </w:t>
      </w:r>
      <w:r>
        <w:rPr/>
        <w:t>after</w:t>
      </w:r>
      <w:r>
        <w:rPr>
          <w:spacing w:val="-2"/>
        </w:rPr>
        <w:t> </w:t>
      </w:r>
      <w:r>
        <w:rPr/>
        <w:t>the</w:t>
      </w:r>
      <w:r>
        <w:rPr>
          <w:spacing w:val="-2"/>
        </w:rPr>
        <w:t> </w:t>
      </w:r>
      <w:r>
        <w:rPr/>
        <w:t>original 68-week trial; treatment and structured lifestyle support had been stopped. Participants who had </w:t>
      </w:r>
      <w:r>
        <w:rPr/>
        <w:t>received semaglutide regained about two-thirds of their prior weight loss over the following year. The extension was smaller than the parent trial and should not be interpreted as a prediction for every patient, but it supports discussing</w:t>
      </w:r>
      <w:r>
        <w:rPr>
          <w:spacing w:val="-3"/>
        </w:rPr>
        <w:t> </w:t>
      </w:r>
      <w:r>
        <w:rPr/>
        <w:t>the</w:t>
      </w:r>
      <w:r>
        <w:rPr>
          <w:spacing w:val="-3"/>
        </w:rPr>
        <w:t> </w:t>
      </w:r>
      <w:r>
        <w:rPr/>
        <w:t>likely</w:t>
      </w:r>
      <w:r>
        <w:rPr>
          <w:spacing w:val="-3"/>
        </w:rPr>
        <w:t> </w:t>
      </w:r>
      <w:r>
        <w:rPr/>
        <w:t>long-term</w:t>
      </w:r>
      <w:r>
        <w:rPr>
          <w:spacing w:val="-3"/>
        </w:rPr>
        <w:t> </w:t>
      </w:r>
      <w:r>
        <w:rPr/>
        <w:t>nature</w:t>
      </w:r>
      <w:r>
        <w:rPr>
          <w:spacing w:val="-3"/>
        </w:rPr>
        <w:t> </w:t>
      </w:r>
      <w:r>
        <w:rPr/>
        <w:t>of</w:t>
      </w:r>
      <w:r>
        <w:rPr>
          <w:spacing w:val="-3"/>
        </w:rPr>
        <w:t> </w:t>
      </w:r>
      <w:r>
        <w:rPr/>
        <w:t>treatment</w:t>
      </w:r>
      <w:r>
        <w:rPr>
          <w:spacing w:val="-3"/>
        </w:rPr>
        <w:t> </w:t>
      </w:r>
      <w:r>
        <w:rPr/>
        <w:t>before</w:t>
      </w:r>
      <w:r>
        <w:rPr>
          <w:spacing w:val="-3"/>
        </w:rPr>
        <w:t> </w:t>
      </w:r>
      <w:r>
        <w:rPr/>
        <w:t>starting</w:t>
      </w:r>
      <w:r>
        <w:rPr>
          <w:spacing w:val="-3"/>
        </w:rPr>
        <w:t> </w:t>
      </w:r>
      <w:r>
        <w:rPr/>
        <w:t>it.</w:t>
      </w:r>
      <w:r>
        <w:rPr>
          <w:spacing w:val="-3"/>
        </w:rPr>
        <w:t> </w:t>
      </w:r>
      <w:r>
        <w:rPr/>
        <w:t>Patients</w:t>
      </w:r>
      <w:r>
        <w:rPr>
          <w:spacing w:val="-3"/>
        </w:rPr>
        <w:t> </w:t>
      </w:r>
      <w:r>
        <w:rPr/>
        <w:t>should</w:t>
      </w:r>
      <w:r>
        <w:rPr>
          <w:spacing w:val="-3"/>
        </w:rPr>
        <w:t> </w:t>
      </w:r>
      <w:r>
        <w:rPr/>
        <w:t>understand</w:t>
      </w:r>
      <w:r>
        <w:rPr>
          <w:spacing w:val="-3"/>
        </w:rPr>
        <w:t> </w:t>
      </w:r>
      <w:r>
        <w:rPr/>
        <w:t>that</w:t>
      </w:r>
      <w:r>
        <w:rPr>
          <w:spacing w:val="-3"/>
        </w:rPr>
        <w:t> </w:t>
      </w:r>
      <w:r>
        <w:rPr/>
        <w:t>stopping</w:t>
      </w:r>
      <w:r>
        <w:rPr>
          <w:spacing w:val="-3"/>
        </w:rPr>
        <w:t> </w:t>
      </w:r>
      <w:r>
        <w:rPr/>
        <w:t>may be followed by weight regain and that cost or tolerability can affect continuity.</w:t>
      </w:r>
    </w:p>
    <w:p>
      <w:pPr>
        <w:pStyle w:val="BodyText"/>
        <w:spacing w:line="278" w:lineRule="auto"/>
      </w:pPr>
      <w:r>
        <w:rPr/>
        <w:t>Adverse effects require equally concrete communication. Gastrointestinal symptoms—including </w:t>
      </w:r>
      <w:r>
        <w:rPr/>
        <w:t>nausea, vomiting, diarrhoea, constipation, and abdominal discomfort—are common, particularly during dose escalation. They can affect quality of life or lead to discontinuation. Product information also describes less common but important risks and precautions, including gallbladder disease, pancreatitis concerns, dehydration-related kidney injury,</w:t>
      </w:r>
      <w:r>
        <w:rPr>
          <w:spacing w:val="40"/>
        </w:rPr>
        <w:t> </w:t>
      </w:r>
      <w:r>
        <w:rPr/>
        <w:t>delayed</w:t>
      </w:r>
      <w:r>
        <w:rPr>
          <w:spacing w:val="40"/>
        </w:rPr>
        <w:t> </w:t>
      </w:r>
      <w:r>
        <w:rPr/>
        <w:t>gastric</w:t>
      </w:r>
      <w:r>
        <w:rPr>
          <w:spacing w:val="40"/>
        </w:rPr>
        <w:t> </w:t>
      </w:r>
      <w:r>
        <w:rPr/>
        <w:t>emptying,</w:t>
      </w:r>
      <w:r>
        <w:rPr>
          <w:spacing w:val="40"/>
        </w:rPr>
        <w:t> </w:t>
      </w:r>
      <w:r>
        <w:rPr/>
        <w:t>and</w:t>
      </w:r>
      <w:r>
        <w:rPr>
          <w:spacing w:val="40"/>
        </w:rPr>
        <w:t> </w:t>
      </w:r>
      <w:r>
        <w:rPr/>
        <w:t>aspiration</w:t>
      </w:r>
      <w:r>
        <w:rPr>
          <w:spacing w:val="40"/>
        </w:rPr>
        <w:t> </w:t>
      </w:r>
      <w:r>
        <w:rPr/>
        <w:t>considerations</w:t>
      </w:r>
      <w:r>
        <w:rPr>
          <w:spacing w:val="40"/>
        </w:rPr>
        <w:t> </w:t>
      </w:r>
      <w:r>
        <w:rPr/>
        <w:t>around</w:t>
      </w:r>
      <w:r>
        <w:rPr>
          <w:spacing w:val="40"/>
        </w:rPr>
        <w:t> </w:t>
      </w:r>
      <w:r>
        <w:rPr/>
        <w:t>anaesthesia</w:t>
      </w:r>
      <w:r>
        <w:rPr>
          <w:spacing w:val="40"/>
        </w:rPr>
        <w:t> </w:t>
      </w:r>
      <w:r>
        <w:rPr/>
        <w:t>or</w:t>
      </w:r>
      <w:r>
        <w:rPr>
          <w:spacing w:val="40"/>
        </w:rPr>
        <w:t> </w:t>
      </w:r>
      <w:r>
        <w:rPr/>
        <w:t>deep</w:t>
      </w:r>
      <w:r>
        <w:rPr>
          <w:spacing w:val="40"/>
        </w:rPr>
        <w:t> </w:t>
      </w:r>
      <w:r>
        <w:rPr/>
        <w:t>sedation.</w:t>
      </w:r>
      <w:r>
        <w:rPr>
          <w:spacing w:val="40"/>
        </w:rPr>
        <w:t> </w:t>
      </w:r>
      <w:r>
        <w:rPr/>
        <w:t>Product-specific contraindications differ by medicine and jurisdiction, so prescribing should follow current local product information. Weight-loss medicines are not appropriate during pregnancy; people planning pregnancy need individual medical advice.</w:t>
      </w:r>
    </w:p>
    <w:p>
      <w:pPr>
        <w:pStyle w:val="BodyText"/>
        <w:spacing w:line="278" w:lineRule="auto" w:before="140"/>
      </w:pPr>
      <w:r>
        <w:rPr/>
        <w:t>The gap between controlled trials and commercial use is another concern. Strong demand has encouraged online marketing, counterfeit products, and use without adequate screening or follow-up. Patients should </w:t>
      </w:r>
      <w:r>
        <w:rPr/>
        <w:t>obtain medication through regulated supply chains and qualified healthcare professionals. Pharmacists can help check product legitimacy, explain dose escalation, identify medicine-related concerns, and refer patients for clinical review when symptoms are serious.</w:t>
      </w:r>
    </w:p>
    <w:p>
      <w:pPr>
        <w:pStyle w:val="Heading2"/>
        <w:jc w:val="both"/>
      </w:pPr>
      <w:r>
        <w:rPr>
          <w:color w:val="1F4D79"/>
        </w:rPr>
        <w:t>Critical </w:t>
      </w:r>
      <w:r>
        <w:rPr>
          <w:color w:val="1F4D79"/>
          <w:spacing w:val="-2"/>
        </w:rPr>
        <w:t>Evaluation</w:t>
      </w:r>
    </w:p>
    <w:p>
      <w:pPr>
        <w:pStyle w:val="BodyText"/>
        <w:spacing w:line="278" w:lineRule="auto"/>
      </w:pPr>
      <w:r>
        <w:rPr/>
        <w:t>The strongest argument for GLP-1-based therapies is that they expand effective options for a disease associated with diabetes, cardiovascular disease, sleep apnoea, osteoarthritis, fatty liver disease, and reduced quality of </w:t>
      </w:r>
      <w:r>
        <w:rPr/>
        <w:t>life. A</w:t>
      </w:r>
      <w:r>
        <w:rPr>
          <w:spacing w:val="-3"/>
        </w:rPr>
        <w:t> </w:t>
      </w:r>
      <w:r>
        <w:rPr/>
        <w:t>medical</w:t>
      </w:r>
      <w:r>
        <w:rPr>
          <w:spacing w:val="-3"/>
        </w:rPr>
        <w:t> </w:t>
      </w:r>
      <w:r>
        <w:rPr/>
        <w:t>model</w:t>
      </w:r>
      <w:r>
        <w:rPr>
          <w:spacing w:val="-3"/>
        </w:rPr>
        <w:t> </w:t>
      </w:r>
      <w:r>
        <w:rPr/>
        <w:t>of</w:t>
      </w:r>
      <w:r>
        <w:rPr>
          <w:spacing w:val="-3"/>
        </w:rPr>
        <w:t> </w:t>
      </w:r>
      <w:r>
        <w:rPr/>
        <w:t>obesity</w:t>
      </w:r>
      <w:r>
        <w:rPr>
          <w:spacing w:val="-3"/>
        </w:rPr>
        <w:t> </w:t>
      </w:r>
      <w:r>
        <w:rPr/>
        <w:t>can</w:t>
      </w:r>
      <w:r>
        <w:rPr>
          <w:spacing w:val="-3"/>
        </w:rPr>
        <w:t> </w:t>
      </w:r>
      <w:r>
        <w:rPr/>
        <w:t>reduce</w:t>
      </w:r>
      <w:r>
        <w:rPr>
          <w:spacing w:val="-3"/>
        </w:rPr>
        <w:t> </w:t>
      </w:r>
      <w:r>
        <w:rPr/>
        <w:t>blame</w:t>
      </w:r>
      <w:r>
        <w:rPr>
          <w:spacing w:val="-3"/>
        </w:rPr>
        <w:t> </w:t>
      </w:r>
      <w:r>
        <w:rPr/>
        <w:t>and</w:t>
      </w:r>
      <w:r>
        <w:rPr>
          <w:spacing w:val="-3"/>
        </w:rPr>
        <w:t> </w:t>
      </w:r>
      <w:r>
        <w:rPr/>
        <w:t>support</w:t>
      </w:r>
      <w:r>
        <w:rPr>
          <w:spacing w:val="-3"/>
        </w:rPr>
        <w:t> </w:t>
      </w:r>
      <w:r>
        <w:rPr/>
        <w:t>treatment</w:t>
      </w:r>
      <w:r>
        <w:rPr>
          <w:spacing w:val="-3"/>
        </w:rPr>
        <w:t> </w:t>
      </w:r>
      <w:r>
        <w:rPr/>
        <w:t>according</w:t>
      </w:r>
      <w:r>
        <w:rPr>
          <w:spacing w:val="-3"/>
        </w:rPr>
        <w:t> </w:t>
      </w:r>
      <w:r>
        <w:rPr/>
        <w:t>to</w:t>
      </w:r>
      <w:r>
        <w:rPr>
          <w:spacing w:val="-3"/>
        </w:rPr>
        <w:t> </w:t>
      </w:r>
      <w:r>
        <w:rPr/>
        <w:t>clinical</w:t>
      </w:r>
      <w:r>
        <w:rPr>
          <w:spacing w:val="-3"/>
        </w:rPr>
        <w:t> </w:t>
      </w:r>
      <w:r>
        <w:rPr/>
        <w:t>need.</w:t>
      </w:r>
      <w:r>
        <w:rPr>
          <w:spacing w:val="-3"/>
        </w:rPr>
        <w:t> </w:t>
      </w:r>
      <w:r>
        <w:rPr/>
        <w:t>For</w:t>
      </w:r>
      <w:r>
        <w:rPr>
          <w:spacing w:val="-3"/>
        </w:rPr>
        <w:t> </w:t>
      </w:r>
      <w:r>
        <w:rPr/>
        <w:t>some</w:t>
      </w:r>
      <w:r>
        <w:rPr>
          <w:spacing w:val="-3"/>
        </w:rPr>
        <w:t> </w:t>
      </w:r>
      <w:r>
        <w:rPr/>
        <w:t>patients, medication-assisted weight loss may improve mobility, metabolic health, or the burden of complications. Cardiovascular outcome data in a defined high-risk population further strengthen the case that treatment can matter beyond appearance.</w:t>
      </w:r>
    </w:p>
    <w:p>
      <w:pPr>
        <w:pStyle w:val="BodyText"/>
        <w:spacing w:line="278" w:lineRule="auto"/>
      </w:pPr>
      <w:r>
        <w:rPr/>
        <w:t>However, the evidence should be interpreted with care. First, trial duration remains short relative to a lifelong condition. A year or several years cannot establish decades-long safety, durability, or effects on ageing, </w:t>
      </w:r>
      <w:r>
        <w:rPr/>
        <w:t>body composition,</w:t>
      </w:r>
      <w:r>
        <w:rPr>
          <w:spacing w:val="-4"/>
        </w:rPr>
        <w:t> </w:t>
      </w:r>
      <w:r>
        <w:rPr/>
        <w:t>and</w:t>
      </w:r>
      <w:r>
        <w:rPr>
          <w:spacing w:val="-4"/>
        </w:rPr>
        <w:t> </w:t>
      </w:r>
      <w:r>
        <w:rPr/>
        <w:t>rare</w:t>
      </w:r>
      <w:r>
        <w:rPr>
          <w:spacing w:val="-4"/>
        </w:rPr>
        <w:t> </w:t>
      </w:r>
      <w:r>
        <w:rPr/>
        <w:t>adverse</w:t>
      </w:r>
      <w:r>
        <w:rPr>
          <w:spacing w:val="-4"/>
        </w:rPr>
        <w:t> </w:t>
      </w:r>
      <w:r>
        <w:rPr/>
        <w:t>events.</w:t>
      </w:r>
      <w:r>
        <w:rPr>
          <w:spacing w:val="-4"/>
        </w:rPr>
        <w:t> </w:t>
      </w:r>
      <w:r>
        <w:rPr/>
        <w:t>Second,</w:t>
      </w:r>
      <w:r>
        <w:rPr>
          <w:spacing w:val="-4"/>
        </w:rPr>
        <w:t> </w:t>
      </w:r>
      <w:r>
        <w:rPr/>
        <w:t>pivotal</w:t>
      </w:r>
      <w:r>
        <w:rPr>
          <w:spacing w:val="-4"/>
        </w:rPr>
        <w:t> </w:t>
      </w:r>
      <w:r>
        <w:rPr/>
        <w:t>trials</w:t>
      </w:r>
      <w:r>
        <w:rPr>
          <w:spacing w:val="-4"/>
        </w:rPr>
        <w:t> </w:t>
      </w:r>
      <w:r>
        <w:rPr/>
        <w:t>may</w:t>
      </w:r>
      <w:r>
        <w:rPr>
          <w:spacing w:val="-4"/>
        </w:rPr>
        <w:t> </w:t>
      </w:r>
      <w:r>
        <w:rPr/>
        <w:t>not</w:t>
      </w:r>
      <w:r>
        <w:rPr>
          <w:spacing w:val="-4"/>
        </w:rPr>
        <w:t> </w:t>
      </w:r>
      <w:r>
        <w:rPr/>
        <w:t>fully</w:t>
      </w:r>
      <w:r>
        <w:rPr>
          <w:spacing w:val="-4"/>
        </w:rPr>
        <w:t> </w:t>
      </w:r>
      <w:r>
        <w:rPr/>
        <w:t>represent</w:t>
      </w:r>
      <w:r>
        <w:rPr>
          <w:spacing w:val="-4"/>
        </w:rPr>
        <w:t> </w:t>
      </w:r>
      <w:r>
        <w:rPr/>
        <w:t>people</w:t>
      </w:r>
      <w:r>
        <w:rPr>
          <w:spacing w:val="-4"/>
        </w:rPr>
        <w:t> </w:t>
      </w:r>
      <w:r>
        <w:rPr/>
        <w:t>with</w:t>
      </w:r>
      <w:r>
        <w:rPr>
          <w:spacing w:val="-4"/>
        </w:rPr>
        <w:t> </w:t>
      </w:r>
      <w:r>
        <w:rPr/>
        <w:t>multiple</w:t>
      </w:r>
      <w:r>
        <w:rPr>
          <w:spacing w:val="-4"/>
        </w:rPr>
        <w:t> </w:t>
      </w:r>
      <w:r>
        <w:rPr/>
        <w:t>illnesses, financial insecurity, or limited access to specialist care. Third, mean weight loss can hide variation: some patients respond strongly, others modestly, and some stop treatment because of adverse effects, preference, or cost.</w:t>
      </w:r>
    </w:p>
    <w:p>
      <w:pPr>
        <w:pStyle w:val="BodyText"/>
        <w:spacing w:line="278" w:lineRule="auto" w:before="140"/>
      </w:pPr>
      <w:r>
        <w:rPr/>
        <w:t>Fourth, weight alone is an incomplete outcome. Follow-up should include blood pressure, glycaemic </w:t>
      </w:r>
      <w:r>
        <w:rPr/>
        <w:t>control, lipids, mobility, sleep, mental well-being, functional ability, and patient-defined goals. Rapid weight loss can include loss of lean mass as well as fat, making adequate nutrition and resistance exercise important where clinically appropriate. Care should not treat thinness as the only marker of health or stigmatise people who do not use medication.</w:t>
      </w:r>
    </w:p>
    <w:p>
      <w:pPr>
        <w:pStyle w:val="BodyText"/>
        <w:spacing w:line="278" w:lineRule="auto"/>
      </w:pPr>
      <w:r>
        <w:rPr/>
        <w:t>Fifth, affordability raises an ethical problem. If access is determined mainly by income, a major </w:t>
      </w:r>
      <w:r>
        <w:rPr/>
        <w:t>therapeutic advance may widen health inequalities. Public coverage decisions should consider clinical benefit, disease severity, alternatives, cost-effectiveness, and fairness—not social-media popularity. Medicines also cannot compensate for food insecurity, limited safe spaces for exercise, long working hours, sleep disruption, or aggressive marketing of energy-dense foods.</w:t>
      </w:r>
    </w:p>
    <w:p>
      <w:pPr>
        <w:pStyle w:val="BodyText"/>
        <w:spacing w:after="0" w:line="278" w:lineRule="auto"/>
        <w:sectPr>
          <w:pgSz w:w="11910" w:h="16840"/>
          <w:pgMar w:header="0" w:footer="510" w:top="980" w:bottom="740" w:left="1133" w:right="1133"/>
        </w:sectPr>
      </w:pPr>
    </w:p>
    <w:p>
      <w:pPr>
        <w:pStyle w:val="BodyText"/>
        <w:spacing w:line="278" w:lineRule="auto" w:before="72"/>
      </w:pPr>
      <w:r>
        <w:rPr/>
        <w:t>A</w:t>
      </w:r>
      <w:r>
        <w:rPr>
          <w:spacing w:val="-1"/>
        </w:rPr>
        <w:t> </w:t>
      </w:r>
      <w:r>
        <w:rPr/>
        <w:t>further</w:t>
      </w:r>
      <w:r>
        <w:rPr>
          <w:spacing w:val="-1"/>
        </w:rPr>
        <w:t> </w:t>
      </w:r>
      <w:r>
        <w:rPr/>
        <w:t>weakness</w:t>
      </w:r>
      <w:r>
        <w:rPr>
          <w:spacing w:val="-1"/>
        </w:rPr>
        <w:t> </w:t>
      </w:r>
      <w:r>
        <w:rPr/>
        <w:t>in</w:t>
      </w:r>
      <w:r>
        <w:rPr>
          <w:spacing w:val="-1"/>
        </w:rPr>
        <w:t> </w:t>
      </w:r>
      <w:r>
        <w:rPr/>
        <w:t>public</w:t>
      </w:r>
      <w:r>
        <w:rPr>
          <w:spacing w:val="-1"/>
        </w:rPr>
        <w:t> </w:t>
      </w:r>
      <w:r>
        <w:rPr/>
        <w:t>discussion</w:t>
      </w:r>
      <w:r>
        <w:rPr>
          <w:spacing w:val="-1"/>
        </w:rPr>
        <w:t> </w:t>
      </w:r>
      <w:r>
        <w:rPr/>
        <w:t>is</w:t>
      </w:r>
      <w:r>
        <w:rPr>
          <w:spacing w:val="-1"/>
        </w:rPr>
        <w:t> </w:t>
      </w:r>
      <w:r>
        <w:rPr/>
        <w:t>the</w:t>
      </w:r>
      <w:r>
        <w:rPr>
          <w:spacing w:val="-1"/>
        </w:rPr>
        <w:t> </w:t>
      </w:r>
      <w:r>
        <w:rPr/>
        <w:t>limited</w:t>
      </w:r>
      <w:r>
        <w:rPr>
          <w:spacing w:val="-1"/>
        </w:rPr>
        <w:t> </w:t>
      </w:r>
      <w:r>
        <w:rPr/>
        <w:t>attention</w:t>
      </w:r>
      <w:r>
        <w:rPr>
          <w:spacing w:val="-1"/>
        </w:rPr>
        <w:t> </w:t>
      </w:r>
      <w:r>
        <w:rPr/>
        <w:t>paid</w:t>
      </w:r>
      <w:r>
        <w:rPr>
          <w:spacing w:val="-1"/>
        </w:rPr>
        <w:t> </w:t>
      </w:r>
      <w:r>
        <w:rPr/>
        <w:t>to</w:t>
      </w:r>
      <w:r>
        <w:rPr>
          <w:spacing w:val="-1"/>
        </w:rPr>
        <w:t> </w:t>
      </w:r>
      <w:r>
        <w:rPr/>
        <w:t>how</w:t>
      </w:r>
      <w:r>
        <w:rPr>
          <w:spacing w:val="-1"/>
        </w:rPr>
        <w:t> </w:t>
      </w:r>
      <w:r>
        <w:rPr/>
        <w:t>evidence</w:t>
      </w:r>
      <w:r>
        <w:rPr>
          <w:spacing w:val="-1"/>
        </w:rPr>
        <w:t> </w:t>
      </w:r>
      <w:r>
        <w:rPr/>
        <w:t>is</w:t>
      </w:r>
      <w:r>
        <w:rPr>
          <w:spacing w:val="-1"/>
        </w:rPr>
        <w:t> </w:t>
      </w:r>
      <w:r>
        <w:rPr/>
        <w:t>generated.</w:t>
      </w:r>
      <w:r>
        <w:rPr>
          <w:spacing w:val="-1"/>
        </w:rPr>
        <w:t> </w:t>
      </w:r>
      <w:r>
        <w:rPr/>
        <w:t>A</w:t>
      </w:r>
      <w:r>
        <w:rPr>
          <w:spacing w:val="-1"/>
        </w:rPr>
        <w:t> </w:t>
      </w:r>
      <w:r>
        <w:rPr/>
        <w:t>large</w:t>
      </w:r>
      <w:r>
        <w:rPr>
          <w:spacing w:val="-1"/>
        </w:rPr>
        <w:t> </w:t>
      </w:r>
      <w:r>
        <w:rPr/>
        <w:t>sample size does not automatically eliminate bias; the study question, randomisation, comparator, outcome definition, follow-up, and handling of missing data also matter. For example, a trial that analyses only participants who remain</w:t>
      </w:r>
      <w:r>
        <w:rPr>
          <w:spacing w:val="-5"/>
        </w:rPr>
        <w:t> </w:t>
      </w:r>
      <w:r>
        <w:rPr/>
        <w:t>on</w:t>
      </w:r>
      <w:r>
        <w:rPr>
          <w:spacing w:val="-5"/>
        </w:rPr>
        <w:t> </w:t>
      </w:r>
      <w:r>
        <w:rPr/>
        <w:t>treatment</w:t>
      </w:r>
      <w:r>
        <w:rPr>
          <w:spacing w:val="-5"/>
        </w:rPr>
        <w:t> </w:t>
      </w:r>
      <w:r>
        <w:rPr/>
        <w:t>may</w:t>
      </w:r>
      <w:r>
        <w:rPr>
          <w:spacing w:val="-5"/>
        </w:rPr>
        <w:t> </w:t>
      </w:r>
      <w:r>
        <w:rPr/>
        <w:t>overstate</w:t>
      </w:r>
      <w:r>
        <w:rPr>
          <w:spacing w:val="-5"/>
        </w:rPr>
        <w:t> </w:t>
      </w:r>
      <w:r>
        <w:rPr/>
        <w:t>real-world</w:t>
      </w:r>
      <w:r>
        <w:rPr>
          <w:spacing w:val="-5"/>
        </w:rPr>
        <w:t> </w:t>
      </w:r>
      <w:r>
        <w:rPr/>
        <w:t>benefit</w:t>
      </w:r>
      <w:r>
        <w:rPr>
          <w:spacing w:val="-5"/>
        </w:rPr>
        <w:t> </w:t>
      </w:r>
      <w:r>
        <w:rPr/>
        <w:t>if</w:t>
      </w:r>
      <w:r>
        <w:rPr>
          <w:spacing w:val="-5"/>
        </w:rPr>
        <w:t> </w:t>
      </w:r>
      <w:r>
        <w:rPr/>
        <w:t>people</w:t>
      </w:r>
      <w:r>
        <w:rPr>
          <w:spacing w:val="-5"/>
        </w:rPr>
        <w:t> </w:t>
      </w:r>
      <w:r>
        <w:rPr/>
        <w:t>stop</w:t>
      </w:r>
      <w:r>
        <w:rPr>
          <w:spacing w:val="-5"/>
        </w:rPr>
        <w:t> </w:t>
      </w:r>
      <w:r>
        <w:rPr/>
        <w:t>because</w:t>
      </w:r>
      <w:r>
        <w:rPr>
          <w:spacing w:val="-5"/>
        </w:rPr>
        <w:t> </w:t>
      </w:r>
      <w:r>
        <w:rPr/>
        <w:t>of</w:t>
      </w:r>
      <w:r>
        <w:rPr>
          <w:spacing w:val="-5"/>
        </w:rPr>
        <w:t> </w:t>
      </w:r>
      <w:r>
        <w:rPr/>
        <w:t>adverse</w:t>
      </w:r>
      <w:r>
        <w:rPr>
          <w:spacing w:val="-5"/>
        </w:rPr>
        <w:t> </w:t>
      </w:r>
      <w:r>
        <w:rPr/>
        <w:t>effects</w:t>
      </w:r>
      <w:r>
        <w:rPr>
          <w:spacing w:val="-5"/>
        </w:rPr>
        <w:t> </w:t>
      </w:r>
      <w:r>
        <w:rPr/>
        <w:t>or</w:t>
      </w:r>
      <w:r>
        <w:rPr>
          <w:spacing w:val="-5"/>
        </w:rPr>
        <w:t> </w:t>
      </w:r>
      <w:r>
        <w:rPr/>
        <w:t>poor</w:t>
      </w:r>
      <w:r>
        <w:rPr>
          <w:spacing w:val="-5"/>
        </w:rPr>
        <w:t> </w:t>
      </w:r>
      <w:r>
        <w:rPr/>
        <w:t>response.</w:t>
      </w:r>
      <w:r>
        <w:rPr>
          <w:spacing w:val="-5"/>
        </w:rPr>
        <w:t> </w:t>
      </w:r>
      <w:r>
        <w:rPr/>
        <w:t>A transparent editorial should therefore ask not only “How much weight was lost?” but also “Who was included, what happened to participants who discontinued, and how robust are the conclusions?”</w:t>
      </w:r>
    </w:p>
    <w:p>
      <w:pPr>
        <w:pStyle w:val="Heading2"/>
        <w:jc w:val="both"/>
      </w:pPr>
      <w:r>
        <w:rPr>
          <w:color w:val="1F4D79"/>
        </w:rPr>
        <w:t>Future </w:t>
      </w:r>
      <w:r>
        <w:rPr>
          <w:color w:val="1F4D79"/>
          <w:spacing w:val="-2"/>
        </w:rPr>
        <w:t>Directions</w:t>
      </w:r>
    </w:p>
    <w:p>
      <w:pPr>
        <w:pStyle w:val="BodyText"/>
        <w:spacing w:line="273" w:lineRule="auto"/>
      </w:pPr>
      <w:r>
        <w:rPr/>
        <w:t>Future trials should prioritise clinically meaningful outcomes, diverse populations, and transparent statistical plans. A worked example shows why sample-size planning matters. Suppose a two-arm trial is designed to detect a</w:t>
      </w:r>
      <w:r>
        <w:rPr>
          <w:spacing w:val="-1"/>
        </w:rPr>
        <w:t> </w:t>
      </w:r>
      <w:r>
        <w:rPr/>
        <w:t>5-percentage-point</w:t>
      </w:r>
      <w:r>
        <w:rPr>
          <w:spacing w:val="-1"/>
        </w:rPr>
        <w:t> </w:t>
      </w:r>
      <w:r>
        <w:rPr/>
        <w:t>difference</w:t>
      </w:r>
      <w:r>
        <w:rPr>
          <w:spacing w:val="-1"/>
        </w:rPr>
        <w:t> </w:t>
      </w:r>
      <w:r>
        <w:rPr/>
        <w:t>in</w:t>
      </w:r>
      <w:r>
        <w:rPr>
          <w:spacing w:val="-1"/>
        </w:rPr>
        <w:t> </w:t>
      </w:r>
      <w:r>
        <w:rPr/>
        <w:t>mean</w:t>
      </w:r>
      <w:r>
        <w:rPr>
          <w:spacing w:val="-1"/>
        </w:rPr>
        <w:t> </w:t>
      </w:r>
      <w:r>
        <w:rPr/>
        <w:t>percentage</w:t>
      </w:r>
      <w:r>
        <w:rPr>
          <w:spacing w:val="-1"/>
        </w:rPr>
        <w:t> </w:t>
      </w:r>
      <w:r>
        <w:rPr/>
        <w:t>weight</w:t>
      </w:r>
      <w:r>
        <w:rPr>
          <w:spacing w:val="-1"/>
        </w:rPr>
        <w:t> </w:t>
      </w:r>
      <w:r>
        <w:rPr/>
        <w:t>change</w:t>
      </w:r>
      <w:r>
        <w:rPr>
          <w:spacing w:val="-1"/>
        </w:rPr>
        <w:t> </w:t>
      </w:r>
      <w:r>
        <w:rPr/>
        <w:t>between</w:t>
      </w:r>
      <w:r>
        <w:rPr>
          <w:spacing w:val="-1"/>
        </w:rPr>
        <w:t> </w:t>
      </w:r>
      <w:r>
        <w:rPr/>
        <w:t>treatment</w:t>
      </w:r>
      <w:r>
        <w:rPr>
          <w:spacing w:val="-1"/>
        </w:rPr>
        <w:t> </w:t>
      </w:r>
      <w:r>
        <w:rPr/>
        <w:t>and</w:t>
      </w:r>
      <w:r>
        <w:rPr>
          <w:spacing w:val="-1"/>
        </w:rPr>
        <w:t> </w:t>
      </w:r>
      <w:r>
        <w:rPr/>
        <w:t>placebo.</w:t>
      </w:r>
      <w:r>
        <w:rPr>
          <w:spacing w:val="-1"/>
        </w:rPr>
        <w:t> </w:t>
      </w:r>
      <w:r>
        <w:rPr/>
        <w:t>If</w:t>
      </w:r>
      <w:r>
        <w:rPr>
          <w:spacing w:val="-1"/>
        </w:rPr>
        <w:t> </w:t>
      </w:r>
      <w:r>
        <w:rPr/>
        <w:t>the</w:t>
      </w:r>
      <w:r>
        <w:rPr>
          <w:spacing w:val="-1"/>
        </w:rPr>
        <w:t> </w:t>
      </w:r>
      <w:r>
        <w:rPr/>
        <w:t>standard deviation is assumed to be 10 percentage points, with a two-sided significance level of 0.05 and 90% power, a simple equal-allocation comparison of means requires approximately 85 evaluable participants per group. </w:t>
      </w:r>
      <w:r>
        <w:rPr/>
        <w:t>Using the normal approximation, n per group </w:t>
      </w:r>
      <w:r>
        <w:rPr>
          <w:rFonts w:ascii="Symbol" w:hAnsi="Symbol"/>
        </w:rPr>
        <w:t></w:t>
      </w:r>
      <w:r>
        <w:rPr/>
        <w:t> 2 × (Z</w:t>
      </w:r>
      <w:r>
        <w:rPr>
          <w:rFonts w:ascii="Symbol" w:hAnsi="Symbol"/>
        </w:rPr>
        <w:t></w:t>
      </w:r>
      <w:r>
        <w:rPr/>
        <w:t>/2 + Z</w:t>
      </w:r>
      <w:r>
        <w:rPr>
          <w:rFonts w:ascii="Symbol" w:hAnsi="Symbol"/>
        </w:rPr>
        <w:t></w:t>
      </w:r>
      <w:r>
        <w:rPr/>
        <w:t>)² × </w:t>
      </w:r>
      <w:r>
        <w:rPr>
          <w:rFonts w:ascii="Symbol" w:hAnsi="Symbol"/>
        </w:rPr>
        <w:t></w:t>
      </w:r>
      <w:r>
        <w:rPr/>
        <w:t>² / </w:t>
      </w:r>
      <w:r>
        <w:rPr>
          <w:rFonts w:ascii="Symbol" w:hAnsi="Symbol"/>
        </w:rPr>
        <w:t></w:t>
      </w:r>
      <w:r>
        <w:rPr/>
        <w:t>² = 2 × (1.96 + 1.282)² × 10² / 5² </w:t>
      </w:r>
      <w:r>
        <w:rPr>
          <w:rFonts w:ascii="Symbol" w:hAnsi="Symbol"/>
        </w:rPr>
        <w:t></w:t>
      </w:r>
      <w:r>
        <w:rPr/>
        <w:t> 84.1, rounded up to 85. If 20% attrition is anticipated, the recruitment target becomes 85 / 0.80 </w:t>
      </w:r>
      <w:r>
        <w:rPr>
          <w:rFonts w:ascii="Symbol" w:hAnsi="Symbol"/>
        </w:rPr>
        <w:t></w:t>
      </w:r>
      <w:r>
        <w:rPr/>
        <w:t> 107 participants per group, or 214 total. This is an illustrative calculation, not a definitive protocol: the final sample size should use justified assumptions, an appropriate statistical model, allowance for multiple comparisons where relevant, and consultation with a statistician.</w:t>
      </w:r>
    </w:p>
    <w:p>
      <w:pPr>
        <w:pStyle w:val="BodyText"/>
        <w:spacing w:line="278" w:lineRule="auto" w:before="151"/>
      </w:pPr>
      <w:r>
        <w:rPr/>
        <w:t>The primary analysis should be prespecified before unblinding. For a continuous outcome such as percentage weight change, analysis of covariance (ANCOVA) can compare groups at follow-up while adjusting for </w:t>
      </w:r>
      <w:r>
        <w:rPr/>
        <w:t>baseline weight and stratification variables. Results should include the estimated treatment difference, 95% confidence interval, and exact p-value, rather than relying on statistical significance alone. A prespecified intention-to-treat estimand should retain participants in their randomised groups and define how treatment discontinuation and rescue interventions are handled. Per-protocol analyses can be useful as sensitivity analyses, but should not replace the primary analysis because excluding participants after randomisation can introduce bias.</w:t>
      </w:r>
    </w:p>
    <w:p>
      <w:pPr>
        <w:pStyle w:val="BodyText"/>
        <w:spacing w:line="278" w:lineRule="auto"/>
      </w:pPr>
      <w:r>
        <w:rPr/>
        <w:t>Missing data require an explicit plan. Investigators should record why each outcome is missing and </w:t>
      </w:r>
      <w:r>
        <w:rPr/>
        <w:t>distinguish missed visits, treatment discontinuation, withdrawal of consent, and loss to follow-up. Mixed models or multiple imputation may be appropriate under a missing-at-random assumption, but that assumption cannot be verified from the observed data alone. Sensitivity analyses—such as delta-adjusted multiple imputation or a plausible “missing</w:t>
      </w:r>
      <w:r>
        <w:rPr>
          <w:spacing w:val="-2"/>
        </w:rPr>
        <w:t> </w:t>
      </w:r>
      <w:r>
        <w:rPr/>
        <w:t>not</w:t>
      </w:r>
      <w:r>
        <w:rPr>
          <w:spacing w:val="-2"/>
        </w:rPr>
        <w:t> </w:t>
      </w:r>
      <w:r>
        <w:rPr/>
        <w:t>at</w:t>
      </w:r>
      <w:r>
        <w:rPr>
          <w:spacing w:val="-2"/>
        </w:rPr>
        <w:t> </w:t>
      </w:r>
      <w:r>
        <w:rPr/>
        <w:t>random”</w:t>
      </w:r>
      <w:r>
        <w:rPr>
          <w:spacing w:val="-2"/>
        </w:rPr>
        <w:t> </w:t>
      </w:r>
      <w:r>
        <w:rPr/>
        <w:t>scenario—should</w:t>
      </w:r>
      <w:r>
        <w:rPr>
          <w:spacing w:val="-2"/>
        </w:rPr>
        <w:t> </w:t>
      </w:r>
      <w:r>
        <w:rPr/>
        <w:t>test</w:t>
      </w:r>
      <w:r>
        <w:rPr>
          <w:spacing w:val="-2"/>
        </w:rPr>
        <w:t> </w:t>
      </w:r>
      <w:r>
        <w:rPr/>
        <w:t>whether</w:t>
      </w:r>
      <w:r>
        <w:rPr>
          <w:spacing w:val="-2"/>
        </w:rPr>
        <w:t> </w:t>
      </w:r>
      <w:r>
        <w:rPr/>
        <w:t>conclusions</w:t>
      </w:r>
      <w:r>
        <w:rPr>
          <w:spacing w:val="-2"/>
        </w:rPr>
        <w:t> </w:t>
      </w:r>
      <w:r>
        <w:rPr/>
        <w:t>change</w:t>
      </w:r>
      <w:r>
        <w:rPr>
          <w:spacing w:val="-2"/>
        </w:rPr>
        <w:t> </w:t>
      </w:r>
      <w:r>
        <w:rPr/>
        <w:t>if</w:t>
      </w:r>
      <w:r>
        <w:rPr>
          <w:spacing w:val="-2"/>
        </w:rPr>
        <w:t> </w:t>
      </w:r>
      <w:r>
        <w:rPr/>
        <w:t>people</w:t>
      </w:r>
      <w:r>
        <w:rPr>
          <w:spacing w:val="-2"/>
        </w:rPr>
        <w:t> </w:t>
      </w:r>
      <w:r>
        <w:rPr/>
        <w:t>with</w:t>
      </w:r>
      <w:r>
        <w:rPr>
          <w:spacing w:val="-2"/>
        </w:rPr>
        <w:t> </w:t>
      </w:r>
      <w:r>
        <w:rPr/>
        <w:t>missing</w:t>
      </w:r>
      <w:r>
        <w:rPr>
          <w:spacing w:val="-2"/>
        </w:rPr>
        <w:t> </w:t>
      </w:r>
      <w:r>
        <w:rPr/>
        <w:t>data</w:t>
      </w:r>
      <w:r>
        <w:rPr>
          <w:spacing w:val="-2"/>
        </w:rPr>
        <w:t> </w:t>
      </w:r>
      <w:r>
        <w:rPr/>
        <w:t>had</w:t>
      </w:r>
      <w:r>
        <w:rPr>
          <w:spacing w:val="-2"/>
        </w:rPr>
        <w:t> </w:t>
      </w:r>
      <w:r>
        <w:rPr/>
        <w:t>worse outcomes than predicted. Last observation carried forward should generally be avoided as the sole method because it can produce biased estimates and understate uncertainty.</w:t>
      </w:r>
    </w:p>
    <w:p>
      <w:pPr>
        <w:pStyle w:val="BodyText"/>
        <w:spacing w:line="278" w:lineRule="auto" w:before="140"/>
      </w:pPr>
      <w:r>
        <w:rPr/>
        <w:t>Protocol deviations should be defined before recruitment. Examples include a missed dose, use of </w:t>
      </w:r>
      <w:r>
        <w:rPr/>
        <w:t>prohibited medication, an eligibility error, an out-of-window assessment, or a major breach affecting participant safety or data integrity. Sites should document the date, reason, severity, corrective action, and whether the deviation affects the analysis population. An independent, blinded committee or predefined rules should classify major deviations where appropriate. Safety-related deviations must be managed immediately; preserving the study protocol must never take priority over patient welfare. The report should present deviations by randomised group and explain their potential influence on interpretation.</w:t>
      </w:r>
    </w:p>
    <w:p>
      <w:pPr>
        <w:pStyle w:val="BodyText"/>
        <w:spacing w:line="278" w:lineRule="auto"/>
      </w:pPr>
      <w:r>
        <w:rPr/>
        <w:t>Long-term pragmatic studies are also needed to examine durability, cardiovascular outcomes, quality of life, discontinuation, and rare harms across diverse populations. Research should compare continuous treatment, dose optimisation, switching agents, structured withdrawal, and combinations with behavioural support. </w:t>
      </w:r>
      <w:r>
        <w:rPr/>
        <w:t>Better evidence on body composition, nutritional status, muscle function, and patient-reported outcomes will help establish whether weight loss translates into better health.</w:t>
      </w:r>
    </w:p>
    <w:p>
      <w:pPr>
        <w:pStyle w:val="BodyText"/>
        <w:spacing w:line="278" w:lineRule="auto"/>
      </w:pPr>
      <w:r>
        <w:rPr/>
        <w:t>Health systems need feasible monitoring models. Primary-care clinicians, pharmacists, dietitians, nurses, and specialists can share responsibility for eligibility assessment, counselling, titration, follow-up, and adverse-</w:t>
      </w:r>
      <w:r>
        <w:rPr/>
        <w:t>event recognition. In India and other settings with substantial out-of-pocket spending, guidance should address affordability, approved indications, counterfeit risks, and the realities of long-term follow-up. Public communication</w:t>
      </w:r>
      <w:r>
        <w:rPr>
          <w:spacing w:val="27"/>
        </w:rPr>
        <w:t> </w:t>
      </w:r>
      <w:r>
        <w:rPr/>
        <w:t>should</w:t>
      </w:r>
      <w:r>
        <w:rPr>
          <w:spacing w:val="29"/>
        </w:rPr>
        <w:t> </w:t>
      </w:r>
      <w:r>
        <w:rPr/>
        <w:t>distinguish</w:t>
      </w:r>
      <w:r>
        <w:rPr>
          <w:spacing w:val="29"/>
        </w:rPr>
        <w:t> </w:t>
      </w:r>
      <w:r>
        <w:rPr/>
        <w:t>medically</w:t>
      </w:r>
      <w:r>
        <w:rPr>
          <w:spacing w:val="29"/>
        </w:rPr>
        <w:t> </w:t>
      </w:r>
      <w:r>
        <w:rPr/>
        <w:t>supervised</w:t>
      </w:r>
      <w:r>
        <w:rPr>
          <w:spacing w:val="29"/>
        </w:rPr>
        <w:t> </w:t>
      </w:r>
      <w:r>
        <w:rPr/>
        <w:t>treatment</w:t>
      </w:r>
      <w:r>
        <w:rPr>
          <w:spacing w:val="29"/>
        </w:rPr>
        <w:t> </w:t>
      </w:r>
      <w:r>
        <w:rPr/>
        <w:t>from</w:t>
      </w:r>
      <w:r>
        <w:rPr>
          <w:spacing w:val="29"/>
        </w:rPr>
        <w:t> </w:t>
      </w:r>
      <w:r>
        <w:rPr/>
        <w:t>cosmetic</w:t>
      </w:r>
      <w:r>
        <w:rPr>
          <w:spacing w:val="29"/>
        </w:rPr>
        <w:t> </w:t>
      </w:r>
      <w:r>
        <w:rPr/>
        <w:t>use</w:t>
      </w:r>
      <w:r>
        <w:rPr>
          <w:spacing w:val="29"/>
        </w:rPr>
        <w:t> </w:t>
      </w:r>
      <w:r>
        <w:rPr/>
        <w:t>and</w:t>
      </w:r>
      <w:r>
        <w:rPr>
          <w:spacing w:val="29"/>
        </w:rPr>
        <w:t> </w:t>
      </w:r>
      <w:r>
        <w:rPr/>
        <w:t>unverified</w:t>
      </w:r>
      <w:r>
        <w:rPr>
          <w:spacing w:val="29"/>
        </w:rPr>
        <w:t> </w:t>
      </w:r>
      <w:r>
        <w:rPr>
          <w:spacing w:val="-2"/>
        </w:rPr>
        <w:t>products.</w:t>
      </w:r>
    </w:p>
    <w:p>
      <w:pPr>
        <w:pStyle w:val="BodyText"/>
        <w:spacing w:after="0" w:line="278" w:lineRule="auto"/>
        <w:sectPr>
          <w:pgSz w:w="11910" w:h="16840"/>
          <w:pgMar w:header="0" w:footer="510" w:top="980" w:bottom="740" w:left="1133" w:right="1133"/>
        </w:sectPr>
      </w:pPr>
    </w:p>
    <w:p>
      <w:pPr>
        <w:pStyle w:val="BodyText"/>
        <w:spacing w:line="278" w:lineRule="auto" w:before="72"/>
        <w:ind w:right="23"/>
      </w:pPr>
      <w:r>
        <w:rPr/>
        <w:t>Prevention policies that improve access to nutritious food, support physical activity, and reduce stigma must continue in parallel.</w:t>
      </w:r>
    </w:p>
    <w:p>
      <w:pPr>
        <w:pStyle w:val="Heading2"/>
        <w:spacing w:before="202"/>
      </w:pPr>
      <w:r>
        <w:rPr>
          <w:color w:val="1F4D79"/>
          <w:spacing w:val="-2"/>
        </w:rPr>
        <w:t>Conclusion</w:t>
      </w:r>
    </w:p>
    <w:p>
      <w:pPr>
        <w:pStyle w:val="BodyText"/>
        <w:spacing w:line="278" w:lineRule="auto"/>
      </w:pPr>
      <w:r>
        <w:rPr/>
        <w:t>GLP-1 receptor agonists and dual incretin therapies represent a meaningful change in obesity medicine. Randomised trials show substantial average weight reduction, and semaglutide has reduced cardiovascular events in a defined high-risk population. These advances challenge the outdated assumption that obesity can </w:t>
      </w:r>
      <w:r>
        <w:rPr/>
        <w:t>be</w:t>
      </w:r>
      <w:r>
        <w:rPr>
          <w:spacing w:val="40"/>
        </w:rPr>
        <w:t> </w:t>
      </w:r>
      <w:r>
        <w:rPr/>
        <w:t>addressed through personal effort alone. Yet uncertainty about lifelong use, weight regain after discontinuation, adverse effects, cost, and unequal access prevents these medicines from being a complete solution.</w:t>
      </w:r>
    </w:p>
    <w:p>
      <w:pPr>
        <w:pStyle w:val="BodyText"/>
        <w:spacing w:line="278" w:lineRule="auto"/>
      </w:pPr>
      <w:r>
        <w:rPr/>
        <w:t>Responsible</w:t>
      </w:r>
      <w:r>
        <w:rPr>
          <w:spacing w:val="-4"/>
        </w:rPr>
        <w:t> </w:t>
      </w:r>
      <w:r>
        <w:rPr/>
        <w:t>integration</w:t>
      </w:r>
      <w:r>
        <w:rPr>
          <w:spacing w:val="-4"/>
        </w:rPr>
        <w:t> </w:t>
      </w:r>
      <w:r>
        <w:rPr/>
        <w:t>requires</w:t>
      </w:r>
      <w:r>
        <w:rPr>
          <w:spacing w:val="-4"/>
        </w:rPr>
        <w:t> </w:t>
      </w:r>
      <w:r>
        <w:rPr/>
        <w:t>evidence-based</w:t>
      </w:r>
      <w:r>
        <w:rPr>
          <w:spacing w:val="-4"/>
        </w:rPr>
        <w:t> </w:t>
      </w:r>
      <w:r>
        <w:rPr/>
        <w:t>prescribing,</w:t>
      </w:r>
      <w:r>
        <w:rPr>
          <w:spacing w:val="-4"/>
        </w:rPr>
        <w:t> </w:t>
      </w:r>
      <w:r>
        <w:rPr/>
        <w:t>honest</w:t>
      </w:r>
      <w:r>
        <w:rPr>
          <w:spacing w:val="-4"/>
        </w:rPr>
        <w:t> </w:t>
      </w:r>
      <w:r>
        <w:rPr/>
        <w:t>counselling,</w:t>
      </w:r>
      <w:r>
        <w:rPr>
          <w:spacing w:val="-4"/>
        </w:rPr>
        <w:t> </w:t>
      </w:r>
      <w:r>
        <w:rPr/>
        <w:t>monitoring</w:t>
      </w:r>
      <w:r>
        <w:rPr>
          <w:spacing w:val="-4"/>
        </w:rPr>
        <w:t> </w:t>
      </w:r>
      <w:r>
        <w:rPr/>
        <w:t>beyond</w:t>
      </w:r>
      <w:r>
        <w:rPr>
          <w:spacing w:val="-4"/>
        </w:rPr>
        <w:t> </w:t>
      </w:r>
      <w:r>
        <w:rPr/>
        <w:t>body</w:t>
      </w:r>
      <w:r>
        <w:rPr>
          <w:spacing w:val="-4"/>
        </w:rPr>
        <w:t> </w:t>
      </w:r>
      <w:r>
        <w:rPr/>
        <w:t>weight, nutritional and behavioural support, reliable supply, and rigorous research. Future studies must make sample-size assumptions transparent, prespecify statistical methods, examine missing data through sensitivity analyses, and report protocol deviations clearly. The real measure of this breakthrough will not be the number of prescriptions written or kilograms lost, but whether people experience sustained improvements in health, function, and quality of life—and whether those benefits are accessible to those who need them.</w:t>
      </w:r>
    </w:p>
    <w:p>
      <w:pPr>
        <w:pStyle w:val="Heading2"/>
        <w:spacing w:before="202"/>
      </w:pPr>
      <w:r>
        <w:rPr>
          <w:color w:val="1F4D79"/>
          <w:spacing w:val="-2"/>
        </w:rPr>
        <w:t>References</w:t>
      </w:r>
    </w:p>
    <w:p>
      <w:pPr>
        <w:spacing w:line="271" w:lineRule="auto" w:before="136"/>
        <w:ind w:left="23" w:right="0" w:firstLine="0"/>
        <w:jc w:val="left"/>
        <w:rPr>
          <w:sz w:val="17"/>
        </w:rPr>
      </w:pPr>
      <w:r>
        <w:rPr>
          <w:sz w:val="17"/>
        </w:rPr>
        <w:t>1.</w:t>
      </w:r>
      <w:r>
        <w:rPr>
          <w:spacing w:val="-2"/>
          <w:sz w:val="17"/>
        </w:rPr>
        <w:t> </w:t>
      </w:r>
      <w:r>
        <w:rPr>
          <w:sz w:val="17"/>
        </w:rPr>
        <w:t>Wilding</w:t>
      </w:r>
      <w:r>
        <w:rPr>
          <w:spacing w:val="-2"/>
          <w:sz w:val="17"/>
        </w:rPr>
        <w:t> </w:t>
      </w:r>
      <w:r>
        <w:rPr>
          <w:sz w:val="17"/>
        </w:rPr>
        <w:t>JPH,</w:t>
      </w:r>
      <w:r>
        <w:rPr>
          <w:spacing w:val="-2"/>
          <w:sz w:val="17"/>
        </w:rPr>
        <w:t> </w:t>
      </w:r>
      <w:r>
        <w:rPr>
          <w:sz w:val="17"/>
        </w:rPr>
        <w:t>Batterham</w:t>
      </w:r>
      <w:r>
        <w:rPr>
          <w:spacing w:val="-2"/>
          <w:sz w:val="17"/>
        </w:rPr>
        <w:t> </w:t>
      </w:r>
      <w:r>
        <w:rPr>
          <w:sz w:val="17"/>
        </w:rPr>
        <w:t>RL,</w:t>
      </w:r>
      <w:r>
        <w:rPr>
          <w:spacing w:val="-2"/>
          <w:sz w:val="17"/>
        </w:rPr>
        <w:t> </w:t>
      </w:r>
      <w:r>
        <w:rPr>
          <w:sz w:val="17"/>
        </w:rPr>
        <w:t>Calanna</w:t>
      </w:r>
      <w:r>
        <w:rPr>
          <w:spacing w:val="-2"/>
          <w:sz w:val="17"/>
        </w:rPr>
        <w:t> </w:t>
      </w:r>
      <w:r>
        <w:rPr>
          <w:sz w:val="17"/>
        </w:rPr>
        <w:t>S,</w:t>
      </w:r>
      <w:r>
        <w:rPr>
          <w:spacing w:val="-2"/>
          <w:sz w:val="17"/>
        </w:rPr>
        <w:t> </w:t>
      </w:r>
      <w:r>
        <w:rPr>
          <w:sz w:val="17"/>
        </w:rPr>
        <w:t>et</w:t>
      </w:r>
      <w:r>
        <w:rPr>
          <w:spacing w:val="-2"/>
          <w:sz w:val="17"/>
        </w:rPr>
        <w:t> </w:t>
      </w:r>
      <w:r>
        <w:rPr>
          <w:sz w:val="17"/>
        </w:rPr>
        <w:t>al.</w:t>
      </w:r>
      <w:r>
        <w:rPr>
          <w:spacing w:val="-2"/>
          <w:sz w:val="17"/>
        </w:rPr>
        <w:t> </w:t>
      </w:r>
      <w:r>
        <w:rPr>
          <w:sz w:val="17"/>
        </w:rPr>
        <w:t>Once-Weekly</w:t>
      </w:r>
      <w:r>
        <w:rPr>
          <w:spacing w:val="-2"/>
          <w:sz w:val="17"/>
        </w:rPr>
        <w:t> </w:t>
      </w:r>
      <w:r>
        <w:rPr>
          <w:sz w:val="17"/>
        </w:rPr>
        <w:t>Semaglutide</w:t>
      </w:r>
      <w:r>
        <w:rPr>
          <w:spacing w:val="-2"/>
          <w:sz w:val="17"/>
        </w:rPr>
        <w:t> </w:t>
      </w:r>
      <w:r>
        <w:rPr>
          <w:sz w:val="17"/>
        </w:rPr>
        <w:t>in</w:t>
      </w:r>
      <w:r>
        <w:rPr>
          <w:spacing w:val="-2"/>
          <w:sz w:val="17"/>
        </w:rPr>
        <w:t> </w:t>
      </w:r>
      <w:r>
        <w:rPr>
          <w:sz w:val="17"/>
        </w:rPr>
        <w:t>Adults</w:t>
      </w:r>
      <w:r>
        <w:rPr>
          <w:spacing w:val="-2"/>
          <w:sz w:val="17"/>
        </w:rPr>
        <w:t> </w:t>
      </w:r>
      <w:r>
        <w:rPr>
          <w:sz w:val="17"/>
        </w:rPr>
        <w:t>with</w:t>
      </w:r>
      <w:r>
        <w:rPr>
          <w:spacing w:val="-2"/>
          <w:sz w:val="17"/>
        </w:rPr>
        <w:t> </w:t>
      </w:r>
      <w:r>
        <w:rPr>
          <w:sz w:val="17"/>
        </w:rPr>
        <w:t>Overweight</w:t>
      </w:r>
      <w:r>
        <w:rPr>
          <w:spacing w:val="-2"/>
          <w:sz w:val="17"/>
        </w:rPr>
        <w:t> </w:t>
      </w:r>
      <w:r>
        <w:rPr>
          <w:sz w:val="17"/>
        </w:rPr>
        <w:t>or</w:t>
      </w:r>
      <w:r>
        <w:rPr>
          <w:spacing w:val="-2"/>
          <w:sz w:val="17"/>
        </w:rPr>
        <w:t> </w:t>
      </w:r>
      <w:r>
        <w:rPr>
          <w:sz w:val="17"/>
        </w:rPr>
        <w:t>Obesity.</w:t>
      </w:r>
      <w:r>
        <w:rPr>
          <w:spacing w:val="-2"/>
          <w:sz w:val="17"/>
        </w:rPr>
        <w:t> </w:t>
      </w:r>
      <w:r>
        <w:rPr>
          <w:sz w:val="17"/>
        </w:rPr>
        <w:t>N</w:t>
      </w:r>
      <w:r>
        <w:rPr>
          <w:spacing w:val="-2"/>
          <w:sz w:val="17"/>
        </w:rPr>
        <w:t> </w:t>
      </w:r>
      <w:r>
        <w:rPr>
          <w:sz w:val="17"/>
        </w:rPr>
        <w:t>Engl</w:t>
      </w:r>
      <w:r>
        <w:rPr>
          <w:spacing w:val="-2"/>
          <w:sz w:val="17"/>
        </w:rPr>
        <w:t> </w:t>
      </w:r>
      <w:r>
        <w:rPr>
          <w:sz w:val="17"/>
        </w:rPr>
        <w:t>J</w:t>
      </w:r>
      <w:r>
        <w:rPr>
          <w:spacing w:val="-2"/>
          <w:sz w:val="17"/>
        </w:rPr>
        <w:t> </w:t>
      </w:r>
      <w:r>
        <w:rPr>
          <w:sz w:val="17"/>
        </w:rPr>
        <w:t>Med. 2021;384:989–1002. doi:10.1056/NEJMoa2032183.</w:t>
      </w:r>
    </w:p>
    <w:p>
      <w:pPr>
        <w:pStyle w:val="ListParagraph"/>
        <w:numPr>
          <w:ilvl w:val="0"/>
          <w:numId w:val="1"/>
        </w:numPr>
        <w:tabs>
          <w:tab w:pos="193" w:val="left" w:leader="none"/>
        </w:tabs>
        <w:spacing w:line="271" w:lineRule="auto" w:before="118" w:after="0"/>
        <w:ind w:left="23" w:right="138" w:firstLine="0"/>
        <w:jc w:val="left"/>
        <w:rPr>
          <w:sz w:val="17"/>
        </w:rPr>
      </w:pPr>
      <w:r>
        <w:rPr>
          <w:sz w:val="17"/>
        </w:rPr>
        <w:t>Jastreboff</w:t>
      </w:r>
      <w:r>
        <w:rPr>
          <w:spacing w:val="-2"/>
          <w:sz w:val="17"/>
        </w:rPr>
        <w:t> </w:t>
      </w:r>
      <w:r>
        <w:rPr>
          <w:sz w:val="17"/>
        </w:rPr>
        <w:t>AM,</w:t>
      </w:r>
      <w:r>
        <w:rPr>
          <w:spacing w:val="-2"/>
          <w:sz w:val="17"/>
        </w:rPr>
        <w:t> </w:t>
      </w:r>
      <w:r>
        <w:rPr>
          <w:sz w:val="17"/>
        </w:rPr>
        <w:t>Aronne</w:t>
      </w:r>
      <w:r>
        <w:rPr>
          <w:spacing w:val="-2"/>
          <w:sz w:val="17"/>
        </w:rPr>
        <w:t> </w:t>
      </w:r>
      <w:r>
        <w:rPr>
          <w:sz w:val="17"/>
        </w:rPr>
        <w:t>LJ,</w:t>
      </w:r>
      <w:r>
        <w:rPr>
          <w:spacing w:val="-2"/>
          <w:sz w:val="17"/>
        </w:rPr>
        <w:t> </w:t>
      </w:r>
      <w:r>
        <w:rPr>
          <w:sz w:val="17"/>
        </w:rPr>
        <w:t>Ahmad</w:t>
      </w:r>
      <w:r>
        <w:rPr>
          <w:spacing w:val="-2"/>
          <w:sz w:val="17"/>
        </w:rPr>
        <w:t> </w:t>
      </w:r>
      <w:r>
        <w:rPr>
          <w:sz w:val="17"/>
        </w:rPr>
        <w:t>NN,</w:t>
      </w:r>
      <w:r>
        <w:rPr>
          <w:spacing w:val="-2"/>
          <w:sz w:val="17"/>
        </w:rPr>
        <w:t> </w:t>
      </w:r>
      <w:r>
        <w:rPr>
          <w:sz w:val="17"/>
        </w:rPr>
        <w:t>et</w:t>
      </w:r>
      <w:r>
        <w:rPr>
          <w:spacing w:val="-2"/>
          <w:sz w:val="17"/>
        </w:rPr>
        <w:t> </w:t>
      </w:r>
      <w:r>
        <w:rPr>
          <w:sz w:val="17"/>
        </w:rPr>
        <w:t>al.</w:t>
      </w:r>
      <w:r>
        <w:rPr>
          <w:spacing w:val="-2"/>
          <w:sz w:val="17"/>
        </w:rPr>
        <w:t> </w:t>
      </w:r>
      <w:r>
        <w:rPr>
          <w:sz w:val="17"/>
        </w:rPr>
        <w:t>Tirzepatide</w:t>
      </w:r>
      <w:r>
        <w:rPr>
          <w:spacing w:val="-2"/>
          <w:sz w:val="17"/>
        </w:rPr>
        <w:t> </w:t>
      </w:r>
      <w:r>
        <w:rPr>
          <w:sz w:val="17"/>
        </w:rPr>
        <w:t>Once</w:t>
      </w:r>
      <w:r>
        <w:rPr>
          <w:spacing w:val="-2"/>
          <w:sz w:val="17"/>
        </w:rPr>
        <w:t> </w:t>
      </w:r>
      <w:r>
        <w:rPr>
          <w:sz w:val="17"/>
        </w:rPr>
        <w:t>Weekly</w:t>
      </w:r>
      <w:r>
        <w:rPr>
          <w:spacing w:val="-2"/>
          <w:sz w:val="17"/>
        </w:rPr>
        <w:t> </w:t>
      </w:r>
      <w:r>
        <w:rPr>
          <w:sz w:val="17"/>
        </w:rPr>
        <w:t>for</w:t>
      </w:r>
      <w:r>
        <w:rPr>
          <w:spacing w:val="-2"/>
          <w:sz w:val="17"/>
        </w:rPr>
        <w:t> </w:t>
      </w:r>
      <w:r>
        <w:rPr>
          <w:sz w:val="17"/>
        </w:rPr>
        <w:t>the</w:t>
      </w:r>
      <w:r>
        <w:rPr>
          <w:spacing w:val="-2"/>
          <w:sz w:val="17"/>
        </w:rPr>
        <w:t> </w:t>
      </w:r>
      <w:r>
        <w:rPr>
          <w:sz w:val="17"/>
        </w:rPr>
        <w:t>Treatment</w:t>
      </w:r>
      <w:r>
        <w:rPr>
          <w:spacing w:val="-2"/>
          <w:sz w:val="17"/>
        </w:rPr>
        <w:t> </w:t>
      </w:r>
      <w:r>
        <w:rPr>
          <w:sz w:val="17"/>
        </w:rPr>
        <w:t>of</w:t>
      </w:r>
      <w:r>
        <w:rPr>
          <w:spacing w:val="-2"/>
          <w:sz w:val="17"/>
        </w:rPr>
        <w:t> </w:t>
      </w:r>
      <w:r>
        <w:rPr>
          <w:sz w:val="17"/>
        </w:rPr>
        <w:t>Obesity.</w:t>
      </w:r>
      <w:r>
        <w:rPr>
          <w:spacing w:val="-2"/>
          <w:sz w:val="17"/>
        </w:rPr>
        <w:t> </w:t>
      </w:r>
      <w:r>
        <w:rPr>
          <w:sz w:val="17"/>
        </w:rPr>
        <w:t>N</w:t>
      </w:r>
      <w:r>
        <w:rPr>
          <w:spacing w:val="-2"/>
          <w:sz w:val="17"/>
        </w:rPr>
        <w:t> </w:t>
      </w:r>
      <w:r>
        <w:rPr>
          <w:sz w:val="17"/>
        </w:rPr>
        <w:t>Engl</w:t>
      </w:r>
      <w:r>
        <w:rPr>
          <w:spacing w:val="-2"/>
          <w:sz w:val="17"/>
        </w:rPr>
        <w:t> </w:t>
      </w:r>
      <w:r>
        <w:rPr>
          <w:sz w:val="17"/>
        </w:rPr>
        <w:t>J</w:t>
      </w:r>
      <w:r>
        <w:rPr>
          <w:spacing w:val="-2"/>
          <w:sz w:val="17"/>
        </w:rPr>
        <w:t> </w:t>
      </w:r>
      <w:r>
        <w:rPr>
          <w:sz w:val="17"/>
        </w:rPr>
        <w:t>Med.</w:t>
      </w:r>
      <w:r>
        <w:rPr>
          <w:spacing w:val="-2"/>
          <w:sz w:val="17"/>
        </w:rPr>
        <w:t> </w:t>
      </w:r>
      <w:r>
        <w:rPr>
          <w:sz w:val="17"/>
        </w:rPr>
        <w:t>2022;387:205–</w:t>
      </w:r>
      <w:r>
        <w:rPr>
          <w:sz w:val="17"/>
        </w:rPr>
        <w:t>216. </w:t>
      </w:r>
      <w:r>
        <w:rPr>
          <w:spacing w:val="-2"/>
          <w:sz w:val="17"/>
        </w:rPr>
        <w:t>doi:10.1056/NEJMoa2206038.</w:t>
      </w:r>
    </w:p>
    <w:p>
      <w:pPr>
        <w:pStyle w:val="ListParagraph"/>
        <w:numPr>
          <w:ilvl w:val="0"/>
          <w:numId w:val="1"/>
        </w:numPr>
        <w:tabs>
          <w:tab w:pos="193" w:val="left" w:leader="none"/>
        </w:tabs>
        <w:spacing w:line="271" w:lineRule="auto" w:before="118" w:after="0"/>
        <w:ind w:left="23" w:right="213" w:firstLine="0"/>
        <w:jc w:val="left"/>
        <w:rPr>
          <w:sz w:val="17"/>
        </w:rPr>
      </w:pPr>
      <w:r>
        <w:rPr>
          <w:sz w:val="17"/>
        </w:rPr>
        <w:t>Lincoff</w:t>
      </w:r>
      <w:r>
        <w:rPr>
          <w:spacing w:val="-2"/>
          <w:sz w:val="17"/>
        </w:rPr>
        <w:t> </w:t>
      </w:r>
      <w:r>
        <w:rPr>
          <w:sz w:val="17"/>
        </w:rPr>
        <w:t>AM,</w:t>
      </w:r>
      <w:r>
        <w:rPr>
          <w:spacing w:val="-2"/>
          <w:sz w:val="17"/>
        </w:rPr>
        <w:t> </w:t>
      </w:r>
      <w:r>
        <w:rPr>
          <w:sz w:val="17"/>
        </w:rPr>
        <w:t>Brown-Frandsen</w:t>
      </w:r>
      <w:r>
        <w:rPr>
          <w:spacing w:val="-2"/>
          <w:sz w:val="17"/>
        </w:rPr>
        <w:t> </w:t>
      </w:r>
      <w:r>
        <w:rPr>
          <w:sz w:val="17"/>
        </w:rPr>
        <w:t>K,</w:t>
      </w:r>
      <w:r>
        <w:rPr>
          <w:spacing w:val="-2"/>
          <w:sz w:val="17"/>
        </w:rPr>
        <w:t> </w:t>
      </w:r>
      <w:r>
        <w:rPr>
          <w:sz w:val="17"/>
        </w:rPr>
        <w:t>Colhoun</w:t>
      </w:r>
      <w:r>
        <w:rPr>
          <w:spacing w:val="-2"/>
          <w:sz w:val="17"/>
        </w:rPr>
        <w:t> </w:t>
      </w:r>
      <w:r>
        <w:rPr>
          <w:sz w:val="17"/>
        </w:rPr>
        <w:t>HM,</w:t>
      </w:r>
      <w:r>
        <w:rPr>
          <w:spacing w:val="-2"/>
          <w:sz w:val="17"/>
        </w:rPr>
        <w:t> </w:t>
      </w:r>
      <w:r>
        <w:rPr>
          <w:sz w:val="17"/>
        </w:rPr>
        <w:t>et</w:t>
      </w:r>
      <w:r>
        <w:rPr>
          <w:spacing w:val="-2"/>
          <w:sz w:val="17"/>
        </w:rPr>
        <w:t> </w:t>
      </w:r>
      <w:r>
        <w:rPr>
          <w:sz w:val="17"/>
        </w:rPr>
        <w:t>al.</w:t>
      </w:r>
      <w:r>
        <w:rPr>
          <w:spacing w:val="-2"/>
          <w:sz w:val="17"/>
        </w:rPr>
        <w:t> </w:t>
      </w:r>
      <w:r>
        <w:rPr>
          <w:sz w:val="17"/>
        </w:rPr>
        <w:t>Semaglutide</w:t>
      </w:r>
      <w:r>
        <w:rPr>
          <w:spacing w:val="-2"/>
          <w:sz w:val="17"/>
        </w:rPr>
        <w:t> </w:t>
      </w:r>
      <w:r>
        <w:rPr>
          <w:sz w:val="17"/>
        </w:rPr>
        <w:t>and</w:t>
      </w:r>
      <w:r>
        <w:rPr>
          <w:spacing w:val="-2"/>
          <w:sz w:val="17"/>
        </w:rPr>
        <w:t> </w:t>
      </w:r>
      <w:r>
        <w:rPr>
          <w:sz w:val="17"/>
        </w:rPr>
        <w:t>Cardiovascular</w:t>
      </w:r>
      <w:r>
        <w:rPr>
          <w:spacing w:val="-2"/>
          <w:sz w:val="17"/>
        </w:rPr>
        <w:t> </w:t>
      </w:r>
      <w:r>
        <w:rPr>
          <w:sz w:val="17"/>
        </w:rPr>
        <w:t>Outcomes</w:t>
      </w:r>
      <w:r>
        <w:rPr>
          <w:spacing w:val="-2"/>
          <w:sz w:val="17"/>
        </w:rPr>
        <w:t> </w:t>
      </w:r>
      <w:r>
        <w:rPr>
          <w:sz w:val="17"/>
        </w:rPr>
        <w:t>in</w:t>
      </w:r>
      <w:r>
        <w:rPr>
          <w:spacing w:val="-2"/>
          <w:sz w:val="17"/>
        </w:rPr>
        <w:t> </w:t>
      </w:r>
      <w:r>
        <w:rPr>
          <w:sz w:val="17"/>
        </w:rPr>
        <w:t>Obesity</w:t>
      </w:r>
      <w:r>
        <w:rPr>
          <w:spacing w:val="-2"/>
          <w:sz w:val="17"/>
        </w:rPr>
        <w:t> </w:t>
      </w:r>
      <w:r>
        <w:rPr>
          <w:sz w:val="17"/>
        </w:rPr>
        <w:t>without</w:t>
      </w:r>
      <w:r>
        <w:rPr>
          <w:spacing w:val="-2"/>
          <w:sz w:val="17"/>
        </w:rPr>
        <w:t> </w:t>
      </w:r>
      <w:r>
        <w:rPr>
          <w:sz w:val="17"/>
        </w:rPr>
        <w:t>Diabetes.</w:t>
      </w:r>
      <w:r>
        <w:rPr>
          <w:spacing w:val="-2"/>
          <w:sz w:val="17"/>
        </w:rPr>
        <w:t> </w:t>
      </w:r>
      <w:r>
        <w:rPr>
          <w:sz w:val="17"/>
        </w:rPr>
        <w:t>N</w:t>
      </w:r>
      <w:r>
        <w:rPr>
          <w:spacing w:val="-2"/>
          <w:sz w:val="17"/>
        </w:rPr>
        <w:t> </w:t>
      </w:r>
      <w:r>
        <w:rPr>
          <w:sz w:val="17"/>
        </w:rPr>
        <w:t>Engl</w:t>
      </w:r>
      <w:r>
        <w:rPr>
          <w:spacing w:val="-2"/>
          <w:sz w:val="17"/>
        </w:rPr>
        <w:t> </w:t>
      </w:r>
      <w:r>
        <w:rPr>
          <w:sz w:val="17"/>
        </w:rPr>
        <w:t>J Med. 2023;389:2221–2232. doi:10.1056/NEJMoa2307563.</w:t>
      </w:r>
    </w:p>
    <w:p>
      <w:pPr>
        <w:pStyle w:val="ListParagraph"/>
        <w:numPr>
          <w:ilvl w:val="0"/>
          <w:numId w:val="1"/>
        </w:numPr>
        <w:tabs>
          <w:tab w:pos="193" w:val="left" w:leader="none"/>
        </w:tabs>
        <w:spacing w:line="271" w:lineRule="auto" w:before="118" w:after="0"/>
        <w:ind w:left="23" w:right="280" w:firstLine="0"/>
        <w:jc w:val="left"/>
        <w:rPr>
          <w:sz w:val="17"/>
        </w:rPr>
      </w:pPr>
      <w:r>
        <w:rPr>
          <w:sz w:val="17"/>
        </w:rPr>
        <w:t>Wilding</w:t>
      </w:r>
      <w:r>
        <w:rPr>
          <w:spacing w:val="-2"/>
          <w:sz w:val="17"/>
        </w:rPr>
        <w:t> </w:t>
      </w:r>
      <w:r>
        <w:rPr>
          <w:sz w:val="17"/>
        </w:rPr>
        <w:t>JPH,</w:t>
      </w:r>
      <w:r>
        <w:rPr>
          <w:spacing w:val="-2"/>
          <w:sz w:val="17"/>
        </w:rPr>
        <w:t> </w:t>
      </w:r>
      <w:r>
        <w:rPr>
          <w:sz w:val="17"/>
        </w:rPr>
        <w:t>Batterham</w:t>
      </w:r>
      <w:r>
        <w:rPr>
          <w:spacing w:val="-2"/>
          <w:sz w:val="17"/>
        </w:rPr>
        <w:t> </w:t>
      </w:r>
      <w:r>
        <w:rPr>
          <w:sz w:val="17"/>
        </w:rPr>
        <w:t>RL,</w:t>
      </w:r>
      <w:r>
        <w:rPr>
          <w:spacing w:val="-2"/>
          <w:sz w:val="17"/>
        </w:rPr>
        <w:t> </w:t>
      </w:r>
      <w:r>
        <w:rPr>
          <w:sz w:val="17"/>
        </w:rPr>
        <w:t>Davies</w:t>
      </w:r>
      <w:r>
        <w:rPr>
          <w:spacing w:val="-2"/>
          <w:sz w:val="17"/>
        </w:rPr>
        <w:t> </w:t>
      </w:r>
      <w:r>
        <w:rPr>
          <w:sz w:val="17"/>
        </w:rPr>
        <w:t>M,</w:t>
      </w:r>
      <w:r>
        <w:rPr>
          <w:spacing w:val="-2"/>
          <w:sz w:val="17"/>
        </w:rPr>
        <w:t> </w:t>
      </w:r>
      <w:r>
        <w:rPr>
          <w:sz w:val="17"/>
        </w:rPr>
        <w:t>et</w:t>
      </w:r>
      <w:r>
        <w:rPr>
          <w:spacing w:val="-2"/>
          <w:sz w:val="17"/>
        </w:rPr>
        <w:t> </w:t>
      </w:r>
      <w:r>
        <w:rPr>
          <w:sz w:val="17"/>
        </w:rPr>
        <w:t>al.</w:t>
      </w:r>
      <w:r>
        <w:rPr>
          <w:spacing w:val="-2"/>
          <w:sz w:val="17"/>
        </w:rPr>
        <w:t> </w:t>
      </w:r>
      <w:r>
        <w:rPr>
          <w:sz w:val="17"/>
        </w:rPr>
        <w:t>Weight</w:t>
      </w:r>
      <w:r>
        <w:rPr>
          <w:spacing w:val="-2"/>
          <w:sz w:val="17"/>
        </w:rPr>
        <w:t> </w:t>
      </w:r>
      <w:r>
        <w:rPr>
          <w:sz w:val="17"/>
        </w:rPr>
        <w:t>regain</w:t>
      </w:r>
      <w:r>
        <w:rPr>
          <w:spacing w:val="-2"/>
          <w:sz w:val="17"/>
        </w:rPr>
        <w:t> </w:t>
      </w:r>
      <w:r>
        <w:rPr>
          <w:sz w:val="17"/>
        </w:rPr>
        <w:t>and</w:t>
      </w:r>
      <w:r>
        <w:rPr>
          <w:spacing w:val="-2"/>
          <w:sz w:val="17"/>
        </w:rPr>
        <w:t> </w:t>
      </w:r>
      <w:r>
        <w:rPr>
          <w:sz w:val="17"/>
        </w:rPr>
        <w:t>cardiometabolic</w:t>
      </w:r>
      <w:r>
        <w:rPr>
          <w:spacing w:val="-2"/>
          <w:sz w:val="17"/>
        </w:rPr>
        <w:t> </w:t>
      </w:r>
      <w:r>
        <w:rPr>
          <w:sz w:val="17"/>
        </w:rPr>
        <w:t>effects</w:t>
      </w:r>
      <w:r>
        <w:rPr>
          <w:spacing w:val="-2"/>
          <w:sz w:val="17"/>
        </w:rPr>
        <w:t> </w:t>
      </w:r>
      <w:r>
        <w:rPr>
          <w:sz w:val="17"/>
        </w:rPr>
        <w:t>after</w:t>
      </w:r>
      <w:r>
        <w:rPr>
          <w:spacing w:val="-2"/>
          <w:sz w:val="17"/>
        </w:rPr>
        <w:t> </w:t>
      </w:r>
      <w:r>
        <w:rPr>
          <w:sz w:val="17"/>
        </w:rPr>
        <w:t>withdrawal</w:t>
      </w:r>
      <w:r>
        <w:rPr>
          <w:spacing w:val="-2"/>
          <w:sz w:val="17"/>
        </w:rPr>
        <w:t> </w:t>
      </w:r>
      <w:r>
        <w:rPr>
          <w:sz w:val="17"/>
        </w:rPr>
        <w:t>of</w:t>
      </w:r>
      <w:r>
        <w:rPr>
          <w:spacing w:val="-2"/>
          <w:sz w:val="17"/>
        </w:rPr>
        <w:t> </w:t>
      </w:r>
      <w:r>
        <w:rPr>
          <w:sz w:val="17"/>
        </w:rPr>
        <w:t>semaglutide:</w:t>
      </w:r>
      <w:r>
        <w:rPr>
          <w:spacing w:val="-2"/>
          <w:sz w:val="17"/>
        </w:rPr>
        <w:t> </w:t>
      </w:r>
      <w:r>
        <w:rPr>
          <w:sz w:val="17"/>
        </w:rPr>
        <w:t>The</w:t>
      </w:r>
      <w:r>
        <w:rPr>
          <w:spacing w:val="-2"/>
          <w:sz w:val="17"/>
        </w:rPr>
        <w:t> </w:t>
      </w:r>
      <w:r>
        <w:rPr>
          <w:sz w:val="17"/>
        </w:rPr>
        <w:t>STEP</w:t>
      </w:r>
      <w:r>
        <w:rPr>
          <w:spacing w:val="-2"/>
          <w:sz w:val="17"/>
        </w:rPr>
        <w:t> </w:t>
      </w:r>
      <w:r>
        <w:rPr>
          <w:sz w:val="17"/>
        </w:rPr>
        <w:t>1 trial extension. Diabetes Obes Metab. 2022;24(8):1553–1564. doi:10.1111/dom.14725.</w:t>
      </w:r>
    </w:p>
    <w:p>
      <w:pPr>
        <w:pStyle w:val="ListParagraph"/>
        <w:numPr>
          <w:ilvl w:val="0"/>
          <w:numId w:val="1"/>
        </w:numPr>
        <w:tabs>
          <w:tab w:pos="193" w:val="left" w:leader="none"/>
        </w:tabs>
        <w:spacing w:line="271" w:lineRule="auto" w:before="119" w:after="0"/>
        <w:ind w:left="23" w:right="742" w:firstLine="0"/>
        <w:jc w:val="left"/>
        <w:rPr>
          <w:sz w:val="17"/>
        </w:rPr>
      </w:pPr>
      <w:r>
        <w:rPr>
          <w:sz w:val="17"/>
        </w:rPr>
        <w:t>World</w:t>
      </w:r>
      <w:r>
        <w:rPr>
          <w:spacing w:val="-2"/>
          <w:sz w:val="17"/>
        </w:rPr>
        <w:t> </w:t>
      </w:r>
      <w:r>
        <w:rPr>
          <w:sz w:val="17"/>
        </w:rPr>
        <w:t>Health</w:t>
      </w:r>
      <w:r>
        <w:rPr>
          <w:spacing w:val="-2"/>
          <w:sz w:val="17"/>
        </w:rPr>
        <w:t> </w:t>
      </w:r>
      <w:r>
        <w:rPr>
          <w:sz w:val="17"/>
        </w:rPr>
        <w:t>Organization.</w:t>
      </w:r>
      <w:r>
        <w:rPr>
          <w:spacing w:val="-2"/>
          <w:sz w:val="17"/>
        </w:rPr>
        <w:t> </w:t>
      </w:r>
      <w:r>
        <w:rPr>
          <w:sz w:val="17"/>
        </w:rPr>
        <w:t>WHO</w:t>
      </w:r>
      <w:r>
        <w:rPr>
          <w:spacing w:val="-2"/>
          <w:sz w:val="17"/>
        </w:rPr>
        <w:t> </w:t>
      </w:r>
      <w:r>
        <w:rPr>
          <w:sz w:val="17"/>
        </w:rPr>
        <w:t>issues</w:t>
      </w:r>
      <w:r>
        <w:rPr>
          <w:spacing w:val="-2"/>
          <w:sz w:val="17"/>
        </w:rPr>
        <w:t> </w:t>
      </w:r>
      <w:r>
        <w:rPr>
          <w:sz w:val="17"/>
        </w:rPr>
        <w:t>global</w:t>
      </w:r>
      <w:r>
        <w:rPr>
          <w:spacing w:val="-2"/>
          <w:sz w:val="17"/>
        </w:rPr>
        <w:t> </w:t>
      </w:r>
      <w:r>
        <w:rPr>
          <w:sz w:val="17"/>
        </w:rPr>
        <w:t>guideline</w:t>
      </w:r>
      <w:r>
        <w:rPr>
          <w:spacing w:val="-2"/>
          <w:sz w:val="17"/>
        </w:rPr>
        <w:t> </w:t>
      </w:r>
      <w:r>
        <w:rPr>
          <w:sz w:val="17"/>
        </w:rPr>
        <w:t>on</w:t>
      </w:r>
      <w:r>
        <w:rPr>
          <w:spacing w:val="-2"/>
          <w:sz w:val="17"/>
        </w:rPr>
        <w:t> </w:t>
      </w:r>
      <w:r>
        <w:rPr>
          <w:sz w:val="17"/>
        </w:rPr>
        <w:t>the</w:t>
      </w:r>
      <w:r>
        <w:rPr>
          <w:spacing w:val="-2"/>
          <w:sz w:val="17"/>
        </w:rPr>
        <w:t> </w:t>
      </w:r>
      <w:r>
        <w:rPr>
          <w:sz w:val="17"/>
        </w:rPr>
        <w:t>use</w:t>
      </w:r>
      <w:r>
        <w:rPr>
          <w:spacing w:val="-2"/>
          <w:sz w:val="17"/>
        </w:rPr>
        <w:t> </w:t>
      </w:r>
      <w:r>
        <w:rPr>
          <w:sz w:val="17"/>
        </w:rPr>
        <w:t>of</w:t>
      </w:r>
      <w:r>
        <w:rPr>
          <w:spacing w:val="-2"/>
          <w:sz w:val="17"/>
        </w:rPr>
        <w:t> </w:t>
      </w:r>
      <w:r>
        <w:rPr>
          <w:sz w:val="17"/>
        </w:rPr>
        <w:t>GLP-1</w:t>
      </w:r>
      <w:r>
        <w:rPr>
          <w:spacing w:val="-2"/>
          <w:sz w:val="17"/>
        </w:rPr>
        <w:t> </w:t>
      </w:r>
      <w:r>
        <w:rPr>
          <w:sz w:val="17"/>
        </w:rPr>
        <w:t>medicines</w:t>
      </w:r>
      <w:r>
        <w:rPr>
          <w:spacing w:val="-2"/>
          <w:sz w:val="17"/>
        </w:rPr>
        <w:t> </w:t>
      </w:r>
      <w:r>
        <w:rPr>
          <w:sz w:val="17"/>
        </w:rPr>
        <w:t>in</w:t>
      </w:r>
      <w:r>
        <w:rPr>
          <w:spacing w:val="-2"/>
          <w:sz w:val="17"/>
        </w:rPr>
        <w:t> </w:t>
      </w:r>
      <w:r>
        <w:rPr>
          <w:sz w:val="17"/>
        </w:rPr>
        <w:t>treating</w:t>
      </w:r>
      <w:r>
        <w:rPr>
          <w:spacing w:val="-2"/>
          <w:sz w:val="17"/>
        </w:rPr>
        <w:t> </w:t>
      </w:r>
      <w:r>
        <w:rPr>
          <w:sz w:val="17"/>
        </w:rPr>
        <w:t>obesity.</w:t>
      </w:r>
      <w:r>
        <w:rPr>
          <w:spacing w:val="-2"/>
          <w:sz w:val="17"/>
        </w:rPr>
        <w:t> </w:t>
      </w:r>
      <w:r>
        <w:rPr>
          <w:sz w:val="17"/>
        </w:rPr>
        <w:t>1</w:t>
      </w:r>
      <w:r>
        <w:rPr>
          <w:spacing w:val="-2"/>
          <w:sz w:val="17"/>
        </w:rPr>
        <w:t> </w:t>
      </w:r>
      <w:r>
        <w:rPr>
          <w:sz w:val="17"/>
        </w:rPr>
        <w:t>December</w:t>
      </w:r>
      <w:r>
        <w:rPr>
          <w:spacing w:val="-2"/>
          <w:sz w:val="17"/>
        </w:rPr>
        <w:t> </w:t>
      </w:r>
      <w:r>
        <w:rPr>
          <w:sz w:val="17"/>
        </w:rPr>
        <w:t>2025. </w:t>
      </w:r>
      <w:hyperlink r:id="rId6">
        <w:r>
          <w:rPr>
            <w:spacing w:val="-2"/>
            <w:sz w:val="17"/>
          </w:rPr>
          <w:t>https://www.who.int/news/item/01-12-2025-who-issues-global-guideline-on-the-use-of-glp-1-medicines-in-treating-obesity</w:t>
        </w:r>
      </w:hyperlink>
    </w:p>
    <w:p>
      <w:pPr>
        <w:pStyle w:val="ListParagraph"/>
        <w:numPr>
          <w:ilvl w:val="0"/>
          <w:numId w:val="1"/>
        </w:numPr>
        <w:tabs>
          <w:tab w:pos="193" w:val="left" w:leader="none"/>
        </w:tabs>
        <w:spacing w:line="271" w:lineRule="auto" w:before="118" w:after="0"/>
        <w:ind w:left="23" w:right="181" w:firstLine="0"/>
        <w:jc w:val="left"/>
        <w:rPr>
          <w:sz w:val="17"/>
        </w:rPr>
      </w:pPr>
      <w:r>
        <w:rPr>
          <w:sz w:val="17"/>
        </w:rPr>
        <w:t>Celletti</w:t>
      </w:r>
      <w:r>
        <w:rPr>
          <w:spacing w:val="-2"/>
          <w:sz w:val="17"/>
        </w:rPr>
        <w:t> </w:t>
      </w:r>
      <w:r>
        <w:rPr>
          <w:sz w:val="17"/>
        </w:rPr>
        <w:t>F,</w:t>
      </w:r>
      <w:r>
        <w:rPr>
          <w:spacing w:val="-2"/>
          <w:sz w:val="17"/>
        </w:rPr>
        <w:t> </w:t>
      </w:r>
      <w:r>
        <w:rPr>
          <w:sz w:val="17"/>
        </w:rPr>
        <w:t>Farrar</w:t>
      </w:r>
      <w:r>
        <w:rPr>
          <w:spacing w:val="-2"/>
          <w:sz w:val="17"/>
        </w:rPr>
        <w:t> </w:t>
      </w:r>
      <w:r>
        <w:rPr>
          <w:sz w:val="17"/>
        </w:rPr>
        <w:t>J,</w:t>
      </w:r>
      <w:r>
        <w:rPr>
          <w:spacing w:val="-2"/>
          <w:sz w:val="17"/>
        </w:rPr>
        <w:t> </w:t>
      </w:r>
      <w:r>
        <w:rPr>
          <w:sz w:val="17"/>
        </w:rPr>
        <w:t>De</w:t>
      </w:r>
      <w:r>
        <w:rPr>
          <w:spacing w:val="-2"/>
          <w:sz w:val="17"/>
        </w:rPr>
        <w:t> </w:t>
      </w:r>
      <w:r>
        <w:rPr>
          <w:sz w:val="17"/>
        </w:rPr>
        <w:t>Regil</w:t>
      </w:r>
      <w:r>
        <w:rPr>
          <w:spacing w:val="-2"/>
          <w:sz w:val="17"/>
        </w:rPr>
        <w:t> </w:t>
      </w:r>
      <w:r>
        <w:rPr>
          <w:sz w:val="17"/>
        </w:rPr>
        <w:t>L.</w:t>
      </w:r>
      <w:r>
        <w:rPr>
          <w:spacing w:val="-2"/>
          <w:sz w:val="17"/>
        </w:rPr>
        <w:t> </w:t>
      </w:r>
      <w:r>
        <w:rPr>
          <w:sz w:val="17"/>
        </w:rPr>
        <w:t>World</w:t>
      </w:r>
      <w:r>
        <w:rPr>
          <w:spacing w:val="-2"/>
          <w:sz w:val="17"/>
        </w:rPr>
        <w:t> </w:t>
      </w:r>
      <w:r>
        <w:rPr>
          <w:sz w:val="17"/>
        </w:rPr>
        <w:t>Health</w:t>
      </w:r>
      <w:r>
        <w:rPr>
          <w:spacing w:val="-2"/>
          <w:sz w:val="17"/>
        </w:rPr>
        <w:t> </w:t>
      </w:r>
      <w:r>
        <w:rPr>
          <w:sz w:val="17"/>
        </w:rPr>
        <w:t>Organization</w:t>
      </w:r>
      <w:r>
        <w:rPr>
          <w:spacing w:val="-2"/>
          <w:sz w:val="17"/>
        </w:rPr>
        <w:t> </w:t>
      </w:r>
      <w:r>
        <w:rPr>
          <w:sz w:val="17"/>
        </w:rPr>
        <w:t>Guideline</w:t>
      </w:r>
      <w:r>
        <w:rPr>
          <w:spacing w:val="-2"/>
          <w:sz w:val="17"/>
        </w:rPr>
        <w:t> </w:t>
      </w:r>
      <w:r>
        <w:rPr>
          <w:sz w:val="17"/>
        </w:rPr>
        <w:t>on</w:t>
      </w:r>
      <w:r>
        <w:rPr>
          <w:spacing w:val="-2"/>
          <w:sz w:val="17"/>
        </w:rPr>
        <w:t> </w:t>
      </w:r>
      <w:r>
        <w:rPr>
          <w:sz w:val="17"/>
        </w:rPr>
        <w:t>the</w:t>
      </w:r>
      <w:r>
        <w:rPr>
          <w:spacing w:val="-2"/>
          <w:sz w:val="17"/>
        </w:rPr>
        <w:t> </w:t>
      </w:r>
      <w:r>
        <w:rPr>
          <w:sz w:val="17"/>
        </w:rPr>
        <w:t>Use</w:t>
      </w:r>
      <w:r>
        <w:rPr>
          <w:spacing w:val="-2"/>
          <w:sz w:val="17"/>
        </w:rPr>
        <w:t> </w:t>
      </w:r>
      <w:r>
        <w:rPr>
          <w:sz w:val="17"/>
        </w:rPr>
        <w:t>and</w:t>
      </w:r>
      <w:r>
        <w:rPr>
          <w:spacing w:val="-2"/>
          <w:sz w:val="17"/>
        </w:rPr>
        <w:t> </w:t>
      </w:r>
      <w:r>
        <w:rPr>
          <w:sz w:val="17"/>
        </w:rPr>
        <w:t>Indications</w:t>
      </w:r>
      <w:r>
        <w:rPr>
          <w:spacing w:val="-2"/>
          <w:sz w:val="17"/>
        </w:rPr>
        <w:t> </w:t>
      </w:r>
      <w:r>
        <w:rPr>
          <w:sz w:val="17"/>
        </w:rPr>
        <w:t>of</w:t>
      </w:r>
      <w:r>
        <w:rPr>
          <w:spacing w:val="-2"/>
          <w:sz w:val="17"/>
        </w:rPr>
        <w:t> </w:t>
      </w:r>
      <w:r>
        <w:rPr>
          <w:sz w:val="17"/>
        </w:rPr>
        <w:t>Glucagon-Like</w:t>
      </w:r>
      <w:r>
        <w:rPr>
          <w:spacing w:val="-2"/>
          <w:sz w:val="17"/>
        </w:rPr>
        <w:t> </w:t>
      </w:r>
      <w:r>
        <w:rPr>
          <w:sz w:val="17"/>
        </w:rPr>
        <w:t>Peptide-1</w:t>
      </w:r>
      <w:r>
        <w:rPr>
          <w:spacing w:val="-2"/>
          <w:sz w:val="17"/>
        </w:rPr>
        <w:t> </w:t>
      </w:r>
      <w:r>
        <w:rPr>
          <w:sz w:val="17"/>
        </w:rPr>
        <w:t>Therapies for the Treatment of Obesity in Adults. JAMA. 2026;335(5):434–438. doi:10.1001/jama.2025.24288.</w:t>
      </w:r>
    </w:p>
    <w:p>
      <w:pPr>
        <w:pStyle w:val="ListParagraph"/>
        <w:numPr>
          <w:ilvl w:val="0"/>
          <w:numId w:val="1"/>
        </w:numPr>
        <w:tabs>
          <w:tab w:pos="193" w:val="left" w:leader="none"/>
        </w:tabs>
        <w:spacing w:line="271" w:lineRule="auto" w:before="118" w:after="0"/>
        <w:ind w:left="23" w:right="1277" w:firstLine="0"/>
        <w:jc w:val="left"/>
        <w:rPr>
          <w:sz w:val="17"/>
        </w:rPr>
      </w:pPr>
      <w:r>
        <w:rPr>
          <w:sz w:val="17"/>
        </w:rPr>
        <w:t>US</w:t>
      </w:r>
      <w:r>
        <w:rPr>
          <w:spacing w:val="-3"/>
          <w:sz w:val="17"/>
        </w:rPr>
        <w:t> </w:t>
      </w:r>
      <w:r>
        <w:rPr>
          <w:sz w:val="17"/>
        </w:rPr>
        <w:t>Food</w:t>
      </w:r>
      <w:r>
        <w:rPr>
          <w:spacing w:val="-3"/>
          <w:sz w:val="17"/>
        </w:rPr>
        <w:t> </w:t>
      </w:r>
      <w:r>
        <w:rPr>
          <w:sz w:val="17"/>
        </w:rPr>
        <w:t>and</w:t>
      </w:r>
      <w:r>
        <w:rPr>
          <w:spacing w:val="-3"/>
          <w:sz w:val="17"/>
        </w:rPr>
        <w:t> </w:t>
      </w:r>
      <w:r>
        <w:rPr>
          <w:sz w:val="17"/>
        </w:rPr>
        <w:t>Drug</w:t>
      </w:r>
      <w:r>
        <w:rPr>
          <w:spacing w:val="-3"/>
          <w:sz w:val="17"/>
        </w:rPr>
        <w:t> </w:t>
      </w:r>
      <w:r>
        <w:rPr>
          <w:sz w:val="17"/>
        </w:rPr>
        <w:t>Administration.</w:t>
      </w:r>
      <w:r>
        <w:rPr>
          <w:spacing w:val="-3"/>
          <w:sz w:val="17"/>
        </w:rPr>
        <w:t> </w:t>
      </w:r>
      <w:r>
        <w:rPr>
          <w:sz w:val="17"/>
        </w:rPr>
        <w:t>Wegovy</w:t>
      </w:r>
      <w:r>
        <w:rPr>
          <w:spacing w:val="-3"/>
          <w:sz w:val="17"/>
        </w:rPr>
        <w:t> </w:t>
      </w:r>
      <w:r>
        <w:rPr>
          <w:sz w:val="17"/>
        </w:rPr>
        <w:t>(semaglutide)</w:t>
      </w:r>
      <w:r>
        <w:rPr>
          <w:spacing w:val="-3"/>
          <w:sz w:val="17"/>
        </w:rPr>
        <w:t> </w:t>
      </w:r>
      <w:r>
        <w:rPr>
          <w:sz w:val="17"/>
        </w:rPr>
        <w:t>prescribing</w:t>
      </w:r>
      <w:r>
        <w:rPr>
          <w:spacing w:val="-3"/>
          <w:sz w:val="17"/>
        </w:rPr>
        <w:t> </w:t>
      </w:r>
      <w:r>
        <w:rPr>
          <w:sz w:val="17"/>
        </w:rPr>
        <w:t>information.</w:t>
      </w:r>
      <w:r>
        <w:rPr>
          <w:spacing w:val="-3"/>
          <w:sz w:val="17"/>
        </w:rPr>
        <w:t> </w:t>
      </w:r>
      <w:r>
        <w:rPr>
          <w:sz w:val="17"/>
        </w:rPr>
        <w:t>DailyMed.</w:t>
      </w:r>
      <w:r>
        <w:rPr>
          <w:spacing w:val="-3"/>
          <w:sz w:val="17"/>
        </w:rPr>
        <w:t> </w:t>
      </w:r>
      <w:r>
        <w:rPr>
          <w:sz w:val="17"/>
        </w:rPr>
        <w:t>Accessed</w:t>
      </w:r>
      <w:r>
        <w:rPr>
          <w:spacing w:val="-3"/>
          <w:sz w:val="17"/>
        </w:rPr>
        <w:t> </w:t>
      </w:r>
      <w:r>
        <w:rPr>
          <w:sz w:val="17"/>
        </w:rPr>
        <w:t>October</w:t>
      </w:r>
      <w:r>
        <w:rPr>
          <w:spacing w:val="-3"/>
          <w:sz w:val="17"/>
        </w:rPr>
        <w:t> </w:t>
      </w:r>
      <w:r>
        <w:rPr>
          <w:sz w:val="17"/>
        </w:rPr>
        <w:t>2026. </w:t>
      </w:r>
      <w:hyperlink r:id="rId7">
        <w:r>
          <w:rPr>
            <w:spacing w:val="-2"/>
            <w:sz w:val="17"/>
          </w:rPr>
          <w:t>https://dailymed.nlm.nih.gov/dailymed/search.cfm?query=WEGOVY</w:t>
        </w:r>
      </w:hyperlink>
    </w:p>
    <w:sectPr>
      <w:pgSz w:w="11910" w:h="16840"/>
      <w:pgMar w:header="0" w:footer="510" w:top="980" w:bottom="74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ight="0"/>
      <w:jc w:val="left"/>
      <w:rPr>
        <w:sz w:val="20"/>
      </w:rPr>
    </w:pPr>
    <w:r>
      <w:rPr>
        <w:sz w:val="20"/>
      </w:rPr>
      <mc:AlternateContent>
        <mc:Choice Requires="wps">
          <w:drawing>
            <wp:anchor distT="0" distB="0" distL="0" distR="0" allowOverlap="1" layoutInCell="1" locked="0" behindDoc="1" simplePos="0" relativeHeight="487544320">
              <wp:simplePos x="0" y="0"/>
              <wp:positionH relativeFrom="page">
                <wp:posOffset>2949419</wp:posOffset>
              </wp:positionH>
              <wp:positionV relativeFrom="page">
                <wp:posOffset>10203276</wp:posOffset>
              </wp:positionV>
              <wp:extent cx="177609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6095" cy="139065"/>
                      </a:xfrm>
                      <a:prstGeom prst="rect">
                        <a:avLst/>
                      </a:prstGeom>
                    </wps:spPr>
                    <wps:txbx>
                      <w:txbxContent>
                        <w:p>
                          <w:pPr>
                            <w:spacing w:before="14"/>
                            <w:ind w:left="20" w:right="0" w:firstLine="0"/>
                            <w:jc w:val="left"/>
                            <w:rPr>
                              <w:rFonts w:ascii="Arial"/>
                              <w:sz w:val="16"/>
                            </w:rPr>
                          </w:pPr>
                          <w:r>
                            <w:rPr>
                              <w:rFonts w:ascii="Arial"/>
                              <w:color w:val="808080"/>
                              <w:sz w:val="16"/>
                            </w:rPr>
                            <w:t>Week 4 Scientific Editorial</w:t>
                          </w:r>
                          <w:r>
                            <w:rPr>
                              <w:rFonts w:ascii="Arial"/>
                              <w:color w:val="808080"/>
                              <w:spacing w:val="44"/>
                              <w:sz w:val="16"/>
                            </w:rPr>
                            <w:t> </w:t>
                          </w:r>
                          <w:r>
                            <w:rPr>
                              <w:rFonts w:ascii="Arial"/>
                              <w:color w:val="808080"/>
                              <w:sz w:val="16"/>
                            </w:rPr>
                            <w:t>|</w:t>
                          </w:r>
                          <w:r>
                            <w:rPr>
                              <w:rFonts w:ascii="Arial"/>
                              <w:color w:val="808080"/>
                              <w:spacing w:val="44"/>
                              <w:sz w:val="16"/>
                            </w:rPr>
                            <w:t> </w:t>
                          </w:r>
                          <w:r>
                            <w:rPr>
                              <w:rFonts w:ascii="Arial"/>
                              <w:color w:val="808080"/>
                              <w:sz w:val="16"/>
                            </w:rPr>
                            <w:t>Page </w:t>
                          </w:r>
                          <w:r>
                            <w:rPr>
                              <w:rFonts w:ascii="Arial"/>
                              <w:color w:val="808080"/>
                              <w:spacing w:val="-10"/>
                              <w:sz w:val="16"/>
                            </w:rPr>
                            <w:fldChar w:fldCharType="begin"/>
                          </w:r>
                          <w:r>
                            <w:rPr>
                              <w:rFonts w:ascii="Arial"/>
                              <w:color w:val="808080"/>
                              <w:spacing w:val="-10"/>
                              <w:sz w:val="16"/>
                            </w:rPr>
                            <w:instrText> PAGE </w:instrText>
                          </w:r>
                          <w:r>
                            <w:rPr>
                              <w:rFonts w:ascii="Arial"/>
                              <w:color w:val="808080"/>
                              <w:spacing w:val="-10"/>
                              <w:sz w:val="16"/>
                            </w:rPr>
                            <w:fldChar w:fldCharType="separate"/>
                          </w:r>
                          <w:r>
                            <w:rPr>
                              <w:rFonts w:ascii="Arial"/>
                              <w:color w:val="808080"/>
                              <w:spacing w:val="-10"/>
                              <w:sz w:val="16"/>
                            </w:rPr>
                            <w:t>1</w:t>
                          </w:r>
                          <w:r>
                            <w:rPr>
                              <w:rFonts w:ascii="Arial"/>
                              <w:color w:val="808080"/>
                              <w:spacing w:val="-10"/>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2.237793pt;margin-top:803.407593pt;width:139.85pt;height:10.95pt;mso-position-horizontal-relative:page;mso-position-vertical-relative:page;z-index:-15772160" type="#_x0000_t202" id="docshape1" filled="false" stroked="false">
              <v:textbox inset="0,0,0,0">
                <w:txbxContent>
                  <w:p>
                    <w:pPr>
                      <w:spacing w:before="14"/>
                      <w:ind w:left="20" w:right="0" w:firstLine="0"/>
                      <w:jc w:val="left"/>
                      <w:rPr>
                        <w:rFonts w:ascii="Arial"/>
                        <w:sz w:val="16"/>
                      </w:rPr>
                    </w:pPr>
                    <w:r>
                      <w:rPr>
                        <w:rFonts w:ascii="Arial"/>
                        <w:color w:val="808080"/>
                        <w:sz w:val="16"/>
                      </w:rPr>
                      <w:t>Week 4 Scientific Editorial</w:t>
                    </w:r>
                    <w:r>
                      <w:rPr>
                        <w:rFonts w:ascii="Arial"/>
                        <w:color w:val="808080"/>
                        <w:spacing w:val="44"/>
                        <w:sz w:val="16"/>
                      </w:rPr>
                      <w:t> </w:t>
                    </w:r>
                    <w:r>
                      <w:rPr>
                        <w:rFonts w:ascii="Arial"/>
                        <w:color w:val="808080"/>
                        <w:sz w:val="16"/>
                      </w:rPr>
                      <w:t>|</w:t>
                    </w:r>
                    <w:r>
                      <w:rPr>
                        <w:rFonts w:ascii="Arial"/>
                        <w:color w:val="808080"/>
                        <w:spacing w:val="44"/>
                        <w:sz w:val="16"/>
                      </w:rPr>
                      <w:t> </w:t>
                    </w:r>
                    <w:r>
                      <w:rPr>
                        <w:rFonts w:ascii="Arial"/>
                        <w:color w:val="808080"/>
                        <w:sz w:val="16"/>
                      </w:rPr>
                      <w:t>Page </w:t>
                    </w:r>
                    <w:r>
                      <w:rPr>
                        <w:rFonts w:ascii="Arial"/>
                        <w:color w:val="808080"/>
                        <w:spacing w:val="-10"/>
                        <w:sz w:val="16"/>
                      </w:rPr>
                      <w:fldChar w:fldCharType="begin"/>
                    </w:r>
                    <w:r>
                      <w:rPr>
                        <w:rFonts w:ascii="Arial"/>
                        <w:color w:val="808080"/>
                        <w:spacing w:val="-10"/>
                        <w:sz w:val="16"/>
                      </w:rPr>
                      <w:instrText> PAGE </w:instrText>
                    </w:r>
                    <w:r>
                      <w:rPr>
                        <w:rFonts w:ascii="Arial"/>
                        <w:color w:val="808080"/>
                        <w:spacing w:val="-10"/>
                        <w:sz w:val="16"/>
                      </w:rPr>
                      <w:fldChar w:fldCharType="separate"/>
                    </w:r>
                    <w:r>
                      <w:rPr>
                        <w:rFonts w:ascii="Arial"/>
                        <w:color w:val="808080"/>
                        <w:spacing w:val="-10"/>
                        <w:sz w:val="16"/>
                      </w:rPr>
                      <w:t>1</w:t>
                    </w:r>
                    <w:r>
                      <w:rPr>
                        <w:rFonts w:ascii="Arial"/>
                        <w:color w:val="808080"/>
                        <w:spacing w:val="-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23" w:hanging="170"/>
        <w:jc w:val="left"/>
      </w:pPr>
      <w:rPr>
        <w:rFonts w:hint="default" w:ascii="Times New Roman" w:hAnsi="Times New Roman" w:eastAsia="Times New Roman" w:cs="Times New Roman"/>
        <w:b w:val="0"/>
        <w:bCs w:val="0"/>
        <w:i w:val="0"/>
        <w:iCs w:val="0"/>
        <w:spacing w:val="0"/>
        <w:w w:val="100"/>
        <w:sz w:val="17"/>
        <w:szCs w:val="17"/>
        <w:lang w:val="en-US" w:eastAsia="en-US" w:bidi="ar-SA"/>
      </w:rPr>
    </w:lvl>
    <w:lvl w:ilvl="1">
      <w:start w:val="0"/>
      <w:numFmt w:val="bullet"/>
      <w:lvlText w:val="•"/>
      <w:lvlJc w:val="left"/>
      <w:pPr>
        <w:ind w:left="981" w:hanging="170"/>
      </w:pPr>
      <w:rPr>
        <w:rFonts w:hint="default"/>
        <w:lang w:val="en-US" w:eastAsia="en-US" w:bidi="ar-SA"/>
      </w:rPr>
    </w:lvl>
    <w:lvl w:ilvl="2">
      <w:start w:val="0"/>
      <w:numFmt w:val="bullet"/>
      <w:lvlText w:val="•"/>
      <w:lvlJc w:val="left"/>
      <w:pPr>
        <w:ind w:left="1943" w:hanging="170"/>
      </w:pPr>
      <w:rPr>
        <w:rFonts w:hint="default"/>
        <w:lang w:val="en-US" w:eastAsia="en-US" w:bidi="ar-SA"/>
      </w:rPr>
    </w:lvl>
    <w:lvl w:ilvl="3">
      <w:start w:val="0"/>
      <w:numFmt w:val="bullet"/>
      <w:lvlText w:val="•"/>
      <w:lvlJc w:val="left"/>
      <w:pPr>
        <w:ind w:left="2905" w:hanging="170"/>
      </w:pPr>
      <w:rPr>
        <w:rFonts w:hint="default"/>
        <w:lang w:val="en-US" w:eastAsia="en-US" w:bidi="ar-SA"/>
      </w:rPr>
    </w:lvl>
    <w:lvl w:ilvl="4">
      <w:start w:val="0"/>
      <w:numFmt w:val="bullet"/>
      <w:lvlText w:val="•"/>
      <w:lvlJc w:val="left"/>
      <w:pPr>
        <w:ind w:left="3867" w:hanging="170"/>
      </w:pPr>
      <w:rPr>
        <w:rFonts w:hint="default"/>
        <w:lang w:val="en-US" w:eastAsia="en-US" w:bidi="ar-SA"/>
      </w:rPr>
    </w:lvl>
    <w:lvl w:ilvl="5">
      <w:start w:val="0"/>
      <w:numFmt w:val="bullet"/>
      <w:lvlText w:val="•"/>
      <w:lvlJc w:val="left"/>
      <w:pPr>
        <w:ind w:left="4829" w:hanging="170"/>
      </w:pPr>
      <w:rPr>
        <w:rFonts w:hint="default"/>
        <w:lang w:val="en-US" w:eastAsia="en-US" w:bidi="ar-SA"/>
      </w:rPr>
    </w:lvl>
    <w:lvl w:ilvl="6">
      <w:start w:val="0"/>
      <w:numFmt w:val="bullet"/>
      <w:lvlText w:val="•"/>
      <w:lvlJc w:val="left"/>
      <w:pPr>
        <w:ind w:left="5791" w:hanging="170"/>
      </w:pPr>
      <w:rPr>
        <w:rFonts w:hint="default"/>
        <w:lang w:val="en-US" w:eastAsia="en-US" w:bidi="ar-SA"/>
      </w:rPr>
    </w:lvl>
    <w:lvl w:ilvl="7">
      <w:start w:val="0"/>
      <w:numFmt w:val="bullet"/>
      <w:lvlText w:val="•"/>
      <w:lvlJc w:val="left"/>
      <w:pPr>
        <w:ind w:left="6753" w:hanging="170"/>
      </w:pPr>
      <w:rPr>
        <w:rFonts w:hint="default"/>
        <w:lang w:val="en-US" w:eastAsia="en-US" w:bidi="ar-SA"/>
      </w:rPr>
    </w:lvl>
    <w:lvl w:ilvl="8">
      <w:start w:val="0"/>
      <w:numFmt w:val="bullet"/>
      <w:lvlText w:val="•"/>
      <w:lvlJc w:val="left"/>
      <w:pPr>
        <w:ind w:left="7715" w:hanging="17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39"/>
      <w:ind w:left="23" w:right="22"/>
      <w:jc w:val="both"/>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78"/>
      <w:ind w:left="2"/>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201"/>
      <w:ind w:left="23"/>
      <w:outlineLvl w:val="2"/>
    </w:pPr>
    <w:rPr>
      <w:rFonts w:ascii="Arial" w:hAnsi="Arial" w:eastAsia="Arial" w:cs="Arial"/>
      <w:b/>
      <w:bCs/>
      <w:sz w:val="26"/>
      <w:szCs w:val="26"/>
      <w:lang w:val="en-US" w:eastAsia="en-US" w:bidi="ar-SA"/>
    </w:rPr>
  </w:style>
  <w:style w:styleId="ListParagraph" w:type="paragraph">
    <w:name w:val="List Paragraph"/>
    <w:basedOn w:val="Normal"/>
    <w:uiPriority w:val="1"/>
    <w:qFormat/>
    <w:pPr>
      <w:spacing w:before="118"/>
      <w:ind w:left="23" w:right="1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who.int/news/item/01-12-2025-who-issues-global-guideline-on-the-use-of-glp-1-medicines-in-treating-obesity" TargetMode="External"/><Relationship Id="rId7" Type="http://schemas.openxmlformats.org/officeDocument/2006/relationships/hyperlink" Target="https://dailymed.nlm.nih.gov/dailymed/search.cfm?query=WEGOVY"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2026-10-29T17:41:03Z</dcterms:created>
  <dcterms:modified xsi:type="dcterms:W3CDTF">2026-10-29T17:41:03Z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LastSaved">
    <vt:filetime>2026-10-29T00:00:00Z</vt:filetime>
  </property>
</Properties>
</file>