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r>
        <w:rPr>
          <w:b/>
          <w:color w:val="167D8D"/>
          <w:sz w:val="20"/>
        </w:rPr>
        <w:t>YOUR HEALTH, YOUR JOURNEY</w:t>
      </w:r>
    </w:p>
    <w:p>
      <w:pPr>
        <w:pStyle w:val="Title"/>
      </w:pPr>
      <w:r>
        <w:t>Understanding</w:t>
        <w:br/>
        <w:t>Overweight &amp; Obesity</w:t>
      </w:r>
    </w:p>
    <w:p>
      <w:pPr>
        <w:spacing w:after="240"/>
      </w:pPr>
      <w:r>
        <w:rPr>
          <w:color w:val="505F6E"/>
          <w:sz w:val="26"/>
        </w:rPr>
        <w:t>A practical, judgement-free guide to causes, health checks, treatment and prevention</w:t>
      </w:r>
    </w:p>
    <w:tbl>
      <w:tblPr>
        <w:tblW w:type="auto" w:w="0"/>
        <w:jc w:val="center"/>
        <w:tblLook w:firstColumn="1" w:firstRow="1" w:lastColumn="0" w:lastRow="0" w:noHBand="0" w:noVBand="1" w:val="04A0"/>
      </w:tblPr>
      <w:tblGrid>
        <w:gridCol w:w="10166"/>
      </w:tblGrid>
      <w:tr>
        <w:tc>
          <w:tcPr>
            <w:tcW w:type="dxa" w:w="10166"/>
            <w:shd w:fill="EAF5F6"/>
            <w:tcMar>
              <w:top w:w="150" w:type="dxa"/>
              <w:start w:w="180" w:type="dxa"/>
              <w:bottom w:w="150" w:type="dxa"/>
              <w:end w:w="180" w:type="dxa"/>
            </w:tcMar>
          </w:tcPr>
          <w:p>
            <w:pPr>
              <w:spacing w:after="40"/>
            </w:pPr>
            <w:r>
              <w:rPr>
                <w:b/>
                <w:color w:val="123B5D"/>
              </w:rPr>
              <w:t xml:space="preserve">THE KEY MESSAGE  </w:t>
            </w:r>
            <w:r>
              <w:t>Obesity is a long-term health condition—not a personal failure. Biology, medicines, sleep, stress, surroundings and access to healthy food can all affect body weight. Effective care is individual, respectful and ongoing.</w:t>
            </w:r>
          </w:p>
        </w:tc>
      </w:tr>
    </w:tbl>
    <w:p>
      <w:pPr>
        <w:spacing w:after="0"/>
      </w:pPr>
    </w:p>
    <w:p>
      <w:pPr>
        <w:pStyle w:val="Heading1"/>
      </w:pPr>
      <w:r>
        <w:t>Who is this brochure for?</w:t>
      </w:r>
    </w:p>
    <w:p>
      <w:r>
        <w:t>This guide is written for adults who want to understand their weight or support a family member. It uses plain language and practical examples that can fit everyday life in India. Children, teenagers, pregnant people and people with complex medical conditions need age- and situation-specific advice from a healthcare professional.</w:t>
      </w:r>
    </w:p>
    <w:p>
      <w:pPr>
        <w:pStyle w:val="Heading1"/>
      </w:pPr>
      <w:r>
        <w:t>At a glance</w:t>
      </w:r>
    </w:p>
    <w:p>
      <w:pPr>
        <w:pStyle w:val="ListBullet"/>
        <w:spacing w:after="40"/>
        <w:ind w:left="317" w:hanging="173"/>
      </w:pPr>
      <w:r>
        <w:t>Know what overweight and obesity mean—and what body mass index (BMI) can and cannot tell you.</w:t>
      </w:r>
    </w:p>
    <w:p>
      <w:pPr>
        <w:pStyle w:val="ListBullet"/>
        <w:spacing w:after="40"/>
        <w:ind w:left="317" w:hanging="173"/>
      </w:pPr>
      <w:r>
        <w:t>Recognise health effects without blaming or shaming yourself.</w:t>
      </w:r>
    </w:p>
    <w:p>
      <w:pPr>
        <w:pStyle w:val="ListBullet"/>
        <w:spacing w:after="40"/>
        <w:ind w:left="317" w:hanging="173"/>
      </w:pPr>
      <w:r>
        <w:t>Explore realistic changes to food, movement, sleep and stress.</w:t>
      </w:r>
    </w:p>
    <w:p>
      <w:pPr>
        <w:pStyle w:val="ListBullet"/>
        <w:spacing w:after="40"/>
        <w:ind w:left="317" w:hanging="173"/>
      </w:pPr>
      <w:r>
        <w:t>Understand when medicines or surgery may be discussed with a clinician.</w:t>
      </w:r>
    </w:p>
    <w:p>
      <w:pPr>
        <w:pStyle w:val="ListBullet"/>
        <w:spacing w:after="40"/>
        <w:ind w:left="317" w:hanging="173"/>
      </w:pPr>
      <w:r>
        <w:t>Build a plan you can maintain, with support and regular follow-up.</w:t>
      </w:r>
    </w:p>
    <w:p>
      <w:r>
        <w:br w:type="page"/>
      </w:r>
    </w:p>
    <w:p>
      <w:pPr>
        <w:pStyle w:val="Heading1"/>
      </w:pPr>
      <w:r>
        <w:t>1. Disease overview: what are overweight and obesity?</w:t>
      </w:r>
    </w:p>
    <w:p>
      <w:r>
        <w:t>Overweight and obesity describe excess body fat that can affect health. Obesity is recognised by major health organisations as a chronic, complex disease. It can develop when biological factors interact with daily habits and the environment over time. Body weight is not determined by willpower alone, and people living with obesity deserve the same respectful, evidence-based care as anyone with another health condition.</w:t>
      </w:r>
    </w:p>
    <w:p>
      <w:r>
        <w:t>One commonly used screening tool is body mass index (BMI), calculated by dividing weight in kilograms by height in metres squared. For adults, the World Health Organization uses BMI 25 or above to define overweight and BMI 30 or above to define obesity. BMI is a screening measure, not a complete diagnosis: it does not directly measure body fat, show where fat is stored, or describe a person’s overall health. Muscle mass, age, ethnicity and other factors can affect interpretation. In Indian and other Asian populations, health risks may occur at lower BMI levels, so clinicians may use additional risk assessment.</w:t>
      </w:r>
    </w:p>
    <w:tbl>
      <w:tblPr>
        <w:tblW w:type="auto" w:w="0"/>
        <w:jc w:val="center"/>
        <w:tblLook w:firstColumn="1" w:firstRow="1" w:lastColumn="0" w:lastRow="0" w:noHBand="0" w:noVBand="1" w:val="04A0"/>
      </w:tblPr>
      <w:tblGrid>
        <w:gridCol w:w="10166"/>
      </w:tblGrid>
      <w:tr>
        <w:tc>
          <w:tcPr>
            <w:tcW w:type="dxa" w:w="10166"/>
            <w:shd w:fill="F0F4FA"/>
            <w:tcMar>
              <w:top w:w="150" w:type="dxa"/>
              <w:start w:w="180" w:type="dxa"/>
              <w:bottom w:w="150" w:type="dxa"/>
              <w:end w:w="180" w:type="dxa"/>
            </w:tcMar>
          </w:tcPr>
          <w:p>
            <w:pPr>
              <w:spacing w:after="40"/>
            </w:pPr>
            <w:r>
              <w:rPr>
                <w:b/>
                <w:color w:val="123B5D"/>
              </w:rPr>
              <w:t xml:space="preserve">BMI formula  </w:t>
            </w:r>
            <w:r>
              <w:t>BMI = weight (kg) ÷ height (m)². Example: 70 kg ÷ (1.65 × 1.65) = 25.7. Use this only as a screening starting point, not as a judgement of health.</w:t>
            </w:r>
          </w:p>
        </w:tc>
      </w:tr>
    </w:tbl>
    <w:p>
      <w:pPr>
        <w:spacing w:after="0"/>
      </w:pPr>
    </w:p>
    <w:p>
      <w:r>
        <w:t>A healthcare professional may also measure waist circumference, blood pressure and relevant blood tests. These checks help assess risks such as high blood sugar, abnormal cholesterol and fatty liver disease. For children and adolescents, BMI must be interpreted using age- and sex-specific growth charts; adult cut-offs should not be used.</w:t>
      </w:r>
    </w:p>
    <w:p>
      <w:pPr>
        <w:pStyle w:val="Heading1"/>
      </w:pPr>
      <w:r>
        <w:t>2. Why can weight increase?</w:t>
      </w:r>
    </w:p>
    <w:p>
      <w:r>
        <w:t>Weight changes for many reasons, and several may be present at the same time:</w:t>
      </w:r>
    </w:p>
    <w:p>
      <w:pPr>
        <w:pStyle w:val="ListBullet"/>
        <w:spacing w:after="40"/>
        <w:ind w:left="317" w:hanging="173"/>
      </w:pPr>
      <w:r>
        <w:t>Food environment and eating patterns: frequent sugary drinks, highly processed snacks, large portions or limited access to affordable nutritious food can contribute to weight gain.</w:t>
      </w:r>
    </w:p>
    <w:p>
      <w:pPr>
        <w:pStyle w:val="ListBullet"/>
        <w:spacing w:after="40"/>
        <w:ind w:left="317" w:hanging="173"/>
      </w:pPr>
      <w:r>
        <w:t>Movement and daily routine: long periods of sitting, desk-based work, limited safe walking spaces or reduced mobility may lower daily energy use.</w:t>
      </w:r>
    </w:p>
    <w:p>
      <w:pPr>
        <w:pStyle w:val="ListBullet"/>
        <w:spacing w:after="40"/>
        <w:ind w:left="317" w:hanging="173"/>
      </w:pPr>
      <w:r>
        <w:t>Biology and family history: genes, appetite signals, hormones, age and the body’s response to previous weight loss can influence hunger and weight regulation.</w:t>
      </w:r>
    </w:p>
    <w:p>
      <w:pPr>
        <w:pStyle w:val="ListBullet"/>
        <w:spacing w:after="40"/>
        <w:ind w:left="317" w:hanging="173"/>
      </w:pPr>
      <w:r>
        <w:t>Sleep and stress: insufficient sleep, shift work, emotional stress and some patterns of coping with stress can affect appetite, energy and routines.</w:t>
      </w:r>
    </w:p>
    <w:p>
      <w:pPr>
        <w:pStyle w:val="ListBullet"/>
        <w:spacing w:after="40"/>
        <w:ind w:left="317" w:hanging="173"/>
      </w:pPr>
      <w:r>
        <w:t>Health conditions and medicines: some illnesses and medicines can affect weight. Do not stop a prescribed medicine yourself; ask your clinician whether alternatives are appropriate.</w:t>
      </w:r>
    </w:p>
    <w:p>
      <w:pPr>
        <w:pStyle w:val="ListBullet"/>
        <w:spacing w:after="40"/>
        <w:ind w:left="317" w:hanging="173"/>
      </w:pPr>
      <w:r>
        <w:t>Life changes: pregnancy, menopause, injury, stopping smoking or changes in work and family responsibilities may alter weight over time.</w:t>
      </w:r>
    </w:p>
    <w:p>
      <w:r>
        <w:t>These influences mean that the same plan will not work equally well for everyone. A useful approach focuses on health, daily functioning and sustainable habits—not quick fixes or blame.</w:t>
      </w:r>
    </w:p>
    <w:p>
      <w:pPr>
        <w:pStyle w:val="Heading1"/>
      </w:pPr>
      <w:r>
        <w:t>3. Symptoms and possible health effects</w:t>
      </w:r>
    </w:p>
    <w:p>
      <w:r>
        <w:t>Obesity may not cause obvious symptoms at first. Some people notice breathlessness with activity, joint or back discomfort, increased sweating, tiredness, snoring or difficulty sleeping. These symptoms can have other causes too and should not automatically be attributed to weight.</w:t>
      </w:r>
    </w:p>
    <w:p>
      <w:r>
        <w:t>Over time, obesity can increase the chance of developing:</w:t>
      </w:r>
    </w:p>
    <w:p>
      <w:pPr>
        <w:pStyle w:val="ListBullet"/>
        <w:spacing w:after="40"/>
        <w:ind w:left="317" w:hanging="173"/>
      </w:pPr>
      <w:r>
        <w:t>Type 2 diabetes and raised blood sugar.</w:t>
      </w:r>
    </w:p>
    <w:p>
      <w:pPr>
        <w:pStyle w:val="ListBullet"/>
        <w:spacing w:after="40"/>
        <w:ind w:left="317" w:hanging="173"/>
      </w:pPr>
      <w:r>
        <w:t>High blood pressure, heart disease and stroke.</w:t>
      </w:r>
    </w:p>
    <w:p>
      <w:pPr>
        <w:pStyle w:val="ListBullet"/>
        <w:spacing w:after="40"/>
        <w:ind w:left="317" w:hanging="173"/>
      </w:pPr>
      <w:r>
        <w:t>Sleep apnoea, where breathing repeatedly pauses during sleep.</w:t>
      </w:r>
    </w:p>
    <w:p>
      <w:pPr>
        <w:pStyle w:val="ListBullet"/>
        <w:spacing w:after="40"/>
        <w:ind w:left="317" w:hanging="173"/>
      </w:pPr>
      <w:r>
        <w:t>Fatty liver disease and some gallbladder problems.</w:t>
      </w:r>
    </w:p>
    <w:p>
      <w:pPr>
        <w:pStyle w:val="ListBullet"/>
        <w:spacing w:after="40"/>
        <w:ind w:left="317" w:hanging="173"/>
      </w:pPr>
      <w:r>
        <w:t>Osteoarthritis and pain in weight-bearing joints.</w:t>
      </w:r>
    </w:p>
    <w:p>
      <w:pPr>
        <w:pStyle w:val="ListBullet"/>
        <w:spacing w:after="40"/>
        <w:ind w:left="317" w:hanging="173"/>
      </w:pPr>
      <w:r>
        <w:t>Some cancers, fertility difficulties and complications during pregnancy.</w:t>
      </w:r>
    </w:p>
    <w:p>
      <w:pPr>
        <w:pStyle w:val="ListBullet"/>
        <w:spacing w:after="40"/>
        <w:ind w:left="317" w:hanging="173"/>
      </w:pPr>
      <w:r>
        <w:t>Low mood, anxiety, social exclusion or distress related to weight stigma.</w:t>
      </w:r>
    </w:p>
    <w:p>
      <w:r>
        <w:t>Risk is not identical for everyone. A person’s waist size, family history, blood pressure, blood sugar, cholesterol, age, medicines and other health conditions all matter. A clinician can help decide which checks are appropriate.</w:t>
      </w:r>
    </w:p>
    <w:tbl>
      <w:tblPr>
        <w:tblW w:type="auto" w:w="0"/>
        <w:jc w:val="center"/>
        <w:tblLook w:firstColumn="1" w:firstRow="1" w:lastColumn="0" w:lastRow="0" w:noHBand="0" w:noVBand="1" w:val="04A0"/>
      </w:tblPr>
      <w:tblGrid>
        <w:gridCol w:w="10166"/>
      </w:tblGrid>
      <w:tr>
        <w:tc>
          <w:tcPr>
            <w:tcW w:type="dxa" w:w="10166"/>
            <w:shd w:fill="FFF1E8"/>
            <w:tcMar>
              <w:top w:w="150" w:type="dxa"/>
              <w:start w:w="180" w:type="dxa"/>
              <w:bottom w:w="150" w:type="dxa"/>
              <w:end w:w="180" w:type="dxa"/>
            </w:tcMar>
          </w:tcPr>
          <w:p>
            <w:pPr>
              <w:spacing w:after="40"/>
            </w:pPr>
            <w:r>
              <w:rPr>
                <w:b/>
                <w:color w:val="123B5D"/>
              </w:rPr>
              <w:t xml:space="preserve">Seek urgent medical care  </w:t>
            </w:r>
            <w:r>
              <w:t>Get emergency help for chest pain, severe or sudden shortness of breath, fainting, or sudden weakness or difficulty speaking. These are not routine weight symptoms and may signal an emergency.</w:t>
            </w:r>
          </w:p>
        </w:tc>
      </w:tr>
    </w:tbl>
    <w:p>
      <w:pPr>
        <w:spacing w:after="0"/>
      </w:pPr>
    </w:p>
    <w:p>
      <w:pPr>
        <w:pStyle w:val="Heading1"/>
      </w:pPr>
      <w:r>
        <w:t>4. How is obesity assessed?</w:t>
      </w:r>
    </w:p>
    <w:p>
      <w:r>
        <w:t>An assessment should be private, respectful and collaborative. You can ask permission-based questions, discuss what matters most to you, and request that measurements be taken sensitively. A clinician may:</w:t>
      </w:r>
    </w:p>
    <w:p>
      <w:pPr>
        <w:pStyle w:val="ListBullet"/>
        <w:spacing w:after="40"/>
        <w:ind w:left="317" w:hanging="173"/>
      </w:pPr>
      <w:r>
        <w:t>Review weight history, previous approaches, eating patterns, activity, sleep, stress and family history.</w:t>
      </w:r>
    </w:p>
    <w:p>
      <w:pPr>
        <w:pStyle w:val="ListBullet"/>
        <w:spacing w:after="40"/>
        <w:ind w:left="317" w:hanging="173"/>
      </w:pPr>
      <w:r>
        <w:t>Measure height, weight, BMI and sometimes waist circumference and blood pressure.</w:t>
      </w:r>
    </w:p>
    <w:p>
      <w:pPr>
        <w:pStyle w:val="ListBullet"/>
        <w:spacing w:after="40"/>
        <w:ind w:left="317" w:hanging="173"/>
      </w:pPr>
      <w:r>
        <w:t>Check blood sugar, cholesterol, liver function or other tests when appropriate.</w:t>
      </w:r>
    </w:p>
    <w:p>
      <w:pPr>
        <w:pStyle w:val="ListBullet"/>
        <w:spacing w:after="40"/>
        <w:ind w:left="317" w:hanging="173"/>
      </w:pPr>
      <w:r>
        <w:t>Review medicines and look for conditions that may affect weight or increase health risks.</w:t>
      </w:r>
    </w:p>
    <w:p>
      <w:pPr>
        <w:pStyle w:val="ListBullet"/>
        <w:spacing w:after="40"/>
        <w:ind w:left="317" w:hanging="173"/>
      </w:pPr>
      <w:r>
        <w:t>Agree on realistic goals that include energy, mobility, sleep, blood pressure and quality of life—not only the number on a scale.</w:t>
      </w:r>
    </w:p>
    <w:p>
      <w:r>
        <w:br w:type="page"/>
      </w:r>
    </w:p>
    <w:p>
      <w:pPr>
        <w:pStyle w:val="Heading1"/>
      </w:pPr>
      <w:r>
        <w:t>5. Treatment options: what can help?</w:t>
      </w:r>
    </w:p>
    <w:p>
      <w:r>
        <w:t>There is no single best treatment for everyone. Care may combine nutrition support, physical activity, behaviour strategies, psychological support, medicines and—when appropriate—metabolic or bariatric surgery. The plan should reflect your health, preferences, resources and medical history. Weight management often needs long-term follow-up because the body can resist weight loss and regain may happen.</w:t>
      </w:r>
    </w:p>
    <w:p>
      <w:pPr>
        <w:pStyle w:val="Heading2"/>
      </w:pPr>
      <w:r>
        <w:t>A. Food choices that are practical and balanced</w:t>
      </w:r>
    </w:p>
    <w:p>
      <w:r>
        <w:t>Aim for a pattern you can enjoy and continue, rather than a very strict diet. A dietitian or clinician can help tailor portions to your needs.</w:t>
      </w:r>
    </w:p>
    <w:p>
      <w:pPr>
        <w:pStyle w:val="ListBullet"/>
        <w:spacing w:after="40"/>
        <w:ind w:left="317" w:hanging="173"/>
      </w:pPr>
      <w:r>
        <w:t>Build meals around vegetables, fruit, dal and other pulses, beans, whole grains, nuts or seeds, and suitable protein sources such as eggs, fish, dairy, tofu or lean meat.</w:t>
      </w:r>
    </w:p>
    <w:p>
      <w:pPr>
        <w:pStyle w:val="ListBullet"/>
        <w:spacing w:after="40"/>
        <w:ind w:left="317" w:hanging="173"/>
      </w:pPr>
      <w:r>
        <w:t>Choose water or unsweetened drinks more often than sugary tea or coffee, soft drinks, packaged juices and energy drinks.</w:t>
      </w:r>
    </w:p>
    <w:p>
      <w:pPr>
        <w:pStyle w:val="ListBullet"/>
        <w:spacing w:after="40"/>
        <w:ind w:left="317" w:hanging="173"/>
      </w:pPr>
      <w:r>
        <w:t>Notice portions and hunger cues. Eat slowly, and pause before taking a second serving.</w:t>
      </w:r>
    </w:p>
    <w:p>
      <w:pPr>
        <w:pStyle w:val="ListBullet"/>
        <w:spacing w:after="40"/>
        <w:ind w:left="317" w:hanging="173"/>
      </w:pPr>
      <w:r>
        <w:t>Limit—without needing to ban every food—frequent deep-fried items, sweets, bakery snacks and foods high in salt, sugar or unhealthy fats.</w:t>
      </w:r>
    </w:p>
    <w:p>
      <w:pPr>
        <w:pStyle w:val="ListBullet"/>
        <w:spacing w:after="40"/>
        <w:ind w:left="317" w:hanging="173"/>
      </w:pPr>
      <w:r>
        <w:t>Plan simple options ahead: fruit, roasted chana, plain yoghurt or other affordable snacks that suit your health needs.</w:t>
      </w:r>
    </w:p>
    <w:p>
      <w:pPr>
        <w:pStyle w:val="ListBullet"/>
        <w:spacing w:after="40"/>
        <w:ind w:left="317" w:hanging="173"/>
      </w:pPr>
      <w:r>
        <w:t>Avoid crash diets, detox products and unverified supplements. They may be ineffective or harmful and can make it harder to meet nutritional needs.</w:t>
      </w:r>
    </w:p>
    <w:p>
      <w:pPr>
        <w:pStyle w:val="Heading2"/>
      </w:pPr>
      <w:r>
        <w:t>B. Move more in a way that suits you</w:t>
      </w:r>
    </w:p>
    <w:p>
      <w:r>
        <w:t>Physical activity supports heart health, mood, strength, sleep and weight maintenance—even when the scale changes slowly. Adults are generally advised to work towards at least 150 minutes of moderate-intensity activity each week, plus muscle-strengthening activity on two or more days, if medically suitable. Start at your current level: short walks, dancing, cycling, chair exercises, household movement or taking regular standing breaks all count. Increase gradually. If you have chest symptoms, major joint problems, significant disability or another medical concern, ask a healthcare professional how to exercise safely.</w:t>
      </w:r>
    </w:p>
    <w:p>
      <w:pPr>
        <w:pStyle w:val="Heading2"/>
      </w:pPr>
      <w:r>
        <w:t>C. Sleep, stress and behaviour support</w:t>
      </w:r>
    </w:p>
    <w:p>
      <w:r>
        <w:t>Keep a regular sleep schedule and aim for sufficient sleep; many adults need around seven to nine hours, although individual needs vary. Create a calming bedtime routine and reduce late-night screen use when possible. Stress management may include breathing exercises, time outdoors, supportive conversations, counselling or activities you enjoy. Some people benefit from structured programmes, a dietitian, a psychologist or a support group. Tracking meals, movement, sleep or mood for a short period may reveal patterns, but tracking should help—not punish—you.</w:t>
      </w:r>
    </w:p>
    <w:p>
      <w:pPr>
        <w:pStyle w:val="Heading2"/>
      </w:pPr>
      <w:r>
        <w:t>D. Prescription medicines</w:t>
      </w:r>
    </w:p>
    <w:p>
      <w:r>
        <w:t>A clinician may consider anti-obesity medicine when lifestyle support alone has not provided enough benefit and a person meets the relevant medical criteria. Depending on the country, medicine may be considered for some adults with BMI 30 or higher, or BMI 27 or higher with a weight-related condition. Criteria and approved products differ by location and individual circumstances.</w:t>
      </w:r>
    </w:p>
    <w:p>
      <w:r>
        <w:t>Medicines work in different ways: some reduce appetite or increase fullness, while others affect how the body absorbs food. Examples used in some countries include orlistat and medicines that act on gut-hormone pathways, such as semaglutide or tirzepatide. Availability, indications and approvals vary; a clinician must determine what is appropriate. These medicines are not suitable for everyone, may cause side effects, can interact with other medicines and may require ongoing use. They should not be used during pregnancy or when planning pregnancy unless a specialist gives specific advice. Never buy injections or tablets from unverified online sellers, share prescriptions, or use a friend’s medicine. Do not stop or change treatment without medical advice.</w:t>
      </w:r>
    </w:p>
    <w:p>
      <w:pPr>
        <w:pStyle w:val="Heading2"/>
      </w:pPr>
      <w:r>
        <w:t>E. Metabolic and bariatric surgery</w:t>
      </w:r>
    </w:p>
    <w:p>
      <w:r>
        <w:t>Surgery may be an option for some people with obesity, particularly when health risks are significant and other treatments have not been enough. Procedures change the stomach and/or digestive system and can support substantial, lasting weight loss and improve some related conditions. Eligibility depends on BMI, health conditions, previous treatment, local guidelines and specialist assessment. Surgery has risks and requires lifelong follow-up, nutrition monitoring and sometimes vitamin or mineral supplements. Ask a specialist about benefits, risks, costs, recovery and long-term support.</w:t>
      </w:r>
    </w:p>
    <w:tbl>
      <w:tblPr>
        <w:tblW w:type="auto" w:w="0"/>
        <w:jc w:val="center"/>
        <w:tblLook w:firstColumn="1" w:firstRow="1" w:lastColumn="0" w:lastRow="0" w:noHBand="0" w:noVBand="1" w:val="04A0"/>
      </w:tblPr>
      <w:tblGrid>
        <w:gridCol w:w="10166"/>
      </w:tblGrid>
      <w:tr>
        <w:tc>
          <w:tcPr>
            <w:tcW w:type="dxa" w:w="10166"/>
            <w:shd w:fill="EAF5F6"/>
            <w:tcMar>
              <w:top w:w="150" w:type="dxa"/>
              <w:start w:w="180" w:type="dxa"/>
              <w:bottom w:w="150" w:type="dxa"/>
              <w:end w:w="180" w:type="dxa"/>
            </w:tcMar>
          </w:tcPr>
          <w:p>
            <w:pPr>
              <w:spacing w:after="40"/>
            </w:pPr>
            <w:r>
              <w:rPr>
                <w:b/>
                <w:color w:val="123B5D"/>
              </w:rPr>
              <w:t xml:space="preserve">Remember  </w:t>
            </w:r>
            <w:r>
              <w:t>Treatment is not a test of character. If one approach does not work, discuss adjustments with your care team rather than blaming yourself or giving up.</w:t>
            </w:r>
          </w:p>
        </w:tc>
      </w:tr>
    </w:tbl>
    <w:p>
      <w:pPr>
        <w:spacing w:after="0"/>
      </w:pPr>
    </w:p>
    <w:p>
      <w:pPr>
        <w:pStyle w:val="Heading1"/>
      </w:pPr>
      <w:r>
        <w:t>6. Affordability and equitable access: making care realistic</w:t>
      </w:r>
    </w:p>
    <w:p>
      <w:pPr/>
      <w:r>
        <w:t>Effective obesity care should be accessible regardless of income, gender, disability, location or family circumstances. Advice such as “buy special diet foods” or “join a gym” may not be realistic for every household. A useful plan should work with the person’s budget, local food choices, work schedule and access to healthcare.</w:t>
      </w:r>
    </w:p>
    <w:p>
      <w:pPr>
        <w:pStyle w:val="Heading2"/>
      </w:pPr>
      <w:r>
        <w:t>What the available Indian data tell us</w:t>
      </w:r>
    </w:p>
    <w:p>
      <w:pPr/>
      <w:r>
        <w:t>The National Family Health Survey (NFHS-5, 2019–2021) reported that 24% of women aged 15–49 and 23% of men aged 15–49 in India were overweight or obese. The survey also found an increase compared with NFHS-4: from 21% to 24% among women and from 19% to 23% among men. These figures show that excess weight is a population-level health issue, not simply an individual problem. They describe the survey’s specified age groups and should not be treated as estimates for every Indian adult.</w:t>
      </w:r>
    </w:p>
    <w:p>
      <w:pPr/>
      <w:r>
        <w:t>Affordability matters across healthcare. India’s National Health Accounts estimated that households paid 39.4% of total health expenditure directly out of pocket in 2021–22. This is a national health-financing indicator—not an obesity-specific cost estimate—but it illustrates why repeated consultations, tests, medicines, transport and time away from work can create barriers for some families.</w:t>
      </w:r>
    </w:p>
    <w:p>
      <w:pPr>
        <w:pStyle w:val="Heading2"/>
      </w:pPr>
      <w:r>
        <w:t>Low-cost choices that can still support health</w:t>
      </w:r>
    </w:p>
    <w:p>
      <w:pPr>
        <w:pStyle w:val="ListBullet"/>
        <w:spacing w:after="40"/>
      </w:pPr>
      <w:r>
        <w:t>Food: a balanced routine does not require imported “diet” products. Depending on local prices and personal health needs, options may include seasonal vegetables, whole fruit, dal, chana, beans, eggs, curd and home-cooked meals. Compare cost per serving and choose foods the household can use before they spoil.</w:t>
      </w:r>
    </w:p>
    <w:p>
      <w:pPr>
        <w:pStyle w:val="ListBullet"/>
        <w:spacing w:after="40"/>
      </w:pPr>
      <w:r>
        <w:t>Movement: walking in a safe area, home-based exercises, dancing or chair-based movement may cost nothing. A gym membership or fitness device is not essential for beginning to move more.</w:t>
      </w:r>
    </w:p>
    <w:p>
      <w:pPr>
        <w:pStyle w:val="ListBullet"/>
        <w:spacing w:after="40"/>
      </w:pPr>
      <w:r>
        <w:t>Medical visits: ask a government health facility or qualified clinician what services are available locally. Ask whether tests can be grouped into one visit, whether a lower-cost clinically appropriate medicine is available, and what follow-up is essential.</w:t>
      </w:r>
    </w:p>
    <w:p>
      <w:pPr>
        <w:pStyle w:val="ListBullet"/>
        <w:spacing w:after="40"/>
      </w:pPr>
      <w:r>
        <w:t>Medicines: request a clear explanation of expected benefit, side effects, duration and total monthly cost. Do not purchase prescription weight-loss medicines from unverified online sellers, share medicines or substitute products without medical advice.</w:t>
      </w:r>
    </w:p>
    <w:p>
      <w:pPr>
        <w:pStyle w:val="ListBullet"/>
        <w:spacing w:after="40"/>
      </w:pPr>
      <w:r>
        <w:t>Access needs: if work hours, caregiving, transport, language, mobility or internet access make appointments difficult, tell the care team. Ask about local services, accessible appointment options and written instructions in a language you understand.</w:t>
      </w:r>
    </w:p>
    <w:p>
      <w:pPr>
        <w:pStyle w:val="Heading2"/>
      </w:pPr>
      <w:r>
        <w:t>Illustrative patient example (not a real case report)</w:t>
      </w:r>
    </w:p>
    <w:p>
      <w:pPr/>
      <w:r>
        <w:t>Meena is a fictional 42-year-old shop worker who wants to improve her health but cannot afford a gym, special meal plans or frequent private appointments. Instead of being told to buy expensive products, her clinician helps her choose three manageable steps: replace one sugary drink most days with water, add a low-cost pulse or vegetable option to a regular meal when available, and take a 10-minute walk on days when it is safe and practical. The clinician reviews her blood pressure and decides which blood tests are necessary, discusses costs before prescribing anything, and arranges a follow-up that fits her work schedule. This example shows how a plan can be adapted to a person’s resources; it does not promise a particular amount of weight loss.</w:t>
      </w:r>
    </w:p>
    <w:p>
      <w:pPr/>
      <w:r>
        <w:t>Equity also means avoiding stigma. People should not be denied respectful care because of their body size or income. Health systems, workplaces, schools and communities can help by improving access to nutritious food, safe places to be active, affordable primary care and evidence-based treatment.</w:t>
      </w:r>
    </w:p>
    <w:p>
      <w:pPr>
        <w:pStyle w:val="Heading1"/>
      </w:pPr>
      <w:r>
        <w:t>7. Prevention and everyday habits</w:t>
      </w:r>
    </w:p>
    <w:p>
      <w:r>
        <w:t>No strategy can prevent every case of obesity, because many influences are outside an individual’s control. However, supportive routines can reduce risk and improve health at any body size.</w:t>
      </w:r>
    </w:p>
    <w:p>
      <w:pPr>
        <w:pStyle w:val="ListBullet"/>
        <w:spacing w:after="40"/>
        <w:ind w:left="317" w:hanging="173"/>
      </w:pPr>
      <w:r>
        <w:t>Make nutritious choices easier: keep vegetables, fruit, pulses and other preferred healthy foods available when possible.</w:t>
      </w:r>
    </w:p>
    <w:p>
      <w:pPr>
        <w:pStyle w:val="ListBullet"/>
        <w:spacing w:after="40"/>
        <w:ind w:left="317" w:hanging="173"/>
      </w:pPr>
      <w:r>
        <w:t>Build movement into the day: walk for short errands when safe, use stairs if comfortable, stretch between tasks or plan an activity with family.</w:t>
      </w:r>
    </w:p>
    <w:p>
      <w:pPr>
        <w:pStyle w:val="ListBullet"/>
        <w:spacing w:after="40"/>
        <w:ind w:left="317" w:hanging="173"/>
      </w:pPr>
      <w:r>
        <w:t>Reduce long sitting periods by standing or moving briefly at regular intervals.</w:t>
      </w:r>
    </w:p>
    <w:p>
      <w:pPr>
        <w:pStyle w:val="ListBullet"/>
        <w:spacing w:after="40"/>
        <w:ind w:left="317" w:hanging="173"/>
      </w:pPr>
      <w:r>
        <w:t>Protect sleep with a consistent routine and seek help for persistent snoring or daytime sleepiness.</w:t>
      </w:r>
    </w:p>
    <w:p>
      <w:pPr>
        <w:pStyle w:val="ListBullet"/>
        <w:spacing w:after="40"/>
        <w:ind w:left="317" w:hanging="173"/>
      </w:pPr>
      <w:r>
        <w:t>Support children without dieting pressure or body criticism. Offer varied foods, active play, sleep routines and a positive family example.</w:t>
      </w:r>
    </w:p>
    <w:p>
      <w:pPr>
        <w:pStyle w:val="ListBullet"/>
        <w:spacing w:after="40"/>
        <w:ind w:left="317" w:hanging="173"/>
      </w:pPr>
      <w:r>
        <w:t>Attend recommended health checks, especially if you have a family history of diabetes, high blood pressure or heart disease.</w:t>
      </w:r>
    </w:p>
    <w:p>
      <w:pPr>
        <w:pStyle w:val="ListBullet"/>
        <w:spacing w:after="40"/>
        <w:ind w:left="317" w:hanging="173"/>
      </w:pPr>
      <w:r>
        <w:t>Avoid weight-based teasing and stigma. Focus on wellbeing, access to care and achievable goals.</w:t>
      </w:r>
    </w:p>
    <w:p>
      <w:pPr>
        <w:pStyle w:val="Heading1"/>
      </w:pPr>
      <w:r>
        <w:t>8. Make a simple 2-week starter plan</w:t>
      </w:r>
    </w:p>
    <w:p>
      <w:r>
        <w:t>Choose only two or three changes to begin with. Small steps that fit real life are more useful than a perfect plan that cannot be maintained.</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shd w:fill="123B5D"/>
          </w:tcPr>
          <w:p>
            <w:r>
              <w:rPr>
                <w:b/>
                <w:color w:val="FFFFFF"/>
                <w:sz w:val="18"/>
              </w:rPr>
              <w:t>Focus</w:t>
            </w:r>
          </w:p>
        </w:tc>
        <w:tc>
          <w:tcPr>
            <w:tcW w:type="dxa" w:w="3389"/>
            <w:shd w:fill="123B5D"/>
          </w:tcPr>
          <w:p>
            <w:r>
              <w:rPr>
                <w:b/>
                <w:color w:val="FFFFFF"/>
                <w:sz w:val="18"/>
              </w:rPr>
              <w:t>Try this</w:t>
            </w:r>
          </w:p>
        </w:tc>
        <w:tc>
          <w:tcPr>
            <w:tcW w:type="dxa" w:w="3389"/>
            <w:shd w:fill="123B5D"/>
          </w:tcPr>
          <w:p>
            <w:r>
              <w:rPr>
                <w:b/>
                <w:color w:val="FFFFFF"/>
                <w:sz w:val="18"/>
              </w:rPr>
              <w:t>How to review</w:t>
            </w:r>
          </w:p>
        </w:tc>
      </w:tr>
      <w:tr>
        <w:tc>
          <w:tcPr>
            <w:tcW w:type="dxa" w:w="3389"/>
            <w:vAlign w:val="center"/>
            <w:tcMar>
              <w:top w:w="100" w:type="dxa"/>
              <w:start w:w="120" w:type="dxa"/>
              <w:bottom w:w="100" w:type="dxa"/>
              <w:end w:w="120" w:type="dxa"/>
            </w:tcMar>
          </w:tcPr>
          <w:p>
            <w:r>
              <w:rPr>
                <w:sz w:val="18"/>
              </w:rPr>
              <w:t>Food</w:t>
            </w:r>
          </w:p>
        </w:tc>
        <w:tc>
          <w:tcPr>
            <w:tcW w:type="dxa" w:w="3389"/>
            <w:vAlign w:val="center"/>
            <w:tcMar>
              <w:top w:w="100" w:type="dxa"/>
              <w:start w:w="120" w:type="dxa"/>
              <w:bottom w:w="100" w:type="dxa"/>
              <w:end w:w="120" w:type="dxa"/>
            </w:tcMar>
          </w:tcPr>
          <w:p>
            <w:r>
              <w:rPr>
                <w:sz w:val="18"/>
              </w:rPr>
              <w:t>Add one vegetable or fruit serving to a daily meal.</w:t>
            </w:r>
          </w:p>
        </w:tc>
        <w:tc>
          <w:tcPr>
            <w:tcW w:type="dxa" w:w="3389"/>
            <w:vAlign w:val="center"/>
            <w:tcMar>
              <w:top w:w="100" w:type="dxa"/>
              <w:start w:w="120" w:type="dxa"/>
              <w:bottom w:w="100" w:type="dxa"/>
              <w:end w:w="120" w:type="dxa"/>
            </w:tcMar>
          </w:tcPr>
          <w:p>
            <w:r>
              <w:rPr>
                <w:sz w:val="18"/>
              </w:rPr>
              <w:t>Was it affordable and realistic?</w:t>
            </w:r>
          </w:p>
        </w:tc>
      </w:tr>
      <w:tr>
        <w:tc>
          <w:tcPr>
            <w:tcW w:type="dxa" w:w="3389"/>
            <w:vAlign w:val="center"/>
            <w:tcMar>
              <w:top w:w="100" w:type="dxa"/>
              <w:start w:w="120" w:type="dxa"/>
              <w:bottom w:w="100" w:type="dxa"/>
              <w:end w:w="120" w:type="dxa"/>
            </w:tcMar>
          </w:tcPr>
          <w:p>
            <w:r>
              <w:rPr>
                <w:sz w:val="18"/>
              </w:rPr>
              <w:t>Movement</w:t>
            </w:r>
          </w:p>
        </w:tc>
        <w:tc>
          <w:tcPr>
            <w:tcW w:type="dxa" w:w="3389"/>
            <w:vAlign w:val="center"/>
            <w:tcMar>
              <w:top w:w="100" w:type="dxa"/>
              <w:start w:w="120" w:type="dxa"/>
              <w:bottom w:w="100" w:type="dxa"/>
              <w:end w:w="120" w:type="dxa"/>
            </w:tcMar>
          </w:tcPr>
          <w:p>
            <w:r>
              <w:rPr>
                <w:sz w:val="18"/>
              </w:rPr>
              <w:t>Walk or do a suitable activity for 10 minutes on most days; build up slowly.</w:t>
            </w:r>
          </w:p>
        </w:tc>
        <w:tc>
          <w:tcPr>
            <w:tcW w:type="dxa" w:w="3389"/>
            <w:vAlign w:val="center"/>
            <w:tcMar>
              <w:top w:w="100" w:type="dxa"/>
              <w:start w:w="120" w:type="dxa"/>
              <w:bottom w:w="100" w:type="dxa"/>
              <w:end w:w="120" w:type="dxa"/>
            </w:tcMar>
          </w:tcPr>
          <w:p>
            <w:r>
              <w:rPr>
                <w:sz w:val="18"/>
              </w:rPr>
              <w:t>Did it feel safe and manageable?</w:t>
            </w:r>
          </w:p>
        </w:tc>
      </w:tr>
      <w:tr>
        <w:tc>
          <w:tcPr>
            <w:tcW w:type="dxa" w:w="3389"/>
            <w:vAlign w:val="center"/>
            <w:tcMar>
              <w:top w:w="100" w:type="dxa"/>
              <w:start w:w="120" w:type="dxa"/>
              <w:bottom w:w="100" w:type="dxa"/>
              <w:end w:w="120" w:type="dxa"/>
            </w:tcMar>
          </w:tcPr>
          <w:p>
            <w:r>
              <w:rPr>
                <w:sz w:val="18"/>
              </w:rPr>
              <w:t>Sleep</w:t>
            </w:r>
          </w:p>
        </w:tc>
        <w:tc>
          <w:tcPr>
            <w:tcW w:type="dxa" w:w="3389"/>
            <w:vAlign w:val="center"/>
            <w:tcMar>
              <w:top w:w="100" w:type="dxa"/>
              <w:start w:w="120" w:type="dxa"/>
              <w:bottom w:w="100" w:type="dxa"/>
              <w:end w:w="120" w:type="dxa"/>
            </w:tcMar>
          </w:tcPr>
          <w:p>
            <w:r>
              <w:rPr>
                <w:sz w:val="18"/>
              </w:rPr>
              <w:t>Choose a regular bedtime on at least five nights each week.</w:t>
            </w:r>
          </w:p>
        </w:tc>
        <w:tc>
          <w:tcPr>
            <w:tcW w:type="dxa" w:w="3389"/>
            <w:vAlign w:val="center"/>
            <w:tcMar>
              <w:top w:w="100" w:type="dxa"/>
              <w:start w:w="120" w:type="dxa"/>
              <w:bottom w:w="100" w:type="dxa"/>
              <w:end w:w="120" w:type="dxa"/>
            </w:tcMar>
          </w:tcPr>
          <w:p>
            <w:r>
              <w:rPr>
                <w:sz w:val="18"/>
              </w:rPr>
              <w:t>Did energy or mood change?</w:t>
            </w:r>
          </w:p>
        </w:tc>
      </w:tr>
      <w:tr>
        <w:tc>
          <w:tcPr>
            <w:tcW w:type="dxa" w:w="3389"/>
            <w:vAlign w:val="center"/>
            <w:tcMar>
              <w:top w:w="100" w:type="dxa"/>
              <w:start w:w="120" w:type="dxa"/>
              <w:bottom w:w="100" w:type="dxa"/>
              <w:end w:w="120" w:type="dxa"/>
            </w:tcMar>
          </w:tcPr>
          <w:p>
            <w:r>
              <w:rPr>
                <w:sz w:val="18"/>
              </w:rPr>
              <w:t>Health support</w:t>
            </w:r>
          </w:p>
        </w:tc>
        <w:tc>
          <w:tcPr>
            <w:tcW w:type="dxa" w:w="3389"/>
            <w:vAlign w:val="center"/>
            <w:tcMar>
              <w:top w:w="100" w:type="dxa"/>
              <w:start w:w="120" w:type="dxa"/>
              <w:bottom w:w="100" w:type="dxa"/>
              <w:end w:w="120" w:type="dxa"/>
            </w:tcMar>
          </w:tcPr>
          <w:p>
            <w:r>
              <w:rPr>
                <w:sz w:val="18"/>
              </w:rPr>
              <w:t>Book a check-up if you have concerns or related conditions.</w:t>
            </w:r>
          </w:p>
        </w:tc>
        <w:tc>
          <w:tcPr>
            <w:tcW w:type="dxa" w:w="3389"/>
            <w:vAlign w:val="center"/>
            <w:tcMar>
              <w:top w:w="100" w:type="dxa"/>
              <w:start w:w="120" w:type="dxa"/>
              <w:bottom w:w="100" w:type="dxa"/>
              <w:end w:w="120" w:type="dxa"/>
            </w:tcMar>
          </w:tcPr>
          <w:p>
            <w:r>
              <w:rPr>
                <w:sz w:val="18"/>
              </w:rPr>
              <w:t>Write down questions for the clinician.</w:t>
            </w:r>
          </w:p>
        </w:tc>
      </w:tr>
    </w:tbl>
    <w:p>
      <w:r>
        <w:t>Review your plan after two weeks. Keep what helps, change what does not fit, and ask for support when needed. Progress can include improved stamina, sleep, blood pressure, blood sugar, mood or daily comfort—even if weight loss is modest.</w:t>
      </w:r>
    </w:p>
    <w:p>
      <w:pPr>
        <w:pStyle w:val="Heading1"/>
      </w:pPr>
      <w:r>
        <w:t>9. Questions to ask your healthcare professional</w:t>
      </w:r>
    </w:p>
    <w:p>
      <w:pPr>
        <w:pStyle w:val="ListBullet"/>
        <w:spacing w:after="40"/>
        <w:ind w:left="317" w:hanging="173"/>
      </w:pPr>
      <w:r>
        <w:t>What health measures should we monitor besides weight?</w:t>
      </w:r>
    </w:p>
    <w:p>
      <w:pPr>
        <w:pStyle w:val="ListBullet"/>
        <w:spacing w:after="40"/>
        <w:ind w:left="317" w:hanging="173"/>
      </w:pPr>
      <w:r>
        <w:t>Could a health condition or one of my medicines be affecting my weight?</w:t>
      </w:r>
    </w:p>
    <w:p>
      <w:pPr>
        <w:pStyle w:val="ListBullet"/>
        <w:spacing w:after="40"/>
        <w:ind w:left="317" w:hanging="173"/>
      </w:pPr>
      <w:r>
        <w:t>Would a dietitian, structured programme, medicine or specialist referral help me?</w:t>
      </w:r>
    </w:p>
    <w:p>
      <w:pPr>
        <w:pStyle w:val="ListBullet"/>
        <w:spacing w:after="40"/>
        <w:ind w:left="317" w:hanging="173"/>
      </w:pPr>
      <w:r>
        <w:t>What benefits, side effects, costs and follow-up should I expect from each option?</w:t>
      </w:r>
    </w:p>
    <w:p>
      <w:pPr>
        <w:pStyle w:val="ListBullet"/>
        <w:spacing w:after="40"/>
        <w:ind w:left="317" w:hanging="173"/>
      </w:pPr>
      <w:r>
        <w:t>What is a realistic first goal for my health and circumstances?</w:t>
      </w:r>
    </w:p>
    <w:p>
      <w:pPr>
        <w:pStyle w:val="Heading1"/>
      </w:pPr>
      <w:r>
        <w:t>Reliable information and references</w:t>
      </w:r>
    </w:p>
    <w:p>
      <w:r>
        <w:t>This brochure is based on public information from recognised health organisations. Web pages can be updated; check the source for the latest advice.</w:t>
      </w:r>
    </w:p>
    <w:p>
      <w:pPr>
        <w:pStyle w:val="ListNumber"/>
        <w:spacing w:after="40"/>
      </w:pPr>
      <w:r>
        <w:t xml:space="preserve">1. World Health Organization. Obesity and overweight. Fact sheet, updated 7 October 2026. </w:t>
      </w:r>
      <w:r>
        <w:rPr>
          <w:color w:val="167D8D"/>
          <w:sz w:val="16"/>
          <w:u w:val="single"/>
        </w:rPr>
        <w:t>https://www.who.int/news-room/fact-sheets/detail/obesity-and-overweight</w:t>
      </w:r>
    </w:p>
    <w:p>
      <w:pPr>
        <w:pStyle w:val="ListNumber"/>
        <w:spacing w:after="40"/>
      </w:pPr>
      <w:r>
        <w:t xml:space="preserve">2. National Institute of Diabetes and Digestive and Kidney Diseases (NIDDK). Understanding Adult Overweight &amp; Obesity. Reviewed May 2023. </w:t>
      </w:r>
      <w:r>
        <w:rPr>
          <w:color w:val="167D8D"/>
          <w:sz w:val="16"/>
          <w:u w:val="single"/>
        </w:rPr>
        <w:t>https://www.niddk.nih.gov/health-information/weight-management/adult-overweight-obesity</w:t>
      </w:r>
    </w:p>
    <w:p>
      <w:pPr>
        <w:pStyle w:val="ListNumber"/>
        <w:spacing w:after="40"/>
      </w:pPr>
      <w:r>
        <w:t xml:space="preserve">3. NIDDK. Prescription Medications to Treat Overweight &amp; Obesity. </w:t>
      </w:r>
      <w:r>
        <w:rPr>
          <w:color w:val="167D8D"/>
          <w:sz w:val="16"/>
          <w:u w:val="single"/>
        </w:rPr>
        <w:t>https://www.niddk.nih.gov/health-information/weight-management/prescription-medications-treat-overweight-obesity</w:t>
      </w:r>
    </w:p>
    <w:p>
      <w:pPr>
        <w:pStyle w:val="ListNumber"/>
        <w:spacing w:after="40"/>
      </w:pPr>
      <w:r>
        <w:t xml:space="preserve">4. NIDDK. Weight-loss (Metabolic &amp; Bariatric) Surgery. </w:t>
      </w:r>
      <w:r>
        <w:rPr>
          <w:color w:val="167D8D"/>
          <w:sz w:val="16"/>
          <w:u w:val="single"/>
        </w:rPr>
        <w:t>https://www.niddk.nih.gov/health-information/weight-management/bariatric-surgery</w:t>
      </w:r>
    </w:p>
    <w:p>
      <w:pPr>
        <w:pStyle w:val="ListNumber"/>
        <w:spacing w:after="40"/>
      </w:pPr>
      <w:r>
        <w:t xml:space="preserve">5. Centers for Disease Control and Prevention (CDC). Steps for Losing Weight. Updated January 17, 2025. </w:t>
      </w:r>
      <w:r>
        <w:rPr>
          <w:color w:val="167D8D"/>
          <w:sz w:val="16"/>
          <w:u w:val="single"/>
        </w:rPr>
        <w:t>https://www.cdc.gov/healthy-weight-growth/losing-weight/index.html</w:t>
      </w:r>
    </w:p>
    <w:p>
      <w:pPr>
        <w:pStyle w:val="ListNumber"/>
        <w:spacing w:after="40"/>
      </w:pPr>
      <w:r>
        <w:t xml:space="preserve">6. NIDDK. Talking with Your Patients about Weight. </w:t>
      </w:r>
      <w:r>
        <w:rPr>
          <w:color w:val="167D8D"/>
          <w:sz w:val="16"/>
          <w:u w:val="single"/>
        </w:rPr>
        <w:t>https://www.niddk.nih.gov/health-information/professionals/clinical-tools-patient-management/weight-management/talking-with-your-patients-about-weight</w:t>
      </w:r>
    </w:p>
    <w:p>
      <w:pPr>
        <w:pStyle w:val="SmallNote"/>
      </w:pPr>
      <w:r>
        <w:t>Medical disclaimer: This brochure provides general education and does not replace individual diagnosis or treatment. Recommendations and medicine approvals vary by country. Speak with a qualified healthcare professional before making major changes to your diet, activity or medicines.</w:t>
      </w:r>
    </w:p>
    <w:p>
      <w:pPr>
        <w:pStyle w:val="ListNumber"/>
      </w:pPr>
      <w:r>
        <w:rPr>
          <w:color w:val="167D8D"/>
          <w:sz w:val="16"/>
        </w:rPr>
        <w:t>7. Ministry of Health and Family Welfare, Government of India. National Family Health Survey (NFHS-5), 2019–21: national and state findings. Press Information Bureau, 2022. https://www.pib.gov.in/Pressreleaseshare.aspx?PRID=1823047&amp;lang=2&amp;reg=48</w:t>
      </w:r>
    </w:p>
    <w:p>
      <w:pPr>
        <w:pStyle w:val="ListNumber"/>
      </w:pPr>
      <w:r>
        <w:rPr>
          <w:color w:val="167D8D"/>
          <w:sz w:val="16"/>
        </w:rPr>
        <w:t>8. Ministry of Health and Family Welfare, Government of India. National Health Accounts Estimates for India 2021–22. Released 25 September 2024. https://www.mohfw.gov.in/sites/default/files/NHA%202021-22_up.pdf</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Educational brochure • For personal medical decisions, consult a qualified healthcare professional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67D8D"/>
        <w:sz w:val="16"/>
      </w:rPr>
      <w:t>PATIENT EDUCATION  •  UNDERSTAND | ACT | THRIVE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23B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67D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23B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i/>
      <w:color w:val="5A64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Education Brochure: Understanding Overweight and Obesity</dc:title>
  <dc:subject>Week 2 Medical Writing Task</dc:subject>
  <dc:creator>Patient Education Resource</dc:creator>
  <cp:keywords>obesity, patient education, treatment, prevention, medical writing</cp:keywords>
  <dc:description>Updated with India-specific prevalence data and an affordability/equity section in response to evaluator feedback.</dc:description>
  <cp:lastModifiedBy/>
  <cp:revision>1</cp:revision>
  <dcterms:created xsi:type="dcterms:W3CDTF">2013-12-23T23:15:00Z</dcterms:created>
  <dcterms:modified xsi:type="dcterms:W3CDTF">2013-12-23T23:15:00Z</dcterms:modified>
  <cp:category/>
</cp:coreProperties>
</file>