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mposite-page-76"/>
    <w:bookmarkStart w:id="49" w:name="interactive-link-questions"/>
    <w:p>
      <w:pPr>
        <w:pStyle w:val="Heading2"/>
      </w:pPr>
      <w:r>
        <w:t xml:space="preserve">Interactive Link Questions</w:t>
      </w:r>
    </w:p>
    <w:bookmarkStart w:id="26" w:name="fs-id2238316"/>
    <w:bookmarkStart w:id="22" w:name="fs-id2584327"/>
    <w:bookmarkStart w:id="21" w:name="fs-id1702881"/>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rPr>
          <w:t xml:space="preserve">video</w:t>
        </w:r>
      </w:hyperlink>
      <w:r>
        <w:t xml:space="preserve"> </w:t>
      </w:r>
      <w:r>
        <w:t xml:space="preserve">that provides a demonstration of the neurological exam—a series of tests that can be performed rapidly when a patient is initially brought into an emergency department. The exam can be repeated on a regular basis to keep a record of how and if neurological function changes over time. In what order were the sections of the neurological exam tested in this video, and which section seemed to be left out?</w:t>
      </w:r>
    </w:p>
    <w:bookmarkEnd w:id="21"/>
    <w:bookmarkEnd w:id="22"/>
    <w:bookmarkStart w:id="25" w:name="fs-id1975731"/>
    <w:bookmarkStart w:id="24" w:name="fs-id2304332"/>
    <w:p>
      <w:pPr>
        <w:pStyle w:val="TextBody"/>
      </w:pPr>
      <w:r>
        <w:t xml:space="preserve">2</w:t>
      </w:r>
      <w:r>
        <w:t xml:space="preserve">.</w:t>
      </w:r>
      <w:r>
        <w:t xml:space="preserve"> </w:t>
      </w:r>
    </w:p>
    <w:p>
      <w:pPr>
        <w:pStyle w:val="TextBody"/>
      </w:pPr>
      <w:r>
        <w:t xml:space="preserve">Watch this</w:t>
      </w:r>
      <w:r>
        <w:t xml:space="preserve"> </w:t>
      </w:r>
      <w:hyperlink r:id="rId23">
        <w:r>
          <w:rPr>
            <w:rStyle w:val="InternetLink"/>
          </w:rPr>
          <w:t xml:space="preserve">video</w:t>
        </w:r>
      </w:hyperlink>
      <w:r>
        <w:t xml:space="preserve"> </w:t>
      </w:r>
      <w:r>
        <w:t xml:space="preserve">for an introduction to the neurological exam. Studying the neurological exam can give insight into how structure and function in the nervous system are interdependent. This is a tool both in the clinic and in the classroom, but for different reasons. In the clinic, this is a powerful but simple tool to assess a patient’s neurological function. In the classroom, it is a different way to think about the nervous system. Though medical technology provides noninvasive imaging and real-time functional data, the presenter says these cannot replace the history at the core of the medical examination. What does history mean in the context of medical practice?</w:t>
      </w:r>
    </w:p>
    <w:bookmarkEnd w:id="24"/>
    <w:bookmarkEnd w:id="25"/>
    <w:bookmarkEnd w:id="26"/>
    <w:bookmarkStart w:id="33" w:name="fs-id1548070"/>
    <w:bookmarkStart w:id="29" w:name="fs-id1482125"/>
    <w:bookmarkStart w:id="28" w:name="fs-id1522282"/>
    <w:p>
      <w:pPr>
        <w:pStyle w:val="TextBody"/>
      </w:pPr>
      <w:r>
        <w:t xml:space="preserve">3</w:t>
      </w:r>
      <w:r>
        <w:t xml:space="preserve">.</w:t>
      </w:r>
      <w:r>
        <w:t xml:space="preserve"> </w:t>
      </w:r>
    </w:p>
    <w:p>
      <w:pPr>
        <w:pStyle w:val="TextBody"/>
      </w:pPr>
      <w:r>
        <w:t xml:space="preserve">Read this</w:t>
      </w:r>
      <w:r>
        <w:t xml:space="preserve"> </w:t>
      </w:r>
      <w:hyperlink r:id="rId27">
        <w:r>
          <w:rPr>
            <w:rStyle w:val="InternetLink"/>
          </w:rPr>
          <w:t xml:space="preserve">article</w:t>
        </w:r>
      </w:hyperlink>
      <w:r>
        <w:t xml:space="preserve"> </w:t>
      </w:r>
      <w:r>
        <w:t xml:space="preserve">to learn about a young man who texts his fiancée in a panic as he finds that he is having trouble remembering things. At the hospital, a neurologist administers the mental status exam, which is mostly normal except for the three-word recall test. The young man could not recall them even 30 seconds after hearing them and repeating them back to the doctor. An undiscovered mass in the mediastinum region was found to be Hodgkin’s lymphoma, a type of cancer that affects the immune system and likely caused antibodies to attack the nervous system. The patient eventually regained his ability to remember, though the events in the hospital were always elusive. Considering that the effects on memory were temporary, but resulted in the loss of the specific events of the hospital stay, what regions of the brain were likely to have been affected by the antibodies and what type of memory does that represent?</w:t>
      </w:r>
    </w:p>
    <w:bookmarkEnd w:id="28"/>
    <w:bookmarkEnd w:id="29"/>
    <w:bookmarkStart w:id="32" w:name="fs-id2532633"/>
    <w:bookmarkStart w:id="31" w:name="fs-id2023738"/>
    <w:p>
      <w:pPr>
        <w:pStyle w:val="TextBody"/>
      </w:pPr>
      <w:r>
        <w:t xml:space="preserve">4</w:t>
      </w:r>
      <w:r>
        <w:t xml:space="preserve">.</w:t>
      </w:r>
      <w:r>
        <w:t xml:space="preserve"> </w:t>
      </w:r>
    </w:p>
    <w:p>
      <w:pPr>
        <w:pStyle w:val="TextBody"/>
      </w:pPr>
      <w:r>
        <w:t xml:space="preserve">Watch the</w:t>
      </w:r>
      <w:r>
        <w:t xml:space="preserve"> </w:t>
      </w:r>
      <w:hyperlink r:id="rId30">
        <w:r>
          <w:rPr>
            <w:rStyle w:val="InternetLink"/>
          </w:rPr>
          <w:t xml:space="preserve">video</w:t>
        </w:r>
      </w:hyperlink>
      <w:r>
        <w:t xml:space="preserve"> </w:t>
      </w:r>
      <w:r>
        <w:t xml:space="preserve">titled “The Man With Two Brains” to see the neuroscientist Michael Gazzaniga introduce a patient he has worked with for years who has had his corpus callosum cut, separating his two cerebral hemispheres. A few tests are run to demonstrate how this manifests in tests of cerebral function. Unlike normal people, this patient can perform two independent tasks at the same time because the lines of communication between the right and left sides of his brain have been removed. Whereas a person with an intact corpus callosum cannot overcome the dominance of one hemisphere over the other, this patient can. If the left cerebral hemisphere is dominant in the majority of people, why would right-handedness be most common?</w:t>
      </w:r>
    </w:p>
    <w:bookmarkEnd w:id="31"/>
    <w:bookmarkEnd w:id="32"/>
    <w:bookmarkEnd w:id="33"/>
    <w:bookmarkStart w:id="37" w:name="fs-id2260885"/>
    <w:bookmarkStart w:id="36" w:name="fs-id1702029"/>
    <w:bookmarkStart w:id="35" w:name="fs-id1352373"/>
    <w:p>
      <w:pPr>
        <w:pStyle w:val="TextBody"/>
      </w:pPr>
      <w:r>
        <w:t xml:space="preserve">5</w:t>
      </w:r>
      <w:r>
        <w:t xml:space="preserve">.</w:t>
      </w:r>
      <w:r>
        <w:t xml:space="preserve"> </w:t>
      </w:r>
    </w:p>
    <w:p>
      <w:pPr>
        <w:pStyle w:val="TextBody"/>
      </w:pPr>
      <w:r>
        <w:t xml:space="preserve">Watch this short</w:t>
      </w:r>
      <w:r>
        <w:t xml:space="preserve"> </w:t>
      </w:r>
      <w:hyperlink r:id="rId34">
        <w:r>
          <w:rPr>
            <w:rStyle w:val="InternetLink"/>
          </w:rPr>
          <w:t xml:space="preserve">video</w:t>
        </w:r>
      </w:hyperlink>
      <w:r>
        <w:t xml:space="preserve"> </w:t>
      </w:r>
      <w:r>
        <w:t xml:space="preserve">to see an examination of the facial nerve using some simple tests. The facial nerve controls the muscles of facial expression. Severe deficits will be obvious in watching someone use those muscles for normal control. One side of the face might not move like the other side. But directed tests, especially for contraction against resistance, require a formal testing of the muscles. The muscles of the upper and lower face need to be tested. The strength test in this video involves the patient squeezing her eyes shut and the examiner trying to pry her eyes open. Why does the examiner ask her to try a second time?</w:t>
      </w:r>
    </w:p>
    <w:bookmarkEnd w:id="35"/>
    <w:bookmarkEnd w:id="36"/>
    <w:bookmarkEnd w:id="37"/>
    <w:bookmarkStart w:id="44" w:name="fs-id2347322"/>
    <w:bookmarkStart w:id="40" w:name="fs-id1416844"/>
    <w:bookmarkStart w:id="39" w:name="fs-id2344813"/>
    <w:p>
      <w:pPr>
        <w:pStyle w:val="TextBody"/>
      </w:pPr>
      <w:r>
        <w:t xml:space="preserve">6</w:t>
      </w:r>
      <w:r>
        <w:t xml:space="preserve">.</w:t>
      </w:r>
      <w:r>
        <w:t xml:space="preserve"> </w:t>
      </w:r>
    </w:p>
    <w:p>
      <w:pPr>
        <w:pStyle w:val="TextBody"/>
      </w:pPr>
      <w:r>
        <w:t xml:space="preserve">Watch this</w:t>
      </w:r>
      <w:r>
        <w:t xml:space="preserve"> </w:t>
      </w:r>
      <w:hyperlink r:id="rId38">
        <w:r>
          <w:rPr>
            <w:rStyle w:val="InternetLink"/>
          </w:rPr>
          <w:t xml:space="preserve">video</w:t>
        </w:r>
      </w:hyperlink>
      <w:r>
        <w:t xml:space="preserve"> </w:t>
      </w:r>
      <w:r>
        <w:t xml:space="preserve">to see a quick demonstration of two-point discrimination. Touching a specialized caliper to the surface of the skin will measure the distance between two points that are perceived as distinct stimuli versus a single stimulus. The patient keeps their eyes closed while the examiner switches between using both points of the caliper or just one. The patient then must indicate whether one or two stimuli are in contact with the skin. Why is the distance between the caliper points closer on the fingertips as opposed to the palm of the hand? And what do you think the distance would be on the arm, or the shoulder?</w:t>
      </w:r>
    </w:p>
    <w:bookmarkEnd w:id="39"/>
    <w:bookmarkEnd w:id="40"/>
    <w:bookmarkStart w:id="43" w:name="fs-id2567633"/>
    <w:bookmarkStart w:id="42" w:name="fs-id2094936"/>
    <w:p>
      <w:pPr>
        <w:pStyle w:val="TextBody"/>
      </w:pPr>
      <w:r>
        <w:t xml:space="preserve">7</w:t>
      </w:r>
      <w:r>
        <w:t xml:space="preserve">.</w:t>
      </w:r>
      <w:r>
        <w:t xml:space="preserve"> </w:t>
      </w:r>
    </w:p>
    <w:p>
      <w:pPr>
        <w:pStyle w:val="TextBody"/>
      </w:pPr>
      <w:r>
        <w:t xml:space="preserve">Watch this</w:t>
      </w:r>
      <w:r>
        <w:t xml:space="preserve"> </w:t>
      </w:r>
      <w:hyperlink r:id="rId41">
        <w:r>
          <w:rPr>
            <w:rStyle w:val="InternetLink"/>
          </w:rPr>
          <w:t xml:space="preserve">video</w:t>
        </w:r>
      </w:hyperlink>
      <w:r>
        <w:t xml:space="preserve"> </w:t>
      </w:r>
      <w:r>
        <w:t xml:space="preserve">to see how to test reflexes in the abdomen. Testing reflexes of the trunk is not commonly performed in the neurological exam, but if findings suggest a problem with the thoracic segments of the spinal cord, a series of superficial reflexes of the abdomen can localize function to those segments. If contraction is not observed when the skin lateral to the umbilicus (belly button) is stimulated, what level of the spinal cord may be damaged?</w:t>
      </w:r>
    </w:p>
    <w:bookmarkEnd w:id="42"/>
    <w:bookmarkEnd w:id="43"/>
    <w:bookmarkEnd w:id="44"/>
    <w:bookmarkStart w:id="48" w:name="fs-id1367849"/>
    <w:bookmarkStart w:id="47" w:name="fs-id1352359"/>
    <w:bookmarkStart w:id="46" w:name="fs-id2488956"/>
    <w:p>
      <w:pPr>
        <w:pStyle w:val="TextBody"/>
      </w:pPr>
      <w:r>
        <w:t xml:space="preserve">8</w:t>
      </w:r>
      <w:r>
        <w:t xml:space="preserve">.</w:t>
      </w:r>
      <w:r>
        <w:t xml:space="preserve"> </w:t>
      </w:r>
    </w:p>
    <w:p>
      <w:pPr>
        <w:pStyle w:val="TextBody"/>
      </w:pPr>
      <w:r>
        <w:t xml:space="preserve">Watch this short</w:t>
      </w:r>
      <w:r>
        <w:t xml:space="preserve"> </w:t>
      </w:r>
      <w:hyperlink r:id="rId45">
        <w:r>
          <w:rPr>
            <w:rStyle w:val="InternetLink"/>
          </w:rPr>
          <w:t xml:space="preserve">video</w:t>
        </w:r>
      </w:hyperlink>
      <w:r>
        <w:t xml:space="preserve"> </w:t>
      </w:r>
      <w:r>
        <w:t xml:space="preserve">to see a test for station. Station refers to the position a person adopts when they are standing still. The examiner would look for issues with balance, which coordinates proprioceptive, vestibular, and visual information in the cerebellum. To test the ability of a subject to maintain balance, asking them to stand or hop on one foot can be more demanding. The examiner may also push the subject to see if they can maintain balance. An abnormal finding in the test of station is if the feet are placed far apart. Why would a wide stance suggest problems with cerebellar function?</w:t>
      </w:r>
    </w:p>
    <w:bookmarkEnd w:id="46"/>
    <w:bookmarkEnd w:id="47"/>
    <w:bookmarkEnd w:id="48"/>
    <w:bookmarkEnd w:id="49"/>
    <w:bookmarkEnd w:id="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0" Target="http://openstax.org/l/2brains" TargetMode="External" /><Relationship Type="http://schemas.openxmlformats.org/officeDocument/2006/relationships/hyperlink" Id="rId38" Target="http://openstax.org/l/2point" TargetMode="External" /><Relationship Type="http://schemas.openxmlformats.org/officeDocument/2006/relationships/hyperlink" Id="rId27" Target="http://openstax.org/l/3word" TargetMode="External" /><Relationship Type="http://schemas.openxmlformats.org/officeDocument/2006/relationships/hyperlink" Id="rId34" Target="http://openstax.org/l/facialnerve" TargetMode="External" /><Relationship Type="http://schemas.openxmlformats.org/officeDocument/2006/relationships/hyperlink" Id="rId20" Target="http://openstax.org/l/neuroexam" TargetMode="External" /><Relationship Type="http://schemas.openxmlformats.org/officeDocument/2006/relationships/hyperlink" Id="rId23" Target="http://openstax.org/l/neuroexam2" TargetMode="External" /><Relationship Type="http://schemas.openxmlformats.org/officeDocument/2006/relationships/hyperlink" Id="rId41" Target="http://openstax.org/l/reflextest" TargetMode="External" /><Relationship Type="http://schemas.openxmlformats.org/officeDocument/2006/relationships/hyperlink" Id="rId45" Target="http://openstax.org/l/stationtes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0" Target="http://openstax.org/l/2brains" TargetMode="External" /><Relationship Type="http://schemas.openxmlformats.org/officeDocument/2006/relationships/hyperlink" Id="rId38" Target="http://openstax.org/l/2point" TargetMode="External" /><Relationship Type="http://schemas.openxmlformats.org/officeDocument/2006/relationships/hyperlink" Id="rId27" Target="http://openstax.org/l/3word" TargetMode="External" /><Relationship Type="http://schemas.openxmlformats.org/officeDocument/2006/relationships/hyperlink" Id="rId34" Target="http://openstax.org/l/facialnerve" TargetMode="External" /><Relationship Type="http://schemas.openxmlformats.org/officeDocument/2006/relationships/hyperlink" Id="rId20" Target="http://openstax.org/l/neuroexam" TargetMode="External" /><Relationship Type="http://schemas.openxmlformats.org/officeDocument/2006/relationships/hyperlink" Id="rId23" Target="http://openstax.org/l/neuroexam2" TargetMode="External" /><Relationship Type="http://schemas.openxmlformats.org/officeDocument/2006/relationships/hyperlink" Id="rId41" Target="http://openstax.org/l/reflextest" TargetMode="External" /><Relationship Type="http://schemas.openxmlformats.org/officeDocument/2006/relationships/hyperlink" Id="rId45" Target="http://openstax.org/l/station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2025-01-22T18:22:31Z</dcterms:created>
  <dcterms:modified xsi:type="dcterms:W3CDTF">2025-01-22T18:22:31Z</dcterms:modified>
</cp:coreProperties>
</file>

<file path=docProps/custom.xml><?xml version="1.0" encoding="utf-8"?>
<Properties xmlns="http://schemas.openxmlformats.org/officeDocument/2006/custom-properties" xmlns:vt="http://schemas.openxmlformats.org/officeDocument/2006/docPropsVTypes"/>
</file>