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5.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c88612fc3769eb24571acdb88c95d0fb8556688"/>
    <w:bookmarkStart w:id="47" w:name="X5e62597ab90f1263058bcddff43da70e7970844"/>
    <w:p>
      <w:pPr>
        <w:pStyle w:val="Heading2"/>
      </w:pPr>
      <w:r>
        <w:t xml:space="preserve">6.6</w:t>
      </w:r>
      <w:r>
        <w:t xml:space="preserve"> </w:t>
      </w:r>
      <w:r>
        <w:t xml:space="preserve"> </w:t>
      </w:r>
      <w:r>
        <w:t xml:space="preserve"> </w:t>
      </w:r>
      <w:r>
        <w:t xml:space="preserve">Exercise, Nutrition, Hormones, and Bone Tissue</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effect exercise has on bone tissue</w:t>
      </w:r>
    </w:p>
    <w:p>
      <w:pPr>
        <w:numPr>
          <w:ilvl w:val="0"/>
          <w:numId w:val="1001"/>
        </w:numPr>
        <w:pStyle w:val="Compact"/>
      </w:pPr>
      <w:r>
        <w:t xml:space="preserve">List the nutrients that affect bone health</w:t>
      </w:r>
    </w:p>
    <w:p>
      <w:pPr>
        <w:numPr>
          <w:ilvl w:val="0"/>
          <w:numId w:val="1001"/>
        </w:numPr>
        <w:pStyle w:val="Compact"/>
      </w:pPr>
      <w:r>
        <w:t xml:space="preserve">Discuss the role those nutrients play in bone health</w:t>
      </w:r>
    </w:p>
    <w:p>
      <w:pPr>
        <w:numPr>
          <w:ilvl w:val="0"/>
          <w:numId w:val="1001"/>
        </w:numPr>
        <w:pStyle w:val="Compact"/>
      </w:pPr>
      <w:r>
        <w:t xml:space="preserve">Describe the effects of hormones on bone tissue</w:t>
      </w:r>
    </w:p>
    <w:bookmarkEnd w:id="20"/>
    <w:p>
      <w:pPr>
        <w:pStyle w:val="FirstParagraph"/>
      </w:pPr>
      <w:r>
        <w:t xml:space="preserve">All of the organ systems of your body are interdependent, and the skeletal system is no exception. The food you take in via your digestive system and the hormones secreted by your endocrine system affect your bones. Even using your muscles to engage in exercise has an impact on your bones.</w:t>
      </w:r>
    </w:p>
    <w:bookmarkStart w:id="22" w:name="fs-id962757"/>
    <w:bookmarkStart w:id="21" w:name="exercise-and-bone-tissue"/>
    <w:p>
      <w:pPr>
        <w:pStyle w:val="Heading3"/>
      </w:pPr>
      <w:r>
        <w:t xml:space="preserve">Exercise and Bone Tissue</w:t>
      </w:r>
    </w:p>
    <w:p>
      <w:pPr>
        <w:pStyle w:val="FirstParagraph"/>
      </w:pPr>
      <w:r>
        <w:t xml:space="preserve">During long space missions, astronauts can lose approximately 1 to 2 percent of their bone mass per month. This loss of bone mass is thought to be caused by the lack of mechanical stress on astronauts’ bones due to the low gravitational forces in space. Lack of mechanical stress causes bones to lose mineral salts and collagen fibers, and thus strength. Similarly, mechanical stress stimulates the deposition of mineral salts and collagen fibers. The internal and external structure of a bone will change as stress increases or decreases so that the bone is an ideal size and weight for the amount of activity it endures. That is why people who exercise regularly have thicker bones than people who are more sedentary. It is also why a broken bone in a cast atrophies while its contralateral mate maintains its concentration of mineral salts and collagen fibers. The bones undergo remodeling as a result of forces (or lack of forces) placed on them.</w:t>
      </w:r>
    </w:p>
    <w:p>
      <w:pPr>
        <w:pStyle w:val="TextBody"/>
      </w:pPr>
      <w:r>
        <w:t xml:space="preserve">Numerous, controlled studies have demonstrated that people who exercise regularly have greater bone density than those who are more sedentary. Any type of exercise will stimulate the deposition of more bone tissue, but resistance training has a greater effect than cardiovascular activities. Resistance training is especially important to slow down the eventual bone loss due to aging and for preventing osteoporosis.</w:t>
      </w:r>
    </w:p>
    <w:bookmarkEnd w:id="21"/>
    <w:bookmarkEnd w:id="22"/>
    <w:bookmarkStart w:id="33" w:name="fs-id692395"/>
    <w:bookmarkStart w:id="32" w:name="nutrition-and-bone-tissue"/>
    <w:p>
      <w:pPr>
        <w:pStyle w:val="Heading3"/>
      </w:pPr>
      <w:r>
        <w:t xml:space="preserve">Nutrition and Bone Tissue</w:t>
      </w:r>
    </w:p>
    <w:p>
      <w:pPr>
        <w:pStyle w:val="FirstParagraph"/>
      </w:pPr>
      <w:r>
        <w:t xml:space="preserve">The vitamins and minerals contained in all of the food we consume are important for all of our organ systems. However, there are certain nutrients that affect bone health.</w:t>
      </w:r>
    </w:p>
    <w:bookmarkStart w:id="28" w:name="fs-id1829421"/>
    <w:bookmarkStart w:id="27" w:name="calcium-and-vitamin-d"/>
    <w:p>
      <w:pPr>
        <w:pStyle w:val="Heading4"/>
      </w:pPr>
      <w:r>
        <w:t xml:space="preserve">Calcium and Vitamin D</w:t>
      </w:r>
    </w:p>
    <w:p>
      <w:pPr>
        <w:pStyle w:val="FirstParagraph"/>
      </w:pPr>
      <w:r>
        <w:t xml:space="preserve">You already know that calcium is a critical component of bone, especially in the form of calcium phosphate and calcium carbonate. Since the body cannot make calcium, it must be obtained from the diet. However, calcium cannot be absorbed from the small intestine without vitamin D. Therefore, intake of vitamin D is also critical to bone health. In addition to vitamin D’s role in calcium absorption, it also plays a role, though not as clearly understood, in bone remodeling.</w:t>
      </w:r>
    </w:p>
    <w:p>
      <w:pPr>
        <w:pStyle w:val="TextBody"/>
      </w:pPr>
      <w:r>
        <w:t xml:space="preserve">Milk and other dairy foods are not the only sources of calcium. This important nutrient is also found in green leafy vegetables, broccoli, and intact salmon and canned sardines with their soft bones. Nuts, beans, seeds, and shellfish provide calcium in smaller quantities.</w:t>
      </w:r>
    </w:p>
    <w:p>
      <w:pPr>
        <w:pStyle w:val="TextBody"/>
      </w:pPr>
      <w:r>
        <w:t xml:space="preserve">Except for fatty fish like salmon and tuna, or fortified milk or cereal, vitamin D is not found naturally in many foods. The action of sunlight on the skin triggers the body to produce its own vitamin D (</w:t>
      </w:r>
      <w:hyperlink w:anchor="fig-ch06_06_01">
        <w:r>
          <w:rPr>
            <w:rStyle w:val="InternetLink"/>
          </w:rPr>
          <w:t xml:space="preserve">Figure 6.22</w:t>
        </w:r>
      </w:hyperlink>
      <w:r>
        <w:t xml:space="preserve">), but many people, especially those of darker complexion and those living in northern latitudes where the sun’s rays are not as strong, are deficient in vitamin D. In cases of deficiency, a doctor can prescribe a vitamin D supplement.</w:t>
      </w:r>
    </w:p>
    <w:tbl>
      <w:tblPr>
        <w:tblStyle w:val="FigureTable"/>
        <w:tblW w:type="auto" w:w="0"/>
        <w:tblLook w:firstRow="0" w:lastRow="0" w:firstColumn="0" w:lastColumn="0"/>
        <w:jc w:val="center"/>
      </w:tblPr>
      <w:tblGrid>
        <w:gridCol w:w="7920"/>
      </w:tblGrid>
      <w:tr>
        <w:tc>
          <w:tcPr/>
          <w:p>
            <w:pPr>
              <w:pStyle w:val="Compact"/>
              <w:jc w:val="center"/>
            </w:pPr>
            <w:bookmarkStart w:id="26" w:name="fs-id1710593"/>
            <w:r>
              <w:t xml:space="preserve"> </w:t>
            </w:r>
            <w:r>
              <w:drawing>
                <wp:inline>
                  <wp:extent cx="3619500" cy="4758157"/>
                  <wp:effectExtent b="0" l="0" r="0" t="0"/>
                  <wp:docPr descr="This illustration resembles a flow chart. It begins with the sun shining on a silhouette of a man. One arrow leads from the sun to the man’s skin, stating that Vitamin D is manufactured in the skin after the absorption of sunlight. Another arrow points into the man’s mouth and states that Vitamin D is ingested through food and supplements, absorbed by the intestines, and carried to the liver via the bloodstream. A call out of the liver states that, in the liver, Vitamin D turns into 25 (OH) D, also known as calcidiol, the primary form of circulating Vitamin D. Another callout of the right kidney states that, in the kidneys, Vitamin D is transformed into 1 25 OH (D2). This is also known as calcitriol, a biologically active form of Vitamin D. The synthesis of Vitamin D facilitates calcium absorption from the small intestine, calcium re-absorption from the kidneys, and the rebuilding of bone tissue." title="" id="24" name="Picture"/>
                  <a:graphic>
                    <a:graphicData uri="http://schemas.openxmlformats.org/drawingml/2006/picture">
                      <pic:pic>
                        <pic:nvPicPr>
                          <pic:cNvPr descr="../resources/6677b01a7c5bf54576f6bdd24f7dbc0a89fe0e73" id="25" name="Picture"/>
                          <pic:cNvPicPr>
                            <a:picLocks noChangeArrowheads="1" noChangeAspect="1"/>
                          </pic:cNvPicPr>
                        </pic:nvPicPr>
                        <pic:blipFill>
                          <a:blip r:embed="rId23"/>
                          <a:stretch>
                            <a:fillRect/>
                          </a:stretch>
                        </pic:blipFill>
                        <pic:spPr bwMode="auto">
                          <a:xfrm>
                            <a:off x="0" y="0"/>
                            <a:ext cx="3619500" cy="4758157"/>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6.22</w:t>
      </w:r>
      <w:r>
        <w:t xml:space="preserve"> </w:t>
      </w:r>
      <w:r>
        <w:t xml:space="preserve"> </w:t>
      </w:r>
      <w:r>
        <w:t xml:space="preserve"> </w:t>
      </w:r>
      <w:r>
        <w:t xml:space="preserve">Synthesis of Vitamin D</w:t>
      </w:r>
      <w:r>
        <w:t xml:space="preserve"> </w:t>
      </w:r>
      <w:r>
        <w:t xml:space="preserve"> </w:t>
      </w:r>
      <w:r>
        <w:t xml:space="preserve"> </w:t>
      </w:r>
      <w:r>
        <w:t xml:space="preserve"> </w:t>
      </w:r>
      <w:r>
        <w:t xml:space="preserve">Sunlight is one source of vitamin D.</w:t>
      </w:r>
    </w:p>
    <w:bookmarkEnd w:id="27"/>
    <w:bookmarkEnd w:id="28"/>
    <w:bookmarkStart w:id="31" w:name="fs-id1283296"/>
    <w:bookmarkStart w:id="30" w:name="other-nutrients"/>
    <w:p>
      <w:pPr>
        <w:pStyle w:val="Heading4"/>
      </w:pPr>
      <w:r>
        <w:t xml:space="preserve">Other Nutrients</w:t>
      </w:r>
    </w:p>
    <w:p>
      <w:pPr>
        <w:pStyle w:val="FirstParagraph"/>
      </w:pPr>
      <w:r>
        <w:t xml:space="preserve">Vitamin K also supports bone mineralization and may have a synergistic role with vitamin D in the regulation of bone growth. Green leafy vegetables are a good source of vitamin K.</w:t>
      </w:r>
    </w:p>
    <w:p>
      <w:pPr>
        <w:pStyle w:val="TextBody"/>
      </w:pPr>
      <w:r>
        <w:t xml:space="preserve">The minerals magnesium and fluoride may also play a role in supporting bone health. While magnesium is only found in trace amounts in the human body, more than 60 percent of it is in the skeleton, suggesting it plays a role in the structure of bone. Fluoride can displace the hydroxyl group in bone’s hydroxyapatite crystals and form fluorapatite. Similar to its effect on dental enamel, fluorapatite helps stabilize and strengthen bone mineral. Fluoride can also enter spaces within hydroxyapatite crystals, thus increasing their density.</w:t>
      </w:r>
    </w:p>
    <w:p>
      <w:pPr>
        <w:pStyle w:val="TextBody"/>
      </w:pPr>
      <w:r>
        <w:t xml:space="preserve">Omega-3 fatty acids have long been known to reduce inflammation in various parts of the body. Inflammation can interfere with the function of osteoblasts, so consuming omega-3 fatty acids, in the diet or in supplements, may also help enhance production of new osseous tissue.</w:t>
      </w:r>
      <w:r>
        <w:t xml:space="preserve"> </w:t>
      </w:r>
      <w:hyperlink w:anchor="tbl-ch06_05">
        <w:r>
          <w:rPr>
            <w:rStyle w:val="InternetLink"/>
          </w:rPr>
          <w:t xml:space="preserve">Table 6.5</w:t>
        </w:r>
      </w:hyperlink>
      <w:r>
        <w:t xml:space="preserve"> </w:t>
      </w:r>
      <w:r>
        <w:t xml:space="preserve">summarizes the role of nutrients in bone health.</w:t>
      </w:r>
    </w:p>
    <w:p>
      <w:pPr>
        <w:pStyle w:val="TextBody"/>
      </w:pPr>
      <w:r>
        <w:t xml:space="preserve">Nutrients and Bone Health</w:t>
      </w:r>
    </w:p>
    <w:bookmarkStart w:id="29" w:name="tbl-ch06_05"/>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Nutrient</w:t>
            </w:r>
          </w:p>
        </w:tc>
        <w:tc>
          <w:tcPr/>
          <w:p>
            <w:pPr>
              <w:pStyle w:val="Compact"/>
              <w:jc w:val="left"/>
            </w:pPr>
            <w:r>
              <w:t xml:space="preserve">Role in bone health</w:t>
            </w:r>
          </w:p>
        </w:tc>
      </w:tr>
      <w:tr>
        <w:tc>
          <w:tcPr/>
          <w:p>
            <w:pPr>
              <w:pStyle w:val="Compact"/>
              <w:jc w:val="left"/>
            </w:pPr>
            <w:r>
              <w:t xml:space="preserve">Calcium</w:t>
            </w:r>
          </w:p>
        </w:tc>
        <w:tc>
          <w:tcPr/>
          <w:p>
            <w:pPr>
              <w:pStyle w:val="Compact"/>
              <w:jc w:val="left"/>
            </w:pPr>
            <w:r>
              <w:t xml:space="preserve">Needed to make calcium phosphate and calcium carbonate, which form the hydroxyapatite crystals that give bone its hardness</w:t>
            </w:r>
          </w:p>
        </w:tc>
      </w:tr>
      <w:tr>
        <w:tc>
          <w:tcPr/>
          <w:p>
            <w:pPr>
              <w:pStyle w:val="Compact"/>
              <w:jc w:val="left"/>
            </w:pPr>
            <w:r>
              <w:t xml:space="preserve">Vitamin D</w:t>
            </w:r>
          </w:p>
        </w:tc>
        <w:tc>
          <w:tcPr/>
          <w:p>
            <w:pPr>
              <w:pStyle w:val="Compact"/>
              <w:jc w:val="left"/>
            </w:pPr>
            <w:r>
              <w:t xml:space="preserve">Needed for calcium absorption</w:t>
            </w:r>
          </w:p>
        </w:tc>
      </w:tr>
      <w:tr>
        <w:tc>
          <w:tcPr/>
          <w:p>
            <w:pPr>
              <w:pStyle w:val="Compact"/>
              <w:jc w:val="left"/>
            </w:pPr>
            <w:r>
              <w:t xml:space="preserve">Vitamin K</w:t>
            </w:r>
          </w:p>
        </w:tc>
        <w:tc>
          <w:tcPr/>
          <w:p>
            <w:pPr>
              <w:pStyle w:val="Compact"/>
              <w:jc w:val="left"/>
            </w:pPr>
            <w:r>
              <w:t xml:space="preserve">Supports bone mineralization; may have synergistic effect with vitamin D</w:t>
            </w:r>
          </w:p>
        </w:tc>
      </w:tr>
      <w:tr>
        <w:tc>
          <w:tcPr/>
          <w:p>
            <w:pPr>
              <w:pStyle w:val="Compact"/>
              <w:jc w:val="left"/>
            </w:pPr>
            <w:r>
              <w:t xml:space="preserve">Magnesium</w:t>
            </w:r>
          </w:p>
        </w:tc>
        <w:tc>
          <w:tcPr/>
          <w:p>
            <w:pPr>
              <w:pStyle w:val="Compact"/>
              <w:jc w:val="left"/>
            </w:pPr>
            <w:r>
              <w:t xml:space="preserve">Structural component of bone</w:t>
            </w:r>
          </w:p>
        </w:tc>
      </w:tr>
      <w:tr>
        <w:tc>
          <w:tcPr/>
          <w:p>
            <w:pPr>
              <w:pStyle w:val="Compact"/>
              <w:jc w:val="left"/>
            </w:pPr>
            <w:r>
              <w:t xml:space="preserve">Fluoride</w:t>
            </w:r>
          </w:p>
        </w:tc>
        <w:tc>
          <w:tcPr/>
          <w:p>
            <w:pPr>
              <w:pStyle w:val="Compact"/>
              <w:jc w:val="left"/>
            </w:pPr>
            <w:r>
              <w:t xml:space="preserve">Structural component of bone</w:t>
            </w:r>
          </w:p>
        </w:tc>
      </w:tr>
      <w:tr>
        <w:tc>
          <w:tcPr/>
          <w:p>
            <w:pPr>
              <w:pStyle w:val="Compact"/>
              <w:jc w:val="left"/>
            </w:pPr>
            <w:r>
              <w:t xml:space="preserve">Omega-3 fatty acids</w:t>
            </w:r>
          </w:p>
        </w:tc>
        <w:tc>
          <w:tcPr/>
          <w:p>
            <w:pPr>
              <w:pStyle w:val="Compact"/>
              <w:jc w:val="left"/>
            </w:pPr>
            <w:r>
              <w:t xml:space="preserve">Reduces inflammation that may interfere with osteoblast function</w:t>
            </w:r>
          </w:p>
        </w:tc>
      </w:tr>
    </w:tbl>
    <w:bookmarkEnd w:id="29"/>
    <w:p>
      <w:pPr>
        <w:pStyle w:val="TextBody"/>
      </w:pPr>
      <w:r>
        <w:t xml:space="preserve">Table</w:t>
      </w:r>
      <w:r>
        <w:t xml:space="preserve"> </w:t>
      </w:r>
      <w:r>
        <w:t xml:space="preserve"> </w:t>
      </w:r>
      <w:r>
        <w:t xml:space="preserve">6.5</w:t>
      </w:r>
      <w:r>
        <w:t xml:space="preserve"> </w:t>
      </w:r>
      <w:r>
        <w:t xml:space="preserve"> </w:t>
      </w:r>
      <w:r>
        <w:t xml:space="preserve"> </w:t>
      </w:r>
      <w:r>
        <w:t xml:space="preserve"> </w:t>
      </w:r>
    </w:p>
    <w:bookmarkEnd w:id="30"/>
    <w:bookmarkEnd w:id="31"/>
    <w:bookmarkEnd w:id="32"/>
    <w:bookmarkEnd w:id="33"/>
    <w:bookmarkStart w:id="46" w:name="fs-id702255"/>
    <w:bookmarkStart w:id="45" w:name="hormones-and-bone-tissue"/>
    <w:p>
      <w:pPr>
        <w:pStyle w:val="Heading3"/>
      </w:pPr>
      <w:r>
        <w:t xml:space="preserve">Hormones and Bone Tissue</w:t>
      </w:r>
    </w:p>
    <w:p>
      <w:pPr>
        <w:pStyle w:val="FirstParagraph"/>
      </w:pPr>
      <w:r>
        <w:t xml:space="preserve">The endocrine system produces and secretes hormones, many of which interact with the skeletal system. These hormones are involved in controlling bone growth, maintaining bone once it is formed, and remodeling it.</w:t>
      </w:r>
    </w:p>
    <w:bookmarkStart w:id="41" w:name="fs-id969608"/>
    <w:bookmarkStart w:id="40" w:name="Xb2524375f6f82f7424c8bb25dac65cf1c34a627"/>
    <w:p>
      <w:pPr>
        <w:pStyle w:val="Heading4"/>
      </w:pPr>
      <w:r>
        <w:t xml:space="preserve">Hormones That Influence Osteoblasts and/or Maintain the Matrix</w:t>
      </w:r>
    </w:p>
    <w:p>
      <w:pPr>
        <w:pStyle w:val="FirstParagraph"/>
      </w:pPr>
      <w:r>
        <w:t xml:space="preserve">Several hormones are necessary for controlling bone growth and maintaining the bone matrix. The pituitary gland secretes growth hormone (GH), which, as its name implies, controls bone growth in several ways. It triggers chondrocyte proliferation in epiphyseal plates, resulting in the increasing length of long bones. GH also increases calcium retention, which enhances mineralization, and stimulates osteoblastic activity, which improves bone density.</w:t>
      </w:r>
    </w:p>
    <w:p>
      <w:pPr>
        <w:pStyle w:val="TextBody"/>
      </w:pPr>
      <w:r>
        <w:t xml:space="preserve">GH is not alone in stimulating bone growth and maintaining osseous tissue. Thyroxine, a hormone secreted by the thyroid gland promotes osteoblastic activity and the synthesis of bone matrix. During puberty, the sex hormones (estrogen and testosterone) also come into play. They too promote osteoblastic activity and production of bone matrix, and in addition, are responsible for the growth spurt that often occurs during adolescence. They also promote the conversion of the epiphyseal plate to the epiphyseal line (i.e., cartilage to its bony remnant), thus bringing an end to the longitudinal growth of bones. Additionally, calcitriol, the active form of vitamin D, is produced by the kidneys and stimulates the absorption of calcium and phosphate from the digestive tract.</w:t>
      </w:r>
    </w:p>
    <w:bookmarkStart w:id="39" w:name="fs-id1299380"/>
    <w:p>
      <w:pPr>
        <w:pStyle w:val="Heading3Grey"/>
      </w:pPr>
      <w:r>
        <w:t xml:space="preserve">Aging and the...</w:t>
      </w:r>
    </w:p>
    <w:p>
      <w:pPr>
        <w:pStyle w:val="Heading4Grey"/>
      </w:pPr>
      <w:r>
        <w:t xml:space="preserve">Skeletal System</w:t>
      </w:r>
    </w:p>
    <w:p>
      <w:pPr>
        <w:pStyle w:val="NoteExampleGrey"/>
      </w:pPr>
      <w:bookmarkStart w:id="34" w:name="term-00001"/>
      <w:r>
        <w:t xml:space="preserve">Osteoporosis</w:t>
      </w:r>
      <w:bookmarkEnd w:id="34"/>
      <w:r>
        <w:t xml:space="preserve"> </w:t>
      </w:r>
      <w:r>
        <w:t xml:space="preserve">is a disease characterized by a decrease in bone mass that occurs when the rate of bone resorption exceeds the rate of bone formation, a common occurrence as the body ages. Notice how this is different from Paget’s disease. In Paget’s disease, new bone is formed in an attempt to keep up with the resorption by the overactive osteoclasts, but that new bone is produced haphazardly. In fact, when a physician is evaluating a patient with thinning bone, they will test for osteoporosis and Paget’s disease (as well as other diseases). Osteoporosis does not have the elevated blood levels of alkaline phosphatase found in Paget’s disease.</w:t>
      </w:r>
    </w:p>
    <w:tbl>
      <w:tblPr>
        <w:tblStyle w:val="FigureTable"/>
        <w:tblW w:type="auto" w:w="0"/>
        <w:tblLook w:firstRow="0" w:lastRow="0" w:firstColumn="0" w:lastColumn="0"/>
        <w:jc w:val="center"/>
      </w:tblPr>
      <w:tblGrid>
        <w:gridCol w:w="7920"/>
      </w:tblGrid>
      <w:tr>
        <w:tc>
          <w:tcPr/>
          <w:p>
            <w:pPr>
              <w:pStyle w:val="Compact"/>
              <w:jc w:val="center"/>
            </w:pPr>
            <w:bookmarkStart w:id="38" w:name="fs-id1534723"/>
            <w:r>
              <w:t xml:space="preserve"> </w:t>
            </w:r>
            <w:r>
              <w:drawing>
                <wp:inline>
                  <wp:extent cx="4000500" cy="2572414"/>
                  <wp:effectExtent b="0" l="0" r="0" t="0"/>
                  <wp:docPr descr="This graph shows bone mass (total mass of skeletal calcium in grams) on the Y axis. The Y axis scale goes from 0 up to 1500. The x axis displays age in years from 0 to 100 years. Two plot lines are shown: a blue line for males and a pink line for females. Male bone mass climbs rapidly from 0 grams to 1500 grams between age 0 and age 25. Bone mass then slowly drops to 1000 grams between age 25 and age 100. Female bone loss climbs rapidly from 0 grams to about 1200 grams between age 0 and age 28. Female bone mass then drops very slowly from 1200 grams to 1000 grams between age 29 and age 55. Bone mass then drops steeply from 1000 grams to 750 grams between ages 55 and 60. This is labeled on the graph as bone loss due to menopause. After this steep drop, the female line again levels somewhat, but still drops gradually, much like that of the male. Between age 60 and age 100, female bone density drops from 750 grams to about 625 grams." title="" id="36" name="Picture"/>
                  <a:graphic>
                    <a:graphicData uri="http://schemas.openxmlformats.org/drawingml/2006/picture">
                      <pic:pic>
                        <pic:nvPicPr>
                          <pic:cNvPr descr="../resources/1987ba7d7c781f93fe62ae196462d9033d709e64" id="37" name="Picture"/>
                          <pic:cNvPicPr>
                            <a:picLocks noChangeArrowheads="1" noChangeAspect="1"/>
                          </pic:cNvPicPr>
                        </pic:nvPicPr>
                        <pic:blipFill>
                          <a:blip r:embed="rId35"/>
                          <a:stretch>
                            <a:fillRect/>
                          </a:stretch>
                        </pic:blipFill>
                        <pic:spPr bwMode="auto">
                          <a:xfrm>
                            <a:off x="0" y="0"/>
                            <a:ext cx="4000500" cy="2572414"/>
                          </a:xfrm>
                          <a:prstGeom prst="rect">
                            <a:avLst/>
                          </a:prstGeom>
                          <a:noFill/>
                          <a:ln w="9525">
                            <a:noFill/>
                            <a:headEnd/>
                            <a:tailEnd/>
                          </a:ln>
                        </pic:spPr>
                      </pic:pic>
                    </a:graphicData>
                  </a:graphic>
                </wp:inline>
              </w:drawing>
            </w:r>
            <w:r>
              <w:t xml:space="preserve"> </w:t>
            </w:r>
            <w:bookmarkEnd w:id="38"/>
          </w:p>
        </w:tc>
      </w:tr>
    </w:tbl>
    <w:p>
      <w:pPr>
        <w:pStyle w:val="NoteExampleGrey"/>
      </w:pPr>
      <w:r>
        <w:t xml:space="preserve">Figure</w:t>
      </w:r>
      <w:r>
        <w:t xml:space="preserve"> </w:t>
      </w:r>
      <w:r>
        <w:t xml:space="preserve"> </w:t>
      </w:r>
      <w:r>
        <w:t xml:space="preserve">6.23</w:t>
      </w:r>
      <w:r>
        <w:t xml:space="preserve"> </w:t>
      </w:r>
      <w:r>
        <w:t xml:space="preserve"> </w:t>
      </w:r>
      <w:r>
        <w:t xml:space="preserve"> </w:t>
      </w:r>
      <w:r>
        <w:t xml:space="preserve">Graph Showing Relationship Between Age and Bone Mass</w:t>
      </w:r>
      <w:r>
        <w:t xml:space="preserve"> </w:t>
      </w:r>
      <w:r>
        <w:t xml:space="preserve"> </w:t>
      </w:r>
      <w:r>
        <w:t xml:space="preserve"> </w:t>
      </w:r>
      <w:r>
        <w:t xml:space="preserve"> </w:t>
      </w:r>
      <w:r>
        <w:t xml:space="preserve">Bone density peaks at about 30 years of age. Females lose bone mass more rapidly than males.</w:t>
      </w:r>
    </w:p>
    <w:p>
      <w:pPr>
        <w:pStyle w:val="NoteExampleGrey"/>
      </w:pPr>
      <w:r>
        <w:t xml:space="preserve">While osteoporosis can involve any bone, it most commonly affects the proximal ends of the femur, vertebrae, and wrist. As a result of the loss of bone density, the osseous tissue may not provide adequate support for everyday functions, and something as simple as a sneeze can cause a vertebral fracture. When an elderly person falls and breaks a hip (really, the femur), it is very likely the femur that broke first, which resulted in the fall. Histologically, osteoporosis is characterized by a reduction in the thickness of compact bone and the number and size of trabeculae in cancellous bone.</w:t>
      </w:r>
    </w:p>
    <w:p>
      <w:pPr>
        <w:pStyle w:val="NoteExampleGrey"/>
      </w:pPr>
      <w:hyperlink w:anchor="fig-ch06_06_02">
        <w:r>
          <w:rPr>
            <w:rStyle w:val="InternetLink"/>
          </w:rPr>
          <w:t xml:space="preserve">Figure 6.23</w:t>
        </w:r>
      </w:hyperlink>
      <w:r>
        <w:t xml:space="preserve"> </w:t>
      </w:r>
      <w:r>
        <w:t xml:space="preserve">shows that females lose bone mass more quickly than males starting at about 50 years of age. This occurs because 50 is the approximate age at which females go through menopause. Not only do their menstrual periods lessen and eventually cease, but their ovaries reduce in size and then cease the production of estrogen, a hormone that promotes osteoblastic activity and production of bone matrix. Thus, osteoporosis is more common in females, but males can develop it, too. Anyone with a family history of osteoporosis has a greater risk of developing the disease, so the best treatment is prevention, which should start with a childhood diet that includes adequate intake of calcium and vitamin D and a lifestyle that includes weight-bearing exercise. These actions, as discussed above, are important in building bone mass. Promoting proper nutrition and weight-bearing exercise early in life can maximize bone mass before the age of 30, thus reducing the risk of osteoporosis.</w:t>
      </w:r>
    </w:p>
    <w:p>
      <w:pPr>
        <w:pStyle w:val="NoteExampleGrey"/>
      </w:pPr>
      <w:r>
        <w:t xml:space="preserve">For many elderly people, a hip fracture can be life threatening. The fracture itself may not be serious, but the immobility that comes during the healing process can lead to the formation of blood clots that can lodge in the capillaries of the lungs, resulting in respiratory failure; pneumonia due to the lack of poor air exchange that accompanies immobility; pressure sores (bed sores) that allow pathogens to enter the body and cause infections; and urinary tract infections from catheterization.</w:t>
      </w:r>
    </w:p>
    <w:p>
      <w:pPr>
        <w:pStyle w:val="NoteExampleGrey"/>
      </w:pPr>
      <w:r>
        <w:t xml:space="preserve">Current treatments for managing osteoporosis include bisphosphonates (the same medications often used in Paget’s disease), calcitonin, and estrogen (for females only). Minimizing the risk of falls, for example, by removing tripping hazards, is also an important step in managing the potential outcomes from the disease.</w:t>
      </w:r>
    </w:p>
    <w:bookmarkEnd w:id="39"/>
    <w:bookmarkEnd w:id="40"/>
    <w:bookmarkEnd w:id="41"/>
    <w:bookmarkStart w:id="44" w:name="fs-id692297"/>
    <w:bookmarkStart w:id="43" w:name="hormones-that-influence-osteoclasts"/>
    <w:p>
      <w:pPr>
        <w:pStyle w:val="Heading4"/>
      </w:pPr>
      <w:r>
        <w:t xml:space="preserve">Hormones That Influence Osteoclasts</w:t>
      </w:r>
    </w:p>
    <w:p>
      <w:pPr>
        <w:pStyle w:val="FirstParagraph"/>
      </w:pPr>
      <w:r>
        <w:t xml:space="preserve">Bone modeling and remodeling require osteoclasts to resorb unneeded, damaged, or old bone, and osteoblasts to lay down new bone. Two hormones that affect the osteoclasts are parathyroid hormone (PTH) and calcitonin.</w:t>
      </w:r>
    </w:p>
    <w:p>
      <w:pPr>
        <w:pStyle w:val="TextBody"/>
      </w:pPr>
      <w:r>
        <w:t xml:space="preserve">PTH stimulates osteoclast proliferation and activity. As a result, calcium is released from the bones into the circulation, thus increasing the calcium ion concentration in the blood. PTH also promotes the reabsorption of calcium by the kidney tubules, which can affect calcium homeostasis (see below).</w:t>
      </w:r>
    </w:p>
    <w:p>
      <w:pPr>
        <w:pStyle w:val="TextBody"/>
      </w:pPr>
      <w:r>
        <w:t xml:space="preserve">The small intestine is also affected by PTH, albeit indirectly. Because another function of PTH is to stimulate the synthesis of vitamin D, and because vitamin D promotes intestinal absorption of calcium, PTH indirectly increases calcium uptake by the small intestine. Calcitonin, a hormone secreted by the thyroid gland, has some effects that counteract those of PTH. Calcitonin inhibits osteoclast activity and stimulates calcium uptake by the bones, thus reducing the concentration of calcium ions in the blood. As evidenced by their opposing functions in maintaining calcium homeostasis, PTH and calcitonin are generally</w:t>
      </w:r>
      <w:r>
        <w:t xml:space="preserve"> </w:t>
      </w:r>
      <w:r>
        <w:rPr>
          <w:iCs/>
          <w:i/>
        </w:rPr>
        <w:t xml:space="preserve">not</w:t>
      </w:r>
      <w:r>
        <w:t xml:space="preserve"> </w:t>
      </w:r>
      <w:r>
        <w:t xml:space="preserve">secreted at the same time.</w:t>
      </w:r>
      <w:r>
        <w:t xml:space="preserve"> </w:t>
      </w:r>
      <w:hyperlink w:anchor="tbl-ch06_06">
        <w:r>
          <w:rPr>
            <w:rStyle w:val="InternetLink"/>
          </w:rPr>
          <w:t xml:space="preserve">Table 6.6</w:t>
        </w:r>
      </w:hyperlink>
      <w:r>
        <w:t xml:space="preserve"> </w:t>
      </w:r>
      <w:r>
        <w:t xml:space="preserve">summarizes the hormones that influence the skeletal system.</w:t>
      </w:r>
    </w:p>
    <w:p>
      <w:pPr>
        <w:pStyle w:val="TextBody"/>
      </w:pPr>
      <w:r>
        <w:t xml:space="preserve">Hormones That Affect the Skeletal System</w:t>
      </w:r>
    </w:p>
    <w:bookmarkStart w:id="42" w:name="tbl-ch06_06"/>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Hormone</w:t>
            </w:r>
          </w:p>
        </w:tc>
        <w:tc>
          <w:tcPr/>
          <w:p>
            <w:pPr>
              <w:pStyle w:val="Compact"/>
              <w:jc w:val="left"/>
            </w:pPr>
            <w:r>
              <w:t xml:space="preserve">Role</w:t>
            </w:r>
          </w:p>
        </w:tc>
      </w:tr>
      <w:tr>
        <w:tc>
          <w:tcPr/>
          <w:p>
            <w:pPr>
              <w:pStyle w:val="Compact"/>
              <w:jc w:val="left"/>
            </w:pPr>
            <w:r>
              <w:t xml:space="preserve">Growth hormone</w:t>
            </w:r>
          </w:p>
        </w:tc>
        <w:tc>
          <w:tcPr/>
          <w:p>
            <w:pPr>
              <w:pStyle w:val="Compact"/>
              <w:jc w:val="left"/>
            </w:pPr>
            <w:r>
              <w:t xml:space="preserve">Increases length of long bones, enhances mineralization, and improves bone density</w:t>
            </w:r>
          </w:p>
        </w:tc>
      </w:tr>
      <w:tr>
        <w:tc>
          <w:tcPr/>
          <w:p>
            <w:pPr>
              <w:pStyle w:val="Compact"/>
              <w:jc w:val="left"/>
            </w:pPr>
            <w:r>
              <w:t xml:space="preserve">Thyroxine</w:t>
            </w:r>
          </w:p>
        </w:tc>
        <w:tc>
          <w:tcPr/>
          <w:p>
            <w:pPr>
              <w:pStyle w:val="Compact"/>
              <w:jc w:val="left"/>
            </w:pPr>
            <w:r>
              <w:t xml:space="preserve">Stimulates bone growth and promotes synthesis of bone matrix</w:t>
            </w:r>
          </w:p>
        </w:tc>
      </w:tr>
      <w:tr>
        <w:tc>
          <w:tcPr/>
          <w:p>
            <w:pPr>
              <w:pStyle w:val="Compact"/>
              <w:jc w:val="left"/>
            </w:pPr>
            <w:r>
              <w:t xml:space="preserve">Sex hormones</w:t>
            </w:r>
          </w:p>
        </w:tc>
        <w:tc>
          <w:tcPr/>
          <w:p>
            <w:pPr>
              <w:pStyle w:val="Compact"/>
              <w:jc w:val="left"/>
            </w:pPr>
            <w:r>
              <w:t xml:space="preserve">Promote osteoblastic activity and production of bone matrix; responsible for adolescent growth spurt; promote conversion of epiphyseal plate to epiphyseal line</w:t>
            </w:r>
          </w:p>
        </w:tc>
      </w:tr>
      <w:tr>
        <w:tc>
          <w:tcPr/>
          <w:p>
            <w:pPr>
              <w:pStyle w:val="Compact"/>
              <w:jc w:val="left"/>
            </w:pPr>
            <w:r>
              <w:t xml:space="preserve">Calcitriol</w:t>
            </w:r>
          </w:p>
        </w:tc>
        <w:tc>
          <w:tcPr/>
          <w:p>
            <w:pPr>
              <w:pStyle w:val="Compact"/>
              <w:jc w:val="left"/>
            </w:pPr>
            <w:r>
              <w:t xml:space="preserve">Stimulates absorption of calcium and phosphate from digestive tract</w:t>
            </w:r>
          </w:p>
        </w:tc>
      </w:tr>
      <w:tr>
        <w:tc>
          <w:tcPr/>
          <w:p>
            <w:pPr>
              <w:pStyle w:val="Compact"/>
              <w:jc w:val="left"/>
            </w:pPr>
            <w:r>
              <w:t xml:space="preserve">Parathyroid hormone</w:t>
            </w:r>
          </w:p>
        </w:tc>
        <w:tc>
          <w:tcPr/>
          <w:p>
            <w:pPr>
              <w:pStyle w:val="Compact"/>
              <w:jc w:val="left"/>
            </w:pPr>
            <w:r>
              <w:t xml:space="preserve">Stimulates osteoclast proliferation and resorption of bone by osteoclasts; promotes reabsorption of calcium by kidney tubules; indirectly increases calcium absorption by small intestine</w:t>
            </w:r>
          </w:p>
        </w:tc>
      </w:tr>
      <w:tr>
        <w:tc>
          <w:tcPr/>
          <w:p>
            <w:pPr>
              <w:pStyle w:val="Compact"/>
              <w:jc w:val="left"/>
            </w:pPr>
            <w:r>
              <w:t xml:space="preserve">Calcitonin</w:t>
            </w:r>
          </w:p>
        </w:tc>
        <w:tc>
          <w:tcPr/>
          <w:p>
            <w:pPr>
              <w:pStyle w:val="Compact"/>
              <w:jc w:val="left"/>
            </w:pPr>
            <w:r>
              <w:t xml:space="preserve">Inhibits osteoclast activity and stimulates calcium uptake by bones</w:t>
            </w:r>
          </w:p>
        </w:tc>
      </w:tr>
    </w:tbl>
    <w:bookmarkEnd w:id="42"/>
    <w:p>
      <w:pPr>
        <w:pStyle w:val="TextBody"/>
      </w:pPr>
      <w:r>
        <w:t xml:space="preserve">Table</w:t>
      </w:r>
      <w:r>
        <w:t xml:space="preserve"> </w:t>
      </w:r>
      <w:r>
        <w:t xml:space="preserve"> </w:t>
      </w:r>
      <w:r>
        <w:t xml:space="preserve">6.6</w:t>
      </w:r>
      <w:r>
        <w:t xml:space="preserve"> </w:t>
      </w:r>
      <w:r>
        <w:t xml:space="preserve"> </w:t>
      </w:r>
      <w:r>
        <w:t xml:space="preserve"> </w:t>
      </w:r>
      <w:r>
        <w:t xml:space="preserve"> </w:t>
      </w:r>
    </w:p>
    <w:bookmarkEnd w:id="43"/>
    <w:bookmarkEnd w:id="44"/>
    <w:bookmarkEnd w:id="45"/>
    <w:bookmarkEnd w:id="46"/>
    <w:bookmarkEnd w:id="47"/>
    <w:bookmarkEnd w:id="4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5" Target="media/rId35.so"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2025-01-22T18:24:25Z</dcterms:created>
  <dcterms:modified xsi:type="dcterms:W3CDTF">2025-01-22T18:24:25Z</dcterms:modified>
</cp:coreProperties>
</file>

<file path=docProps/custom.xml><?xml version="1.0" encoding="utf-8"?>
<Properties xmlns="http://schemas.openxmlformats.org/officeDocument/2006/custom-properties" xmlns:vt="http://schemas.openxmlformats.org/officeDocument/2006/docPropsVTypes"/>
</file>