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Healthcare Readmission Prediction</w:t>
      </w:r>
    </w:p>
    <w:p>
      <w:pPr>
        <w:jc w:val="center"/>
      </w:pPr>
      <w:r>
        <w:rPr>
          <w:b/>
          <w:sz w:val="30"/>
        </w:rPr>
        <w:t>Week 5 — Final Evaluation, Reporting, and Recommendations</w:t>
      </w:r>
    </w:p>
    <w:p>
      <w:r>
        <w:t>Project focus: exploratory and predictive analysis of 30-day hospital readmission among patients with diabetes using the Diabetes 130-US Hospitals dataset.</w:t>
      </w:r>
    </w:p>
    <w:p>
      <w:pPr>
        <w:pStyle w:val="Heading1"/>
      </w:pPr>
      <w:r>
        <w:t>1. Executive Summary</w:t>
      </w:r>
    </w:p>
    <w:p>
      <w:r>
        <w:t>This final report consolidates the project stages of planning, data cleaning and preprocessing, exploratory data analysis, visualization, predictive modelling, and evaluation. The analysis uses 101,766 hospital encounters and examines whether demographic, admission, utilization, medication, procedure, and diagnosis variables can help identify encounters associated with readmission within 30 days. The project deliberately treats the machine-learning system as a research and decision-support prototype rather than a clinical decision-maker.</w:t>
      </w:r>
    </w:p>
    <w:p>
      <w:r>
        <w:t>The exploratory stage showed that 11,357 of the 101,766 encounters were readmitted within 30 days, giving an early-readmission rate of 11.16%. The imbalance means that accuracy alone can be misleading. The predictive stage therefore compared Logistic Regression and Random Forest using precision, recall, F1-score, ROC-AUC and PR-AUC. Random Forest achieved the stronger overall results on the tested metrics, while Logistic Regression produced higher recall at the default 0.50 threshold. Threshold analysis demonstrated that increasing recall can require accepting more false-positive alerts.</w:t>
      </w:r>
    </w:p>
    <w:p>
      <w:pPr>
        <w:pStyle w:val="Heading1"/>
      </w:pPr>
      <w:r>
        <w:t>2. Project Objectives and Questions</w:t>
      </w:r>
    </w:p>
    <w:p>
      <w:r>
        <w:t>The final analysis addressed the following questions:</w:t>
      </w:r>
    </w:p>
    <w:p>
      <w:pPr>
        <w:pStyle w:val="ListBullet"/>
      </w:pPr>
      <w:r>
        <w:t>What patterns and quality issues are present in the healthcare encounter data?</w:t>
      </w:r>
    </w:p>
    <w:p>
      <w:pPr>
        <w:pStyle w:val="ListBullet"/>
      </w:pPr>
      <w:r>
        <w:t>How are readmission outcomes distributed across the dataset?</w:t>
      </w:r>
    </w:p>
    <w:p>
      <w:pPr>
        <w:pStyle w:val="ListBullet"/>
      </w:pPr>
      <w:r>
        <w:t>What differences can be observed across age, hospital stay, procedures and healthcare utilization?</w:t>
      </w:r>
    </w:p>
    <w:p>
      <w:pPr>
        <w:pStyle w:val="ListBullet"/>
      </w:pPr>
      <w:r>
        <w:t>Which selected numerical variables show exploratory association with 30-day readmission?</w:t>
      </w:r>
    </w:p>
    <w:p>
      <w:pPr>
        <w:pStyle w:val="ListBullet"/>
      </w:pPr>
      <w:r>
        <w:t>Can machine-learning models provide useful predictive discrimination for the early-readmission outcome?</w:t>
      </w:r>
    </w:p>
    <w:p>
      <w:pPr>
        <w:pStyle w:val="ListBullet"/>
      </w:pPr>
      <w:r>
        <w:t>How does the choice of probability threshold change precision and recall?</w:t>
      </w:r>
    </w:p>
    <w:p>
      <w:pPr>
        <w:pStyle w:val="ListBullet"/>
      </w:pPr>
      <w:r>
        <w:t>Which original features contribute most to the Random Forest model's predictive performance?</w:t>
      </w:r>
    </w:p>
    <w:p>
      <w:pPr>
        <w:pStyle w:val="Heading1"/>
      </w:pPr>
      <w:r>
        <w:t>3. Dataset and Target Definition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Item</w:t>
            </w:r>
          </w:p>
        </w:tc>
        <w:tc>
          <w:tcPr>
            <w:tcW w:type="dxa" w:w="5112"/>
            <w:shd w:fill="D9EAF7"/>
          </w:tcPr>
          <w:p>
            <w:r>
              <w:rPr>
                <w:b/>
                <w:sz w:val="18"/>
              </w:rPr>
              <w:t>Project evidence</w:t>
            </w:r>
          </w:p>
        </w:tc>
      </w:tr>
      <w:tr>
        <w:tc>
          <w:tcPr>
            <w:tcW w:type="dxa" w:w="5112"/>
            <w:vAlign w:val="center"/>
          </w:tcPr>
          <w:p>
            <w:r>
              <w:rPr>
                <w:b w:val="0"/>
                <w:sz w:val="18"/>
              </w:rPr>
              <w:t>Dataset</w:t>
            </w:r>
          </w:p>
        </w:tc>
        <w:tc>
          <w:tcPr>
            <w:tcW w:type="dxa" w:w="5112"/>
            <w:vAlign w:val="center"/>
          </w:tcPr>
          <w:p>
            <w:r>
              <w:rPr>
                <w:b w:val="0"/>
                <w:sz w:val="18"/>
              </w:rPr>
              <w:t>Diabetes 130-US Hospitals for Years 1999–2008</w:t>
            </w:r>
          </w:p>
        </w:tc>
      </w:tr>
      <w:tr>
        <w:tc>
          <w:tcPr>
            <w:tcW w:type="dxa" w:w="5112"/>
            <w:vAlign w:val="center"/>
          </w:tcPr>
          <w:p>
            <w:r>
              <w:rPr>
                <w:b w:val="0"/>
                <w:sz w:val="18"/>
              </w:rPr>
              <w:t>Hospital encounters</w:t>
            </w:r>
          </w:p>
        </w:tc>
        <w:tc>
          <w:tcPr>
            <w:tcW w:type="dxa" w:w="5112"/>
            <w:vAlign w:val="center"/>
          </w:tcPr>
          <w:p>
            <w:r>
              <w:rPr>
                <w:b w:val="0"/>
                <w:sz w:val="18"/>
              </w:rPr>
              <w:t>101,766</w:t>
            </w:r>
          </w:p>
        </w:tc>
      </w:tr>
      <w:tr>
        <w:tc>
          <w:tcPr>
            <w:tcW w:type="dxa" w:w="5112"/>
            <w:vAlign w:val="center"/>
          </w:tcPr>
          <w:p>
            <w:r>
              <w:rPr>
                <w:b w:val="0"/>
                <w:sz w:val="18"/>
              </w:rPr>
              <w:t>Features</w:t>
            </w:r>
          </w:p>
        </w:tc>
        <w:tc>
          <w:tcPr>
            <w:tcW w:type="dxa" w:w="5112"/>
            <w:vAlign w:val="center"/>
          </w:tcPr>
          <w:p>
            <w:r>
              <w:rPr>
                <w:b w:val="0"/>
                <w:sz w:val="18"/>
              </w:rPr>
              <w:t>47 original features</w:t>
            </w:r>
          </w:p>
        </w:tc>
      </w:tr>
      <w:tr>
        <w:tc>
          <w:tcPr>
            <w:tcW w:type="dxa" w:w="5112"/>
            <w:vAlign w:val="center"/>
          </w:tcPr>
          <w:p>
            <w:r>
              <w:rPr>
                <w:b w:val="0"/>
                <w:sz w:val="18"/>
              </w:rPr>
              <w:t>30-day readmissions</w:t>
            </w:r>
          </w:p>
        </w:tc>
        <w:tc>
          <w:tcPr>
            <w:tcW w:type="dxa" w:w="5112"/>
            <w:vAlign w:val="center"/>
          </w:tcPr>
          <w:p>
            <w:r>
              <w:rPr>
                <w:b w:val="0"/>
                <w:sz w:val="18"/>
              </w:rPr>
              <w:t>11,357</w:t>
            </w:r>
          </w:p>
        </w:tc>
      </w:tr>
      <w:tr>
        <w:tc>
          <w:tcPr>
            <w:tcW w:type="dxa" w:w="5112"/>
            <w:vAlign w:val="center"/>
          </w:tcPr>
          <w:p>
            <w:r>
              <w:rPr>
                <w:b w:val="0"/>
                <w:sz w:val="18"/>
              </w:rPr>
              <w:t>30-day readmission rate</w:t>
            </w:r>
          </w:p>
        </w:tc>
        <w:tc>
          <w:tcPr>
            <w:tcW w:type="dxa" w:w="5112"/>
            <w:vAlign w:val="center"/>
          </w:tcPr>
          <w:p>
            <w:r>
              <w:rPr>
                <w:b w:val="0"/>
                <w:sz w:val="18"/>
              </w:rPr>
              <w:t>11.16%</w:t>
            </w:r>
          </w:p>
        </w:tc>
      </w:tr>
      <w:tr>
        <w:tc>
          <w:tcPr>
            <w:tcW w:type="dxa" w:w="5112"/>
            <w:vAlign w:val="center"/>
          </w:tcPr>
          <w:p>
            <w:r>
              <w:rPr>
                <w:b w:val="0"/>
                <w:sz w:val="18"/>
              </w:rPr>
              <w:t>Binary target</w:t>
            </w:r>
          </w:p>
        </w:tc>
        <w:tc>
          <w:tcPr>
            <w:tcW w:type="dxa" w:w="5112"/>
            <w:vAlign w:val="center"/>
          </w:tcPr>
          <w:p>
            <w:r>
              <w:rPr>
                <w:b w:val="0"/>
                <w:sz w:val="18"/>
              </w:rPr>
              <w:t>1 = &lt;30 days; 0 = &gt;30 days or NO</w:t>
            </w:r>
          </w:p>
        </w:tc>
      </w:tr>
    </w:tbl>
    <w:p/>
    <w:p>
      <w:r>
        <w:t>The original three-category readmission outcome was converted to a binary target for classification. Identifier fields such as encounter_id and patient_nbr were excluded from modelling, and the original readmitted outcome was not supplied as a predictor because it directly defines the target.</w:t>
      </w:r>
    </w:p>
    <w:p>
      <w:pPr>
        <w:pStyle w:val="Heading1"/>
      </w:pPr>
      <w:r>
        <w:t>4. Methodological Workflow</w:t>
      </w:r>
    </w:p>
    <w:p>
      <w:r>
        <w:t>The project followed a staged analytics lifecycle. Each stage produced evidence used by the following stage:</w:t>
      </w:r>
    </w:p>
    <w:p>
      <w:pPr>
        <w:pStyle w:val="ListNumber"/>
      </w:pPr>
      <w:r>
        <w:t>Project planning → objectives, stakeholders, risks and evaluation strategy.</w:t>
      </w:r>
    </w:p>
    <w:p>
      <w:pPr>
        <w:pStyle w:val="ListNumber"/>
      </w:pPr>
      <w:r>
        <w:t>Data cleaning → missing-value assessment, data-type checks, duplicate review and treatment decisions.</w:t>
      </w:r>
    </w:p>
    <w:p>
      <w:pPr>
        <w:pStyle w:val="ListNumber"/>
      </w:pPr>
      <w:r>
        <w:t>EDA → descriptive statistics, distributions, boxplots, utilization summaries and correlation analysis.</w:t>
      </w:r>
    </w:p>
    <w:p>
      <w:pPr>
        <w:pStyle w:val="ListNumber"/>
      </w:pPr>
      <w:r>
        <w:t>Predictive modelling → feature selection, leakage control, stratified splitting and reproducible preprocessing.</w:t>
      </w:r>
    </w:p>
    <w:p>
      <w:pPr>
        <w:pStyle w:val="ListNumber"/>
      </w:pPr>
      <w:r>
        <w:t>Evaluation → confusion matrices, ROC/PR curves, threshold analysis and permutation importance.</w:t>
      </w:r>
    </w:p>
    <w:p>
      <w:pPr>
        <w:pStyle w:val="ListNumber"/>
      </w:pPr>
      <w:r>
        <w:t>Final reporting → evidence-based conclusions, limitations and operational recommendations.</w:t>
      </w:r>
    </w:p>
    <w:p>
      <w:pPr>
        <w:pStyle w:val="Heading1"/>
      </w:pPr>
      <w:r>
        <w:t>5. Data Quality and Preprocessing Evaluation</w:t>
      </w:r>
    </w:p>
    <w:p>
      <w:r>
        <w:t>The cleaning process converted the dataset's placeholder question-mark values to missing values before analysis. Numerical variables were prepared with median imputation and scaling inside the modelling pipeline. Categorical variables were handled with most-frequent imputation and one-hot encoding. This approach avoids fitting preprocessing transformations on the test set.</w:t>
      </w:r>
    </w:p>
    <w:p>
      <w:r>
        <w:t>Representative preprocessing pseudocode:</w:t>
      </w:r>
    </w:p>
    <w:p>
      <w:pPr/>
      <w:r>
        <w:rPr>
          <w:rFonts w:ascii="Consolas" w:hAnsi="Consolas"/>
          <w:sz w:val="16"/>
        </w:rPr>
        <w:t>LOAD dataset</w:t>
        <w:br/>
        <w:t>REPLACE '?' WITH missing values</w:t>
        <w:br/>
        <w:t>CREATE binary target: 1 if readmitted == '&lt;30', otherwise 0</w:t>
        <w:br/>
        <w:t>REMOVE identifiers and outcome column from predictors</w:t>
        <w:br/>
        <w:t>SPLIT data using stratification</w:t>
        <w:br/>
        <w:t>FIT numerical imputer + scaler on training data only</w:t>
        <w:br/>
        <w:t>FIT categorical imputer + one-hot encoder on training data only</w:t>
        <w:br/>
        <w:t>TRANSFORM training and test data</w:t>
        <w:br/>
        <w:t>TRAIN models</w:t>
        <w:br/>
        <w:t>EVALUATE only on the held-out test set</w:t>
      </w:r>
    </w:p>
    <w:p>
      <w:pPr>
        <w:pStyle w:val="Heading1"/>
      </w:pPr>
      <w:r>
        <w:t>6. Concrete Numerical EDA Findings</w:t>
      </w:r>
    </w:p>
    <w:p>
      <w:r>
        <w:t>The visualizations were interpreted together with numerical summaries so that charts were not treated as evidence by themselves.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EDA measure</w:t>
            </w:r>
          </w:p>
        </w:tc>
        <w:tc>
          <w:tcPr>
            <w:tcW w:type="dxa" w:w="3408"/>
            <w:shd w:fill="D9EAF7"/>
          </w:tcPr>
          <w:p>
            <w:r>
              <w:rPr>
                <w:b/>
                <w:sz w:val="18"/>
              </w:rPr>
              <w:t>Observed value</w:t>
            </w:r>
          </w:p>
        </w:tc>
        <w:tc>
          <w:tcPr>
            <w:tcW w:type="dxa" w:w="3408"/>
            <w:shd w:fill="D9EAF7"/>
          </w:tcPr>
          <w:p>
            <w:r>
              <w:rPr>
                <w:b/>
                <w:sz w:val="18"/>
              </w:rPr>
              <w:t>Interpretation</w:t>
            </w:r>
          </w:p>
        </w:tc>
      </w:tr>
      <w:tr>
        <w:tc>
          <w:tcPr>
            <w:tcW w:type="dxa" w:w="3408"/>
            <w:vAlign w:val="center"/>
          </w:tcPr>
          <w:p>
            <w:r>
              <w:rPr>
                <w:b w:val="0"/>
                <w:sz w:val="18"/>
              </w:rPr>
              <w:t>Total encounters</w:t>
            </w:r>
          </w:p>
        </w:tc>
        <w:tc>
          <w:tcPr>
            <w:tcW w:type="dxa" w:w="3408"/>
            <w:vAlign w:val="center"/>
          </w:tcPr>
          <w:p>
            <w:r>
              <w:rPr>
                <w:b w:val="0"/>
                <w:sz w:val="18"/>
              </w:rPr>
              <w:t>101,766</w:t>
            </w:r>
          </w:p>
        </w:tc>
        <w:tc>
          <w:tcPr>
            <w:tcW w:type="dxa" w:w="3408"/>
            <w:vAlign w:val="center"/>
          </w:tcPr>
          <w:p>
            <w:r>
              <w:rPr>
                <w:b w:val="0"/>
                <w:sz w:val="18"/>
              </w:rPr>
              <w:t>Large historical encounter-level dataset.</w:t>
            </w:r>
          </w:p>
        </w:tc>
      </w:tr>
      <w:tr>
        <w:tc>
          <w:tcPr>
            <w:tcW w:type="dxa" w:w="3408"/>
            <w:vAlign w:val="center"/>
          </w:tcPr>
          <w:p>
            <w:r>
              <w:rPr>
                <w:b w:val="0"/>
                <w:sz w:val="18"/>
              </w:rPr>
              <w:t>&lt;30 readmission</w:t>
            </w:r>
          </w:p>
        </w:tc>
        <w:tc>
          <w:tcPr>
            <w:tcW w:type="dxa" w:w="3408"/>
            <w:vAlign w:val="center"/>
          </w:tcPr>
          <w:p>
            <w:r>
              <w:rPr>
                <w:b w:val="0"/>
                <w:sz w:val="18"/>
              </w:rPr>
              <w:t>11,357</w:t>
            </w:r>
          </w:p>
        </w:tc>
        <w:tc>
          <w:tcPr>
            <w:tcW w:type="dxa" w:w="3408"/>
            <w:vAlign w:val="center"/>
          </w:tcPr>
          <w:p>
            <w:r>
              <w:rPr>
                <w:b w:val="0"/>
                <w:sz w:val="18"/>
              </w:rPr>
              <w:t>Minority positive class.</w:t>
            </w:r>
          </w:p>
        </w:tc>
      </w:tr>
      <w:tr>
        <w:tc>
          <w:tcPr>
            <w:tcW w:type="dxa" w:w="3408"/>
            <w:vAlign w:val="center"/>
          </w:tcPr>
          <w:p>
            <w:r>
              <w:rPr>
                <w:b w:val="0"/>
                <w:sz w:val="18"/>
              </w:rPr>
              <w:t>30-day rate</w:t>
            </w:r>
          </w:p>
        </w:tc>
        <w:tc>
          <w:tcPr>
            <w:tcW w:type="dxa" w:w="3408"/>
            <w:vAlign w:val="center"/>
          </w:tcPr>
          <w:p>
            <w:r>
              <w:rPr>
                <w:b w:val="0"/>
                <w:sz w:val="18"/>
              </w:rPr>
              <w:t>11.16%</w:t>
            </w:r>
          </w:p>
        </w:tc>
        <w:tc>
          <w:tcPr>
            <w:tcW w:type="dxa" w:w="3408"/>
            <w:vAlign w:val="center"/>
          </w:tcPr>
          <w:p>
            <w:r>
              <w:rPr>
                <w:b w:val="0"/>
                <w:sz w:val="18"/>
              </w:rPr>
              <w:t>Shows why accuracy alone is insufficient.</w:t>
            </w:r>
          </w:p>
        </w:tc>
      </w:tr>
      <w:tr>
        <w:tc>
          <w:tcPr>
            <w:tcW w:type="dxa" w:w="3408"/>
            <w:vAlign w:val="center"/>
          </w:tcPr>
          <w:p>
            <w:r>
              <w:rPr>
                <w:b w:val="0"/>
                <w:sz w:val="18"/>
              </w:rPr>
              <w:t>Spearman: number_inpatient vs target</w:t>
            </w:r>
          </w:p>
        </w:tc>
        <w:tc>
          <w:tcPr>
            <w:tcW w:type="dxa" w:w="3408"/>
            <w:vAlign w:val="center"/>
          </w:tcPr>
          <w:p>
            <w:r>
              <w:rPr>
                <w:b w:val="0"/>
                <w:sz w:val="18"/>
              </w:rPr>
              <w:t>0.133</w:t>
            </w:r>
          </w:p>
        </w:tc>
        <w:tc>
          <w:tcPr>
            <w:tcW w:type="dxa" w:w="3408"/>
            <w:vAlign w:val="center"/>
          </w:tcPr>
          <w:p>
            <w:r>
              <w:rPr>
                <w:b w:val="0"/>
                <w:sz w:val="18"/>
              </w:rPr>
              <w:t>Weak positive exploratory association.</w:t>
            </w:r>
          </w:p>
        </w:tc>
      </w:tr>
      <w:tr>
        <w:tc>
          <w:tcPr>
            <w:tcW w:type="dxa" w:w="3408"/>
            <w:vAlign w:val="center"/>
          </w:tcPr>
          <w:p>
            <w:r>
              <w:rPr>
                <w:b w:val="0"/>
                <w:sz w:val="18"/>
              </w:rPr>
              <w:t>Spearman: total_prior_utilization vs target</w:t>
            </w:r>
          </w:p>
        </w:tc>
        <w:tc>
          <w:tcPr>
            <w:tcW w:type="dxa" w:w="3408"/>
            <w:vAlign w:val="center"/>
          </w:tcPr>
          <w:p>
            <w:r>
              <w:rPr>
                <w:b w:val="0"/>
                <w:sz w:val="18"/>
              </w:rPr>
              <w:t>0.124</w:t>
            </w:r>
          </w:p>
        </w:tc>
        <w:tc>
          <w:tcPr>
            <w:tcW w:type="dxa" w:w="3408"/>
            <w:vAlign w:val="center"/>
          </w:tcPr>
          <w:p>
            <w:r>
              <w:rPr>
                <w:b w:val="0"/>
                <w:sz w:val="18"/>
              </w:rPr>
              <w:t>Weak positive exploratory association.</w:t>
            </w:r>
          </w:p>
        </w:tc>
      </w:tr>
      <w:tr>
        <w:tc>
          <w:tcPr>
            <w:tcW w:type="dxa" w:w="3408"/>
            <w:vAlign w:val="center"/>
          </w:tcPr>
          <w:p>
            <w:r>
              <w:rPr>
                <w:b w:val="0"/>
                <w:sz w:val="18"/>
              </w:rPr>
              <w:t>Spearman: number_emergency vs target</w:t>
            </w:r>
          </w:p>
        </w:tc>
        <w:tc>
          <w:tcPr>
            <w:tcW w:type="dxa" w:w="3408"/>
            <w:vAlign w:val="center"/>
          </w:tcPr>
          <w:p>
            <w:r>
              <w:rPr>
                <w:b w:val="0"/>
                <w:sz w:val="18"/>
              </w:rPr>
              <w:t>0.083</w:t>
            </w:r>
          </w:p>
        </w:tc>
        <w:tc>
          <w:tcPr>
            <w:tcW w:type="dxa" w:w="3408"/>
            <w:vAlign w:val="center"/>
          </w:tcPr>
          <w:p>
            <w:r>
              <w:rPr>
                <w:b w:val="0"/>
                <w:sz w:val="18"/>
              </w:rPr>
              <w:t>Small positive exploratory association.</w:t>
            </w:r>
          </w:p>
        </w:tc>
      </w:tr>
      <w:tr>
        <w:tc>
          <w:tcPr>
            <w:tcW w:type="dxa" w:w="3408"/>
            <w:vAlign w:val="center"/>
          </w:tcPr>
          <w:p>
            <w:r>
              <w:rPr>
                <w:b w:val="0"/>
                <w:sz w:val="18"/>
              </w:rPr>
              <w:t>Spearman: time_in_hospital vs target</w:t>
            </w:r>
          </w:p>
        </w:tc>
        <w:tc>
          <w:tcPr>
            <w:tcW w:type="dxa" w:w="3408"/>
            <w:vAlign w:val="center"/>
          </w:tcPr>
          <w:p>
            <w:r>
              <w:rPr>
                <w:b w:val="0"/>
                <w:sz w:val="18"/>
              </w:rPr>
              <w:t>0.051</w:t>
            </w:r>
          </w:p>
        </w:tc>
        <w:tc>
          <w:tcPr>
            <w:tcW w:type="dxa" w:w="3408"/>
            <w:vAlign w:val="center"/>
          </w:tcPr>
          <w:p>
            <w:r>
              <w:rPr>
                <w:b w:val="0"/>
                <w:sz w:val="18"/>
              </w:rPr>
              <w:t>Very small positive association.</w:t>
            </w:r>
          </w:p>
        </w:tc>
      </w:tr>
    </w:tbl>
    <w:p/>
    <w:p>
      <w:r>
        <w:t>For example, the readmission bar chart shows a much larger NO category than the &lt;30 category. The numerical count of 11,357 early readmissions confirms that the visual imbalance is substantial. Similarly, the correlation heatmap shows that no selected numerical variable has a strong monotonic association with the target. The largest displayed association is 0.133 for number_inpatient, which should be described as weak rather than as a strong predictor on its own.</w:t>
      </w:r>
    </w:p>
    <w:p>
      <w:pPr>
        <w:pStyle w:val="Heading1"/>
      </w:pPr>
      <w:r>
        <w:t>7. Correlation Matrix and Heatmap</w:t>
      </w:r>
    </w:p>
    <w:p>
      <w:r>
        <w:t>A complete Spearman correlation matrix was calculated for selected numerical healthcare variables. Identifiers were excluded because correlations involving record IDs would not have a useful clinical interpretation.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8"/>
              </w:rPr>
              <w:t>Variable</w:t>
            </w:r>
          </w:p>
        </w:tc>
        <w:tc>
          <w:tcPr>
            <w:tcW w:type="dxa" w:w="1461"/>
            <w:shd w:fill="D9EAF7"/>
          </w:tcPr>
          <w:p>
            <w:r>
              <w:rPr>
                <w:b/>
                <w:sz w:val="18"/>
              </w:rPr>
              <w:t>time_hospital</w:t>
            </w:r>
          </w:p>
        </w:tc>
        <w:tc>
          <w:tcPr>
            <w:tcW w:type="dxa" w:w="1461"/>
            <w:shd w:fill="D9EAF7"/>
          </w:tcPr>
          <w:p>
            <w:r>
              <w:rPr>
                <w:b/>
                <w:sz w:val="18"/>
              </w:rPr>
              <w:t>lab_proc</w:t>
            </w:r>
          </w:p>
        </w:tc>
        <w:tc>
          <w:tcPr>
            <w:tcW w:type="dxa" w:w="1461"/>
            <w:shd w:fill="D9EAF7"/>
          </w:tcPr>
          <w:p>
            <w:r>
              <w:rPr>
                <w:b/>
                <w:sz w:val="18"/>
              </w:rPr>
              <w:t>medications</w:t>
            </w:r>
          </w:p>
        </w:tc>
        <w:tc>
          <w:tcPr>
            <w:tcW w:type="dxa" w:w="1461"/>
            <w:shd w:fill="D9EAF7"/>
          </w:tcPr>
          <w:p>
            <w:r>
              <w:rPr>
                <w:b/>
                <w:sz w:val="18"/>
              </w:rPr>
              <w:t>inpatient</w:t>
            </w:r>
          </w:p>
        </w:tc>
        <w:tc>
          <w:tcPr>
            <w:tcW w:type="dxa" w:w="1461"/>
            <w:shd w:fill="D9EAF7"/>
          </w:tcPr>
          <w:p>
            <w:r>
              <w:rPr>
                <w:b/>
                <w:sz w:val="18"/>
              </w:rPr>
              <w:t>diagnoses</w:t>
            </w:r>
          </w:p>
        </w:tc>
        <w:tc>
          <w:tcPr>
            <w:tcW w:type="dxa" w:w="1461"/>
            <w:shd w:fill="D9EAF7"/>
          </w:tcPr>
          <w:p>
            <w:r>
              <w:rPr>
                <w:b/>
                <w:sz w:val="18"/>
              </w:rPr>
              <w:t>target</w:t>
            </w:r>
          </w:p>
        </w:tc>
      </w:tr>
      <w:tr>
        <w:tc>
          <w:tcPr>
            <w:tcW w:type="dxa" w:w="1461"/>
            <w:vAlign w:val="center"/>
          </w:tcPr>
          <w:p>
            <w:r>
              <w:rPr>
                <w:b w:val="0"/>
                <w:sz w:val="18"/>
              </w:rPr>
              <w:t>time_hospital</w:t>
            </w:r>
          </w:p>
        </w:tc>
        <w:tc>
          <w:tcPr>
            <w:tcW w:type="dxa" w:w="1461"/>
            <w:vAlign w:val="center"/>
          </w:tcPr>
          <w:p>
            <w:r>
              <w:rPr>
                <w:b w:val="0"/>
                <w:sz w:val="18"/>
              </w:rPr>
              <w:t>1.000</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0.051</w:t>
            </w:r>
          </w:p>
        </w:tc>
      </w:tr>
      <w:tr>
        <w:tc>
          <w:tcPr>
            <w:tcW w:type="dxa" w:w="1461"/>
            <w:vAlign w:val="center"/>
          </w:tcPr>
          <w:p>
            <w:r>
              <w:rPr>
                <w:b w:val="0"/>
                <w:sz w:val="18"/>
              </w:rPr>
              <w:t>lab_proc</w:t>
            </w:r>
          </w:p>
        </w:tc>
        <w:tc>
          <w:tcPr>
            <w:tcW w:type="dxa" w:w="1461"/>
            <w:vAlign w:val="center"/>
          </w:tcPr>
          <w:p>
            <w:r>
              <w:rPr>
                <w:b w:val="0"/>
                <w:sz w:val="18"/>
              </w:rPr>
              <w:t>—</w:t>
            </w:r>
          </w:p>
        </w:tc>
        <w:tc>
          <w:tcPr>
            <w:tcW w:type="dxa" w:w="1461"/>
            <w:vAlign w:val="center"/>
          </w:tcPr>
          <w:p>
            <w:r>
              <w:rPr>
                <w:b w:val="0"/>
                <w:sz w:val="18"/>
              </w:rPr>
              <w:t>1.000</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0.045</w:t>
            </w:r>
          </w:p>
        </w:tc>
      </w:tr>
      <w:tr>
        <w:tc>
          <w:tcPr>
            <w:tcW w:type="dxa" w:w="1461"/>
            <w:vAlign w:val="center"/>
          </w:tcPr>
          <w:p>
            <w:r>
              <w:rPr>
                <w:b w:val="0"/>
                <w:sz w:val="18"/>
              </w:rPr>
              <w:t>medications</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1.000</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0.030</w:t>
            </w:r>
          </w:p>
        </w:tc>
      </w:tr>
      <w:tr>
        <w:tc>
          <w:tcPr>
            <w:tcW w:type="dxa" w:w="1461"/>
            <w:vAlign w:val="center"/>
          </w:tcPr>
          <w:p>
            <w:r>
              <w:rPr>
                <w:b w:val="0"/>
                <w:sz w:val="18"/>
              </w:rPr>
              <w:t>inpatient</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1.000</w:t>
            </w:r>
          </w:p>
        </w:tc>
        <w:tc>
          <w:tcPr>
            <w:tcW w:type="dxa" w:w="1461"/>
            <w:vAlign w:val="center"/>
          </w:tcPr>
          <w:p>
            <w:r>
              <w:rPr>
                <w:b w:val="0"/>
                <w:sz w:val="18"/>
              </w:rPr>
              <w:t>—</w:t>
            </w:r>
          </w:p>
        </w:tc>
        <w:tc>
          <w:tcPr>
            <w:tcW w:type="dxa" w:w="1461"/>
            <w:vAlign w:val="center"/>
          </w:tcPr>
          <w:p>
            <w:r>
              <w:rPr>
                <w:b w:val="0"/>
                <w:sz w:val="18"/>
              </w:rPr>
              <w:t>0.133</w:t>
            </w:r>
          </w:p>
        </w:tc>
      </w:tr>
      <w:tr>
        <w:tc>
          <w:tcPr>
            <w:tcW w:type="dxa" w:w="1461"/>
            <w:vAlign w:val="center"/>
          </w:tcPr>
          <w:p>
            <w:r>
              <w:rPr>
                <w:b w:val="0"/>
                <w:sz w:val="18"/>
              </w:rPr>
              <w:t>diagnoses</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w:t>
            </w:r>
          </w:p>
        </w:tc>
        <w:tc>
          <w:tcPr>
            <w:tcW w:type="dxa" w:w="1461"/>
            <w:vAlign w:val="center"/>
          </w:tcPr>
          <w:p>
            <w:r>
              <w:rPr>
                <w:b w:val="0"/>
                <w:sz w:val="18"/>
              </w:rPr>
              <w:t>1.000</w:t>
            </w:r>
          </w:p>
        </w:tc>
        <w:tc>
          <w:tcPr>
            <w:tcW w:type="dxa" w:w="1461"/>
            <w:vAlign w:val="center"/>
          </w:tcPr>
          <w:p>
            <w:r>
              <w:rPr>
                <w:b w:val="0"/>
                <w:sz w:val="18"/>
              </w:rPr>
              <w:t>0.047</w:t>
            </w:r>
          </w:p>
        </w:tc>
      </w:tr>
      <w:tr>
        <w:tc>
          <w:tcPr>
            <w:tcW w:type="dxa" w:w="1461"/>
            <w:vAlign w:val="center"/>
          </w:tcPr>
          <w:p>
            <w:r>
              <w:rPr>
                <w:b w:val="0"/>
                <w:sz w:val="18"/>
              </w:rPr>
              <w:t>readmitted_30d</w:t>
            </w:r>
          </w:p>
        </w:tc>
        <w:tc>
          <w:tcPr>
            <w:tcW w:type="dxa" w:w="1461"/>
            <w:vAlign w:val="center"/>
          </w:tcPr>
          <w:p>
            <w:r>
              <w:rPr>
                <w:b w:val="0"/>
                <w:sz w:val="18"/>
              </w:rPr>
              <w:t>0.051</w:t>
            </w:r>
          </w:p>
        </w:tc>
        <w:tc>
          <w:tcPr>
            <w:tcW w:type="dxa" w:w="1461"/>
            <w:vAlign w:val="center"/>
          </w:tcPr>
          <w:p>
            <w:r>
              <w:rPr>
                <w:b w:val="0"/>
                <w:sz w:val="18"/>
              </w:rPr>
              <w:t>0.045</w:t>
            </w:r>
          </w:p>
        </w:tc>
        <w:tc>
          <w:tcPr>
            <w:tcW w:type="dxa" w:w="1461"/>
            <w:vAlign w:val="center"/>
          </w:tcPr>
          <w:p>
            <w:r>
              <w:rPr>
                <w:b w:val="0"/>
                <w:sz w:val="18"/>
              </w:rPr>
              <w:t>0.030</w:t>
            </w:r>
          </w:p>
        </w:tc>
        <w:tc>
          <w:tcPr>
            <w:tcW w:type="dxa" w:w="1461"/>
            <w:vAlign w:val="center"/>
          </w:tcPr>
          <w:p>
            <w:r>
              <w:rPr>
                <w:b w:val="0"/>
                <w:sz w:val="18"/>
              </w:rPr>
              <w:t>0.133</w:t>
            </w:r>
          </w:p>
        </w:tc>
        <w:tc>
          <w:tcPr>
            <w:tcW w:type="dxa" w:w="1461"/>
            <w:vAlign w:val="center"/>
          </w:tcPr>
          <w:p>
            <w:r>
              <w:rPr>
                <w:b w:val="0"/>
                <w:sz w:val="18"/>
              </w:rPr>
              <w:t>0.047</w:t>
            </w:r>
          </w:p>
        </w:tc>
        <w:tc>
          <w:tcPr>
            <w:tcW w:type="dxa" w:w="1461"/>
            <w:vAlign w:val="center"/>
          </w:tcPr>
          <w:p>
            <w:r>
              <w:rPr>
                <w:b w:val="0"/>
                <w:sz w:val="18"/>
              </w:rPr>
              <w:t>1.000</w:t>
            </w:r>
          </w:p>
        </w:tc>
      </w:tr>
    </w:tbl>
    <w:p/>
    <w:p>
      <w:r>
        <w:t>The table above is a compact report extract; the full matrix and heatmap are generated in 02_eda_visualization.ipynb. The heatmap should be included in the final submission as a visual companion to the numerical matrix.</w:t>
      </w:r>
    </w:p>
    <w:p>
      <w:r>
        <w:t>Python implementation used for the full matrix and heatmap:</w:t>
      </w:r>
    </w:p>
    <w:p>
      <w:pPr/>
      <w:r>
        <w:rPr>
          <w:rFonts w:ascii="Consolas" w:hAnsi="Consolas"/>
          <w:sz w:val="16"/>
        </w:rPr>
        <w:t>correlation_cols = [</w:t>
        <w:br/>
        <w:t xml:space="preserve">    'time_in_hospital', 'num_lab_procedures', 'num_procedures',</w:t>
        <w:br/>
        <w:t xml:space="preserve">    'num_medications', 'number_outpatient', 'number_emergency',</w:t>
        <w:br/>
        <w:t xml:space="preserve">    'number_inpatient', 'number_diagnoses',</w:t>
        <w:br/>
        <w:t xml:space="preserve">    'total_prior_utilization', 'readmitted_30d'</w:t>
        <w:br/>
        <w:t>]</w:t>
        <w:br/>
        <w:br/>
        <w:t>corr = df[correlation_cols].corr(method='spearman').round(3)</w:t>
        <w:br/>
        <w:t>sns.heatmap(corr, annot=True, fmt='.2f', cmap='coolwarm',</w:t>
        <w:br/>
        <w:t xml:space="preserve">            center=0, linewidths=0.5, square=True)</w:t>
        <w:br/>
        <w:t>plt.title('Spearman Correlation Heatmap')</w:t>
        <w:br/>
        <w:t>plt.tight_layout()</w:t>
        <w:br/>
        <w:t>plt.show()</w:t>
      </w:r>
    </w:p>
    <w:p>
      <w:pPr>
        <w:pStyle w:val="Heading1"/>
      </w:pPr>
      <w:r>
        <w:t>8. Visualization Implementation and Evidence</w:t>
      </w:r>
    </w:p>
    <w:p>
      <w:r>
        <w:t>The visualization strategy used Pandas for tabular summaries, Matplotlib for figure construction and Seaborn for statistical plots. Each visualization was paired with a numerical summary where appropriate.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Visualization</w:t>
            </w:r>
          </w:p>
        </w:tc>
        <w:tc>
          <w:tcPr>
            <w:tcW w:type="dxa" w:w="3408"/>
            <w:shd w:fill="D9EAF7"/>
          </w:tcPr>
          <w:p>
            <w:r>
              <w:rPr>
                <w:b/>
                <w:sz w:val="18"/>
              </w:rPr>
              <w:t>Numerical support</w:t>
            </w:r>
          </w:p>
        </w:tc>
        <w:tc>
          <w:tcPr>
            <w:tcW w:type="dxa" w:w="3408"/>
            <w:shd w:fill="D9EAF7"/>
          </w:tcPr>
          <w:p>
            <w:r>
              <w:rPr>
                <w:b/>
                <w:sz w:val="18"/>
              </w:rPr>
              <w:t>Purpose</w:t>
            </w:r>
          </w:p>
        </w:tc>
      </w:tr>
      <w:tr>
        <w:tc>
          <w:tcPr>
            <w:tcW w:type="dxa" w:w="3408"/>
            <w:vAlign w:val="center"/>
          </w:tcPr>
          <w:p>
            <w:r>
              <w:rPr>
                <w:b w:val="0"/>
                <w:sz w:val="18"/>
              </w:rPr>
              <w:t>Readmission bar chart</w:t>
            </w:r>
          </w:p>
        </w:tc>
        <w:tc>
          <w:tcPr>
            <w:tcW w:type="dxa" w:w="3408"/>
            <w:vAlign w:val="center"/>
          </w:tcPr>
          <w:p>
            <w:r>
              <w:rPr>
                <w:b w:val="0"/>
                <w:sz w:val="18"/>
              </w:rPr>
              <w:t>54,864 NO; 35,545 &gt;30; 11,357 &lt;30</w:t>
            </w:r>
          </w:p>
        </w:tc>
        <w:tc>
          <w:tcPr>
            <w:tcW w:type="dxa" w:w="3408"/>
            <w:vAlign w:val="center"/>
          </w:tcPr>
          <w:p>
            <w:r>
              <w:rPr>
                <w:b w:val="0"/>
                <w:sz w:val="18"/>
              </w:rPr>
              <w:t>Show outcome imbalance.</w:t>
            </w:r>
          </w:p>
        </w:tc>
      </w:tr>
      <w:tr>
        <w:tc>
          <w:tcPr>
            <w:tcW w:type="dxa" w:w="3408"/>
            <w:vAlign w:val="center"/>
          </w:tcPr>
          <w:p>
            <w:r>
              <w:rPr>
                <w:b w:val="0"/>
                <w:sz w:val="18"/>
              </w:rPr>
              <w:t>Age-group bar chart</w:t>
            </w:r>
          </w:p>
        </w:tc>
        <w:tc>
          <w:tcPr>
            <w:tcW w:type="dxa" w:w="3408"/>
            <w:vAlign w:val="center"/>
          </w:tcPr>
          <w:p>
            <w:r>
              <w:rPr>
                <w:b w:val="0"/>
                <w:sz w:val="18"/>
              </w:rPr>
              <w:t>Counts calculated for each age band</w:t>
            </w:r>
          </w:p>
        </w:tc>
        <w:tc>
          <w:tcPr>
            <w:tcW w:type="dxa" w:w="3408"/>
            <w:vAlign w:val="center"/>
          </w:tcPr>
          <w:p>
            <w:r>
              <w:rPr>
                <w:b w:val="0"/>
                <w:sz w:val="18"/>
              </w:rPr>
              <w:t>Show encounter distribution by age.</w:t>
            </w:r>
          </w:p>
        </w:tc>
      </w:tr>
      <w:tr>
        <w:tc>
          <w:tcPr>
            <w:tcW w:type="dxa" w:w="3408"/>
            <w:vAlign w:val="center"/>
          </w:tcPr>
          <w:p>
            <w:r>
              <w:rPr>
                <w:b w:val="0"/>
                <w:sz w:val="18"/>
              </w:rPr>
              <w:t>Age readmission-rate chart</w:t>
            </w:r>
          </w:p>
        </w:tc>
        <w:tc>
          <w:tcPr>
            <w:tcW w:type="dxa" w:w="3408"/>
            <w:vAlign w:val="center"/>
          </w:tcPr>
          <w:p>
            <w:r>
              <w:rPr>
                <w:b w:val="0"/>
                <w:sz w:val="18"/>
              </w:rPr>
              <w:t>Rate = early readmissions / encounters × 100</w:t>
            </w:r>
          </w:p>
        </w:tc>
        <w:tc>
          <w:tcPr>
            <w:tcW w:type="dxa" w:w="3408"/>
            <w:vAlign w:val="center"/>
          </w:tcPr>
          <w:p>
            <w:r>
              <w:rPr>
                <w:b w:val="0"/>
                <w:sz w:val="18"/>
              </w:rPr>
              <w:t>Compare groups fairly using denominators.</w:t>
            </w:r>
          </w:p>
        </w:tc>
      </w:tr>
      <w:tr>
        <w:tc>
          <w:tcPr>
            <w:tcW w:type="dxa" w:w="3408"/>
            <w:vAlign w:val="center"/>
          </w:tcPr>
          <w:p>
            <w:r>
              <w:rPr>
                <w:b w:val="0"/>
                <w:sz w:val="18"/>
              </w:rPr>
              <w:t>Length-of-stay boxplot</w:t>
            </w:r>
          </w:p>
        </w:tc>
        <w:tc>
          <w:tcPr>
            <w:tcW w:type="dxa" w:w="3408"/>
            <w:vAlign w:val="center"/>
          </w:tcPr>
          <w:p>
            <w:r>
              <w:rPr>
                <w:b w:val="0"/>
                <w:sz w:val="18"/>
              </w:rPr>
              <w:t>Count, mean, median, SD, min, max by outcome</w:t>
            </w:r>
          </w:p>
        </w:tc>
        <w:tc>
          <w:tcPr>
            <w:tcW w:type="dxa" w:w="3408"/>
            <w:vAlign w:val="center"/>
          </w:tcPr>
          <w:p>
            <w:r>
              <w:rPr>
                <w:b w:val="0"/>
                <w:sz w:val="18"/>
              </w:rPr>
              <w:t>Compare distributions and outliers.</w:t>
            </w:r>
          </w:p>
        </w:tc>
      </w:tr>
      <w:tr>
        <w:tc>
          <w:tcPr>
            <w:tcW w:type="dxa" w:w="3408"/>
            <w:vAlign w:val="center"/>
          </w:tcPr>
          <w:p>
            <w:r>
              <w:rPr>
                <w:b w:val="0"/>
                <w:sz w:val="18"/>
              </w:rPr>
              <w:t>Lab-procedure boxplot</w:t>
            </w:r>
          </w:p>
        </w:tc>
        <w:tc>
          <w:tcPr>
            <w:tcW w:type="dxa" w:w="3408"/>
            <w:vAlign w:val="center"/>
          </w:tcPr>
          <w:p>
            <w:r>
              <w:rPr>
                <w:b w:val="0"/>
                <w:sz w:val="18"/>
              </w:rPr>
              <w:t>Count, mean, median, SD, min, max by outcome</w:t>
            </w:r>
          </w:p>
        </w:tc>
        <w:tc>
          <w:tcPr>
            <w:tcW w:type="dxa" w:w="3408"/>
            <w:vAlign w:val="center"/>
          </w:tcPr>
          <w:p>
            <w:r>
              <w:rPr>
                <w:b w:val="0"/>
                <w:sz w:val="18"/>
              </w:rPr>
              <w:t>Compare procedure distributions.</w:t>
            </w:r>
          </w:p>
        </w:tc>
      </w:tr>
      <w:tr>
        <w:tc>
          <w:tcPr>
            <w:tcW w:type="dxa" w:w="3408"/>
            <w:vAlign w:val="center"/>
          </w:tcPr>
          <w:p>
            <w:r>
              <w:rPr>
                <w:b w:val="0"/>
                <w:sz w:val="18"/>
              </w:rPr>
              <w:t>Correlation heatmap</w:t>
            </w:r>
          </w:p>
        </w:tc>
        <w:tc>
          <w:tcPr>
            <w:tcW w:type="dxa" w:w="3408"/>
            <w:vAlign w:val="center"/>
          </w:tcPr>
          <w:p>
            <w:r>
              <w:rPr>
                <w:b w:val="0"/>
                <w:sz w:val="18"/>
              </w:rPr>
              <w:t>Full Spearman coefficient matrix</w:t>
            </w:r>
          </w:p>
        </w:tc>
        <w:tc>
          <w:tcPr>
            <w:tcW w:type="dxa" w:w="3408"/>
            <w:vAlign w:val="center"/>
          </w:tcPr>
          <w:p>
            <w:r>
              <w:rPr>
                <w:b w:val="0"/>
                <w:sz w:val="18"/>
              </w:rPr>
              <w:t>Show pairwise numerical associations.</w:t>
            </w:r>
          </w:p>
        </w:tc>
      </w:tr>
    </w:tbl>
    <w:p/>
    <w:p>
      <w:r>
        <w:t>Representative boxplot implementation:</w:t>
      </w:r>
    </w:p>
    <w:p>
      <w:pPr/>
      <w:r>
        <w:rPr>
          <w:rFonts w:ascii="Consolas" w:hAnsi="Consolas"/>
          <w:sz w:val="16"/>
        </w:rPr>
        <w:t>sns.boxplot(</w:t>
        <w:br/>
        <w:t xml:space="preserve">    data=plot_df,</w:t>
        <w:br/>
        <w:t xml:space="preserve">    x='readmitted',</w:t>
        <w:br/>
        <w:t xml:space="preserve">    y='time_in_hospital',</w:t>
        <w:br/>
        <w:t xml:space="preserve">    order=['NO', '&gt;30', '&lt;30']</w:t>
        <w:br/>
        <w:t>)</w:t>
        <w:br/>
        <w:t>plt.title('Length of Hospital Stay by Readmission Outcome')</w:t>
        <w:br/>
        <w:t>plt.xlabel('Readmission category')</w:t>
        <w:br/>
        <w:t>plt.ylabel('Time in hospital (days)')</w:t>
        <w:br/>
        <w:t>plt.tight_layout()</w:t>
        <w:br/>
        <w:t>plt.show()</w:t>
      </w:r>
    </w:p>
    <w:p>
      <w:pPr>
        <w:pStyle w:val="Heading1"/>
      </w:pPr>
      <w:r>
        <w:t>9. Predictive Modelling Results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8"/>
              </w:rPr>
              <w:t>Model</w:t>
            </w:r>
          </w:p>
        </w:tc>
        <w:tc>
          <w:tcPr>
            <w:tcW w:type="dxa" w:w="1461"/>
            <w:shd w:fill="D9EAF7"/>
          </w:tcPr>
          <w:p>
            <w:r>
              <w:rPr>
                <w:b/>
                <w:sz w:val="18"/>
              </w:rPr>
              <w:t>Accuracy</w:t>
            </w:r>
          </w:p>
        </w:tc>
        <w:tc>
          <w:tcPr>
            <w:tcW w:type="dxa" w:w="1461"/>
            <w:shd w:fill="D9EAF7"/>
          </w:tcPr>
          <w:p>
            <w:r>
              <w:rPr>
                <w:b/>
                <w:sz w:val="18"/>
              </w:rPr>
              <w:t>Precision</w:t>
            </w:r>
          </w:p>
        </w:tc>
        <w:tc>
          <w:tcPr>
            <w:tcW w:type="dxa" w:w="1461"/>
            <w:shd w:fill="D9EAF7"/>
          </w:tcPr>
          <w:p>
            <w:r>
              <w:rPr>
                <w:b/>
                <w:sz w:val="18"/>
              </w:rPr>
              <w:t>Recall</w:t>
            </w:r>
          </w:p>
        </w:tc>
        <w:tc>
          <w:tcPr>
            <w:tcW w:type="dxa" w:w="1461"/>
            <w:shd w:fill="D9EAF7"/>
          </w:tcPr>
          <w:p>
            <w:r>
              <w:rPr>
                <w:b/>
                <w:sz w:val="18"/>
              </w:rPr>
              <w:t>F1</w:t>
            </w:r>
          </w:p>
        </w:tc>
        <w:tc>
          <w:tcPr>
            <w:tcW w:type="dxa" w:w="1461"/>
            <w:shd w:fill="D9EAF7"/>
          </w:tcPr>
          <w:p>
            <w:r>
              <w:rPr>
                <w:b/>
                <w:sz w:val="18"/>
              </w:rPr>
              <w:t>ROC-AUC</w:t>
            </w:r>
          </w:p>
        </w:tc>
        <w:tc>
          <w:tcPr>
            <w:tcW w:type="dxa" w:w="1461"/>
            <w:shd w:fill="D9EAF7"/>
          </w:tcPr>
          <w:p>
            <w:r>
              <w:rPr>
                <w:b/>
                <w:sz w:val="18"/>
              </w:rPr>
              <w:t>PR-AUC</w:t>
            </w:r>
          </w:p>
        </w:tc>
      </w:tr>
      <w:tr>
        <w:tc>
          <w:tcPr>
            <w:tcW w:type="dxa" w:w="1461"/>
            <w:vAlign w:val="center"/>
          </w:tcPr>
          <w:p>
            <w:r>
              <w:rPr>
                <w:b w:val="0"/>
                <w:sz w:val="18"/>
              </w:rPr>
              <w:t>Random Forest</w:t>
            </w:r>
          </w:p>
        </w:tc>
        <w:tc>
          <w:tcPr>
            <w:tcW w:type="dxa" w:w="1461"/>
            <w:vAlign w:val="center"/>
          </w:tcPr>
          <w:p>
            <w:r>
              <w:rPr>
                <w:b w:val="0"/>
                <w:sz w:val="18"/>
              </w:rPr>
              <w:t>72.06%</w:t>
            </w:r>
          </w:p>
        </w:tc>
        <w:tc>
          <w:tcPr>
            <w:tcW w:type="dxa" w:w="1461"/>
            <w:vAlign w:val="center"/>
          </w:tcPr>
          <w:p>
            <w:r>
              <w:rPr>
                <w:b w:val="0"/>
                <w:sz w:val="18"/>
              </w:rPr>
              <w:t>19.34%</w:t>
            </w:r>
          </w:p>
        </w:tc>
        <w:tc>
          <w:tcPr>
            <w:tcW w:type="dxa" w:w="1461"/>
            <w:vAlign w:val="center"/>
          </w:tcPr>
          <w:p>
            <w:r>
              <w:rPr>
                <w:b w:val="0"/>
                <w:sz w:val="18"/>
              </w:rPr>
              <w:t>47.42%</w:t>
            </w:r>
          </w:p>
        </w:tc>
        <w:tc>
          <w:tcPr>
            <w:tcW w:type="dxa" w:w="1461"/>
            <w:vAlign w:val="center"/>
          </w:tcPr>
          <w:p>
            <w:r>
              <w:rPr>
                <w:b w:val="0"/>
                <w:sz w:val="18"/>
              </w:rPr>
              <w:t>27.47%</w:t>
            </w:r>
          </w:p>
        </w:tc>
        <w:tc>
          <w:tcPr>
            <w:tcW w:type="dxa" w:w="1461"/>
            <w:vAlign w:val="center"/>
          </w:tcPr>
          <w:p>
            <w:r>
              <w:rPr>
                <w:b w:val="0"/>
                <w:sz w:val="18"/>
              </w:rPr>
              <w:t>0.6671</w:t>
            </w:r>
          </w:p>
        </w:tc>
        <w:tc>
          <w:tcPr>
            <w:tcW w:type="dxa" w:w="1461"/>
            <w:vAlign w:val="center"/>
          </w:tcPr>
          <w:p>
            <w:r>
              <w:rPr>
                <w:b w:val="0"/>
                <w:sz w:val="18"/>
              </w:rPr>
              <w:t>0.2124</w:t>
            </w:r>
          </w:p>
        </w:tc>
      </w:tr>
      <w:tr>
        <w:tc>
          <w:tcPr>
            <w:tcW w:type="dxa" w:w="1461"/>
            <w:vAlign w:val="center"/>
          </w:tcPr>
          <w:p>
            <w:r>
              <w:rPr>
                <w:b w:val="0"/>
                <w:sz w:val="18"/>
              </w:rPr>
              <w:t>Logistic Regression</w:t>
            </w:r>
          </w:p>
        </w:tc>
        <w:tc>
          <w:tcPr>
            <w:tcW w:type="dxa" w:w="1461"/>
            <w:vAlign w:val="center"/>
          </w:tcPr>
          <w:p>
            <w:r>
              <w:rPr>
                <w:b w:val="0"/>
                <w:sz w:val="18"/>
              </w:rPr>
              <w:t>67.20%</w:t>
            </w:r>
          </w:p>
        </w:tc>
        <w:tc>
          <w:tcPr>
            <w:tcW w:type="dxa" w:w="1461"/>
            <w:vAlign w:val="center"/>
          </w:tcPr>
          <w:p>
            <w:r>
              <w:rPr>
                <w:b w:val="0"/>
                <w:sz w:val="18"/>
              </w:rPr>
              <w:t>17.43%</w:t>
            </w:r>
          </w:p>
        </w:tc>
        <w:tc>
          <w:tcPr>
            <w:tcW w:type="dxa" w:w="1461"/>
            <w:vAlign w:val="center"/>
          </w:tcPr>
          <w:p>
            <w:r>
              <w:rPr>
                <w:b w:val="0"/>
                <w:sz w:val="18"/>
              </w:rPr>
              <w:t>51.92%</w:t>
            </w:r>
          </w:p>
        </w:tc>
        <w:tc>
          <w:tcPr>
            <w:tcW w:type="dxa" w:w="1461"/>
            <w:vAlign w:val="center"/>
          </w:tcPr>
          <w:p>
            <w:r>
              <w:rPr>
                <w:b w:val="0"/>
                <w:sz w:val="18"/>
              </w:rPr>
              <w:t>26.10%</w:t>
            </w:r>
          </w:p>
        </w:tc>
        <w:tc>
          <w:tcPr>
            <w:tcW w:type="dxa" w:w="1461"/>
            <w:vAlign w:val="center"/>
          </w:tcPr>
          <w:p>
            <w:r>
              <w:rPr>
                <w:b w:val="0"/>
                <w:sz w:val="18"/>
              </w:rPr>
              <w:t>0.6463</w:t>
            </w:r>
          </w:p>
        </w:tc>
        <w:tc>
          <w:tcPr>
            <w:tcW w:type="dxa" w:w="1461"/>
            <w:vAlign w:val="center"/>
          </w:tcPr>
          <w:p>
            <w:r>
              <w:rPr>
                <w:b w:val="0"/>
                <w:sz w:val="18"/>
              </w:rPr>
              <w:t>0.1994</w:t>
            </w:r>
          </w:p>
        </w:tc>
      </w:tr>
    </w:tbl>
    <w:p/>
    <w:p>
      <w:r>
        <w:t>Random Forest ranked first in the final comparison because it achieved higher accuracy, precision, F1-score, ROC-AUC and PR-AUC. Logistic Regression nevertheless achieved higher recall. This means the selection depends partly on the operational objective: a screening workflow that prioritizes finding more potential cases may value recall, whereas a workflow that has limited review capacity may place greater emphasis on precision.</w:t>
      </w:r>
    </w:p>
    <w:p>
      <w:pPr>
        <w:pStyle w:val="Heading1"/>
      </w:pPr>
      <w:r>
        <w:t>10. Confusion-Matrix Evidence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8"/>
              </w:rPr>
              <w:t>Model</w:t>
            </w:r>
          </w:p>
        </w:tc>
        <w:tc>
          <w:tcPr>
            <w:tcW w:type="dxa" w:w="2045"/>
            <w:shd w:fill="D9EAF7"/>
          </w:tcPr>
          <w:p>
            <w:r>
              <w:rPr>
                <w:b/>
                <w:sz w:val="18"/>
              </w:rPr>
              <w:t>TN</w:t>
            </w:r>
          </w:p>
        </w:tc>
        <w:tc>
          <w:tcPr>
            <w:tcW w:type="dxa" w:w="2045"/>
            <w:shd w:fill="D9EAF7"/>
          </w:tcPr>
          <w:p>
            <w:r>
              <w:rPr>
                <w:b/>
                <w:sz w:val="18"/>
              </w:rPr>
              <w:t>FP</w:t>
            </w:r>
          </w:p>
        </w:tc>
        <w:tc>
          <w:tcPr>
            <w:tcW w:type="dxa" w:w="2045"/>
            <w:shd w:fill="D9EAF7"/>
          </w:tcPr>
          <w:p>
            <w:r>
              <w:rPr>
                <w:b/>
                <w:sz w:val="18"/>
              </w:rPr>
              <w:t>FN</w:t>
            </w:r>
          </w:p>
        </w:tc>
        <w:tc>
          <w:tcPr>
            <w:tcW w:type="dxa" w:w="2045"/>
            <w:shd w:fill="D9EAF7"/>
          </w:tcPr>
          <w:p>
            <w:r>
              <w:rPr>
                <w:b/>
                <w:sz w:val="18"/>
              </w:rPr>
              <w:t>TP</w:t>
            </w:r>
          </w:p>
        </w:tc>
      </w:tr>
      <w:tr>
        <w:tc>
          <w:tcPr>
            <w:tcW w:type="dxa" w:w="2045"/>
            <w:vAlign w:val="center"/>
          </w:tcPr>
          <w:p>
            <w:r>
              <w:rPr>
                <w:b w:val="0"/>
                <w:sz w:val="18"/>
              </w:rPr>
              <w:t>Logistic Regression</w:t>
            </w:r>
          </w:p>
        </w:tc>
        <w:tc>
          <w:tcPr>
            <w:tcW w:type="dxa" w:w="2045"/>
            <w:vAlign w:val="center"/>
          </w:tcPr>
          <w:p>
            <w:r>
              <w:rPr>
                <w:b w:val="0"/>
                <w:sz w:val="18"/>
              </w:rPr>
              <w:t>12,499</w:t>
            </w:r>
          </w:p>
        </w:tc>
        <w:tc>
          <w:tcPr>
            <w:tcW w:type="dxa" w:w="2045"/>
            <w:vAlign w:val="center"/>
          </w:tcPr>
          <w:p>
            <w:r>
              <w:rPr>
                <w:b w:val="0"/>
                <w:sz w:val="18"/>
              </w:rPr>
              <w:t>5,584</w:t>
            </w:r>
          </w:p>
        </w:tc>
        <w:tc>
          <w:tcPr>
            <w:tcW w:type="dxa" w:w="2045"/>
            <w:vAlign w:val="center"/>
          </w:tcPr>
          <w:p>
            <w:r>
              <w:rPr>
                <w:b w:val="0"/>
                <w:sz w:val="18"/>
              </w:rPr>
              <w:t>1,092</w:t>
            </w:r>
          </w:p>
        </w:tc>
        <w:tc>
          <w:tcPr>
            <w:tcW w:type="dxa" w:w="2045"/>
            <w:vAlign w:val="center"/>
          </w:tcPr>
          <w:p>
            <w:r>
              <w:rPr>
                <w:b w:val="0"/>
                <w:sz w:val="18"/>
              </w:rPr>
              <w:t>1,179</w:t>
            </w:r>
          </w:p>
        </w:tc>
      </w:tr>
      <w:tr>
        <w:tc>
          <w:tcPr>
            <w:tcW w:type="dxa" w:w="2045"/>
            <w:vAlign w:val="center"/>
          </w:tcPr>
          <w:p>
            <w:r>
              <w:rPr>
                <w:b w:val="0"/>
                <w:sz w:val="18"/>
              </w:rPr>
              <w:t>Random Forest</w:t>
            </w:r>
          </w:p>
        </w:tc>
        <w:tc>
          <w:tcPr>
            <w:tcW w:type="dxa" w:w="2045"/>
            <w:vAlign w:val="center"/>
          </w:tcPr>
          <w:p>
            <w:r>
              <w:rPr>
                <w:b w:val="0"/>
                <w:sz w:val="18"/>
              </w:rPr>
              <w:t>13,591</w:t>
            </w:r>
          </w:p>
        </w:tc>
        <w:tc>
          <w:tcPr>
            <w:tcW w:type="dxa" w:w="2045"/>
            <w:vAlign w:val="center"/>
          </w:tcPr>
          <w:p>
            <w:r>
              <w:rPr>
                <w:b w:val="0"/>
                <w:sz w:val="18"/>
              </w:rPr>
              <w:t>4,492</w:t>
            </w:r>
          </w:p>
        </w:tc>
        <w:tc>
          <w:tcPr>
            <w:tcW w:type="dxa" w:w="2045"/>
            <w:vAlign w:val="center"/>
          </w:tcPr>
          <w:p>
            <w:r>
              <w:rPr>
                <w:b w:val="0"/>
                <w:sz w:val="18"/>
              </w:rPr>
              <w:t>1,194</w:t>
            </w:r>
          </w:p>
        </w:tc>
        <w:tc>
          <w:tcPr>
            <w:tcW w:type="dxa" w:w="2045"/>
            <w:vAlign w:val="center"/>
          </w:tcPr>
          <w:p>
            <w:r>
              <w:rPr>
                <w:b w:val="0"/>
                <w:sz w:val="18"/>
              </w:rPr>
              <w:t>1,077</w:t>
            </w:r>
          </w:p>
        </w:tc>
      </w:tr>
    </w:tbl>
    <w:p/>
    <w:p>
      <w:r>
        <w:t>The Logistic Regression model identified 1,179 of the 2,271 actual early-readmission cases, producing 51.92% recall. Random Forest identified 1,077, producing 47.42% recall. Random Forest produced 1,092 fewer false positives than Logistic Regression (4,492 versus 5,584), which is consistent with its higher precision.</w:t>
      </w:r>
    </w:p>
    <w:p>
      <w:pPr>
        <w:pStyle w:val="Heading1"/>
      </w:pPr>
      <w:r>
        <w:t>11. ROC and Precision–Recall Evaluation</w:t>
      </w:r>
    </w:p>
    <w:p>
      <w:r>
        <w:t>The ROC curves gave AUC values of 0.646 for Logistic Regression and 0.667 for Random Forest. The Precision–Recall curves gave PR-AUC values of 0.199 and 0.212 respectively. Random Forest therefore showed slightly stronger discrimination and precision-recall performance in this experiment. The values also show that neither model is close to perfect discrimination, so the results should not be presented as clinical-grade performance.</w:t>
      </w:r>
    </w:p>
    <w:p>
      <w:pPr>
        <w:pStyle w:val="Heading1"/>
      </w:pPr>
      <w:r>
        <w:t>12. Threshold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Threshold</w:t>
            </w:r>
          </w:p>
        </w:tc>
        <w:tc>
          <w:tcPr>
            <w:tcW w:type="dxa" w:w="2556"/>
            <w:shd w:fill="D9EAF7"/>
          </w:tcPr>
          <w:p>
            <w:r>
              <w:rPr>
                <w:b/>
                <w:sz w:val="18"/>
              </w:rPr>
              <w:t>Precision</w:t>
            </w:r>
          </w:p>
        </w:tc>
        <w:tc>
          <w:tcPr>
            <w:tcW w:type="dxa" w:w="2556"/>
            <w:shd w:fill="D9EAF7"/>
          </w:tcPr>
          <w:p>
            <w:r>
              <w:rPr>
                <w:b/>
                <w:sz w:val="18"/>
              </w:rPr>
              <w:t>Recall</w:t>
            </w:r>
          </w:p>
        </w:tc>
        <w:tc>
          <w:tcPr>
            <w:tcW w:type="dxa" w:w="2556"/>
            <w:shd w:fill="D9EAF7"/>
          </w:tcPr>
          <w:p>
            <w:r>
              <w:rPr>
                <w:b/>
                <w:sz w:val="18"/>
              </w:rPr>
              <w:t>F1</w:t>
            </w:r>
          </w:p>
        </w:tc>
      </w:tr>
      <w:tr>
        <w:tc>
          <w:tcPr>
            <w:tcW w:type="dxa" w:w="2556"/>
            <w:vAlign w:val="center"/>
          </w:tcPr>
          <w:p>
            <w:r>
              <w:rPr>
                <w:b w:val="0"/>
                <w:sz w:val="18"/>
              </w:rPr>
              <w:t>0.20</w:t>
            </w:r>
          </w:p>
        </w:tc>
        <w:tc>
          <w:tcPr>
            <w:tcW w:type="dxa" w:w="2556"/>
            <w:vAlign w:val="center"/>
          </w:tcPr>
          <w:p>
            <w:r>
              <w:rPr>
                <w:b w:val="0"/>
                <w:sz w:val="18"/>
              </w:rPr>
              <w:t>11.2%</w:t>
            </w:r>
          </w:p>
        </w:tc>
        <w:tc>
          <w:tcPr>
            <w:tcW w:type="dxa" w:w="2556"/>
            <w:vAlign w:val="center"/>
          </w:tcPr>
          <w:p>
            <w:r>
              <w:rPr>
                <w:b w:val="0"/>
                <w:sz w:val="18"/>
              </w:rPr>
              <w:t>99.9%</w:t>
            </w:r>
          </w:p>
        </w:tc>
        <w:tc>
          <w:tcPr>
            <w:tcW w:type="dxa" w:w="2556"/>
            <w:vAlign w:val="center"/>
          </w:tcPr>
          <w:p>
            <w:r>
              <w:rPr>
                <w:b w:val="0"/>
                <w:sz w:val="18"/>
              </w:rPr>
              <w:t>20.1%</w:t>
            </w:r>
          </w:p>
        </w:tc>
      </w:tr>
      <w:tr>
        <w:tc>
          <w:tcPr>
            <w:tcW w:type="dxa" w:w="2556"/>
            <w:vAlign w:val="center"/>
          </w:tcPr>
          <w:p>
            <w:r>
              <w:rPr>
                <w:b w:val="0"/>
                <w:sz w:val="18"/>
              </w:rPr>
              <w:t>0.30</w:t>
            </w:r>
          </w:p>
        </w:tc>
        <w:tc>
          <w:tcPr>
            <w:tcW w:type="dxa" w:w="2556"/>
            <w:vAlign w:val="center"/>
          </w:tcPr>
          <w:p>
            <w:r>
              <w:rPr>
                <w:b w:val="0"/>
                <w:sz w:val="18"/>
              </w:rPr>
              <w:t>11.8%</w:t>
            </w:r>
          </w:p>
        </w:tc>
        <w:tc>
          <w:tcPr>
            <w:tcW w:type="dxa" w:w="2556"/>
            <w:vAlign w:val="center"/>
          </w:tcPr>
          <w:p>
            <w:r>
              <w:rPr>
                <w:b w:val="0"/>
                <w:sz w:val="18"/>
              </w:rPr>
              <w:t>96.9%</w:t>
            </w:r>
          </w:p>
        </w:tc>
        <w:tc>
          <w:tcPr>
            <w:tcW w:type="dxa" w:w="2556"/>
            <w:vAlign w:val="center"/>
          </w:tcPr>
          <w:p>
            <w:r>
              <w:rPr>
                <w:b w:val="0"/>
                <w:sz w:val="18"/>
              </w:rPr>
              <w:t>21.0%</w:t>
            </w:r>
          </w:p>
        </w:tc>
      </w:tr>
      <w:tr>
        <w:tc>
          <w:tcPr>
            <w:tcW w:type="dxa" w:w="2556"/>
            <w:vAlign w:val="center"/>
          </w:tcPr>
          <w:p>
            <w:r>
              <w:rPr>
                <w:b w:val="0"/>
                <w:sz w:val="18"/>
              </w:rPr>
              <w:t>0.40</w:t>
            </w:r>
          </w:p>
        </w:tc>
        <w:tc>
          <w:tcPr>
            <w:tcW w:type="dxa" w:w="2556"/>
            <w:vAlign w:val="center"/>
          </w:tcPr>
          <w:p>
            <w:r>
              <w:rPr>
                <w:b w:val="0"/>
                <w:sz w:val="18"/>
              </w:rPr>
              <w:t>14.4%</w:t>
            </w:r>
          </w:p>
        </w:tc>
        <w:tc>
          <w:tcPr>
            <w:tcW w:type="dxa" w:w="2556"/>
            <w:vAlign w:val="center"/>
          </w:tcPr>
          <w:p>
            <w:r>
              <w:rPr>
                <w:b w:val="0"/>
                <w:sz w:val="18"/>
              </w:rPr>
              <w:t>81.5%</w:t>
            </w:r>
          </w:p>
        </w:tc>
        <w:tc>
          <w:tcPr>
            <w:tcW w:type="dxa" w:w="2556"/>
            <w:vAlign w:val="center"/>
          </w:tcPr>
          <w:p>
            <w:r>
              <w:rPr>
                <w:b w:val="0"/>
                <w:sz w:val="18"/>
              </w:rPr>
              <w:t>24.4%</w:t>
            </w:r>
          </w:p>
        </w:tc>
      </w:tr>
      <w:tr>
        <w:tc>
          <w:tcPr>
            <w:tcW w:type="dxa" w:w="2556"/>
            <w:vAlign w:val="center"/>
          </w:tcPr>
          <w:p>
            <w:r>
              <w:rPr>
                <w:b w:val="0"/>
                <w:sz w:val="18"/>
              </w:rPr>
              <w:t>0.50</w:t>
            </w:r>
          </w:p>
        </w:tc>
        <w:tc>
          <w:tcPr>
            <w:tcW w:type="dxa" w:w="2556"/>
            <w:vAlign w:val="center"/>
          </w:tcPr>
          <w:p>
            <w:r>
              <w:rPr>
                <w:b w:val="0"/>
                <w:sz w:val="18"/>
              </w:rPr>
              <w:t>19.3%</w:t>
            </w:r>
          </w:p>
        </w:tc>
        <w:tc>
          <w:tcPr>
            <w:tcW w:type="dxa" w:w="2556"/>
            <w:vAlign w:val="center"/>
          </w:tcPr>
          <w:p>
            <w:r>
              <w:rPr>
                <w:b w:val="0"/>
                <w:sz w:val="18"/>
              </w:rPr>
              <w:t>47.4%</w:t>
            </w:r>
          </w:p>
        </w:tc>
        <w:tc>
          <w:tcPr>
            <w:tcW w:type="dxa" w:w="2556"/>
            <w:vAlign w:val="center"/>
          </w:tcPr>
          <w:p>
            <w:r>
              <w:rPr>
                <w:b w:val="0"/>
                <w:sz w:val="18"/>
              </w:rPr>
              <w:t>27.5%</w:t>
            </w:r>
          </w:p>
        </w:tc>
      </w:tr>
      <w:tr>
        <w:tc>
          <w:tcPr>
            <w:tcW w:type="dxa" w:w="2556"/>
            <w:vAlign w:val="center"/>
          </w:tcPr>
          <w:p>
            <w:r>
              <w:rPr>
                <w:b w:val="0"/>
                <w:sz w:val="18"/>
              </w:rPr>
              <w:t>0.60</w:t>
            </w:r>
          </w:p>
        </w:tc>
        <w:tc>
          <w:tcPr>
            <w:tcW w:type="dxa" w:w="2556"/>
            <w:vAlign w:val="center"/>
          </w:tcPr>
          <w:p>
            <w:r>
              <w:rPr>
                <w:b w:val="0"/>
                <w:sz w:val="18"/>
              </w:rPr>
              <w:t>26.4%</w:t>
            </w:r>
          </w:p>
        </w:tc>
        <w:tc>
          <w:tcPr>
            <w:tcW w:type="dxa" w:w="2556"/>
            <w:vAlign w:val="center"/>
          </w:tcPr>
          <w:p>
            <w:r>
              <w:rPr>
                <w:b w:val="0"/>
                <w:sz w:val="18"/>
              </w:rPr>
              <w:t>13.8%</w:t>
            </w:r>
          </w:p>
        </w:tc>
        <w:tc>
          <w:tcPr>
            <w:tcW w:type="dxa" w:w="2556"/>
            <w:vAlign w:val="center"/>
          </w:tcPr>
          <w:p>
            <w:r>
              <w:rPr>
                <w:b w:val="0"/>
                <w:sz w:val="18"/>
              </w:rPr>
              <w:t>18.1%</w:t>
            </w:r>
          </w:p>
        </w:tc>
      </w:tr>
      <w:tr>
        <w:tc>
          <w:tcPr>
            <w:tcW w:type="dxa" w:w="2556"/>
            <w:vAlign w:val="center"/>
          </w:tcPr>
          <w:p>
            <w:r>
              <w:rPr>
                <w:b w:val="0"/>
                <w:sz w:val="18"/>
              </w:rPr>
              <w:t>0.70</w:t>
            </w:r>
          </w:p>
        </w:tc>
        <w:tc>
          <w:tcPr>
            <w:tcW w:type="dxa" w:w="2556"/>
            <w:vAlign w:val="center"/>
          </w:tcPr>
          <w:p>
            <w:r>
              <w:rPr>
                <w:b w:val="0"/>
                <w:sz w:val="18"/>
              </w:rPr>
              <w:t>52.5%</w:t>
            </w:r>
          </w:p>
        </w:tc>
        <w:tc>
          <w:tcPr>
            <w:tcW w:type="dxa" w:w="2556"/>
            <w:vAlign w:val="center"/>
          </w:tcPr>
          <w:p>
            <w:r>
              <w:rPr>
                <w:b w:val="0"/>
                <w:sz w:val="18"/>
              </w:rPr>
              <w:t>2.3%</w:t>
            </w:r>
          </w:p>
        </w:tc>
        <w:tc>
          <w:tcPr>
            <w:tcW w:type="dxa" w:w="2556"/>
            <w:vAlign w:val="center"/>
          </w:tcPr>
          <w:p>
            <w:r>
              <w:rPr>
                <w:b w:val="0"/>
                <w:sz w:val="18"/>
              </w:rPr>
              <w:t>4.4%</w:t>
            </w:r>
          </w:p>
        </w:tc>
      </w:tr>
    </w:tbl>
    <w:p/>
    <w:p>
      <w:r>
        <w:t>The tested threshold of 0.50 produced the highest F1-score among the six tested thresholds. At 0.20, recall increased to 99.9% but precision fell to 11.2%. At 0.70, precision increased to 52.5% but recall fell to 2.3%. This demonstrates why an operational threshold should be selected according to the consequences of false positives and false negatives rather than using 0.50 automatically.</w:t>
      </w:r>
    </w:p>
    <w:p>
      <w:pPr>
        <w:pStyle w:val="Heading1"/>
      </w:pPr>
      <w:r>
        <w:t>13. Model Interpretability: Permutation Importance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Feature</w:t>
            </w:r>
          </w:p>
        </w:tc>
        <w:tc>
          <w:tcPr>
            <w:tcW w:type="dxa" w:w="5112"/>
            <w:shd w:fill="D9EAF7"/>
          </w:tcPr>
          <w:p>
            <w:r>
              <w:rPr>
                <w:b/>
                <w:sz w:val="18"/>
              </w:rPr>
              <w:t>Mean permutation importance</w:t>
            </w:r>
          </w:p>
        </w:tc>
      </w:tr>
      <w:tr>
        <w:tc>
          <w:tcPr>
            <w:tcW w:type="dxa" w:w="5112"/>
            <w:vAlign w:val="center"/>
          </w:tcPr>
          <w:p>
            <w:r>
              <w:rPr>
                <w:b w:val="0"/>
                <w:sz w:val="18"/>
              </w:rPr>
              <w:t>number_inpatient</w:t>
            </w:r>
          </w:p>
        </w:tc>
        <w:tc>
          <w:tcPr>
            <w:tcW w:type="dxa" w:w="5112"/>
            <w:vAlign w:val="center"/>
          </w:tcPr>
          <w:p>
            <w:r>
              <w:rPr>
                <w:b w:val="0"/>
                <w:sz w:val="18"/>
              </w:rPr>
              <w:t>0.073897</w:t>
            </w:r>
          </w:p>
        </w:tc>
      </w:tr>
      <w:tr>
        <w:tc>
          <w:tcPr>
            <w:tcW w:type="dxa" w:w="5112"/>
            <w:vAlign w:val="center"/>
          </w:tcPr>
          <w:p>
            <w:r>
              <w:rPr>
                <w:b w:val="0"/>
                <w:sz w:val="18"/>
              </w:rPr>
              <w:t>discharge_disposition_id</w:t>
            </w:r>
          </w:p>
        </w:tc>
        <w:tc>
          <w:tcPr>
            <w:tcW w:type="dxa" w:w="5112"/>
            <w:vAlign w:val="center"/>
          </w:tcPr>
          <w:p>
            <w:r>
              <w:rPr>
                <w:b w:val="0"/>
                <w:sz w:val="18"/>
              </w:rPr>
              <w:t>0.035343</w:t>
            </w:r>
          </w:p>
        </w:tc>
      </w:tr>
      <w:tr>
        <w:tc>
          <w:tcPr>
            <w:tcW w:type="dxa" w:w="5112"/>
            <w:vAlign w:val="center"/>
          </w:tcPr>
          <w:p>
            <w:r>
              <w:rPr>
                <w:b w:val="0"/>
                <w:sz w:val="18"/>
              </w:rPr>
              <w:t>number_diagnoses</w:t>
            </w:r>
          </w:p>
        </w:tc>
        <w:tc>
          <w:tcPr>
            <w:tcW w:type="dxa" w:w="5112"/>
            <w:vAlign w:val="center"/>
          </w:tcPr>
          <w:p>
            <w:r>
              <w:rPr>
                <w:b w:val="0"/>
                <w:sz w:val="18"/>
              </w:rPr>
              <w:t>0.007118</w:t>
            </w:r>
          </w:p>
        </w:tc>
      </w:tr>
      <w:tr>
        <w:tc>
          <w:tcPr>
            <w:tcW w:type="dxa" w:w="5112"/>
            <w:vAlign w:val="center"/>
          </w:tcPr>
          <w:p>
            <w:r>
              <w:rPr>
                <w:b w:val="0"/>
                <w:sz w:val="18"/>
              </w:rPr>
              <w:t>age</w:t>
            </w:r>
          </w:p>
        </w:tc>
        <w:tc>
          <w:tcPr>
            <w:tcW w:type="dxa" w:w="5112"/>
            <w:vAlign w:val="center"/>
          </w:tcPr>
          <w:p>
            <w:r>
              <w:rPr>
                <w:b w:val="0"/>
                <w:sz w:val="18"/>
              </w:rPr>
              <w:t>0.005345</w:t>
            </w:r>
          </w:p>
        </w:tc>
      </w:tr>
      <w:tr>
        <w:tc>
          <w:tcPr>
            <w:tcW w:type="dxa" w:w="5112"/>
            <w:vAlign w:val="center"/>
          </w:tcPr>
          <w:p>
            <w:r>
              <w:rPr>
                <w:b w:val="0"/>
                <w:sz w:val="18"/>
              </w:rPr>
              <w:t>time_in_hospital</w:t>
            </w:r>
          </w:p>
        </w:tc>
        <w:tc>
          <w:tcPr>
            <w:tcW w:type="dxa" w:w="5112"/>
            <w:vAlign w:val="center"/>
          </w:tcPr>
          <w:p>
            <w:r>
              <w:rPr>
                <w:b w:val="0"/>
                <w:sz w:val="18"/>
              </w:rPr>
              <w:t>0.005195</w:t>
            </w:r>
          </w:p>
        </w:tc>
      </w:tr>
    </w:tbl>
    <w:p/>
    <w:p>
      <w:r>
        <w:t>number_inpatient was the most influential original feature in the permutation-importance analysis. Its mean importance was 0.073897, compared with 0.035343 for discharge_disposition_id. Permutation importance describes model behaviour: it does not mean that a feature causes readmission or that its importance is a clinical effect size.</w:t>
      </w:r>
    </w:p>
    <w:p>
      <w:pPr>
        <w:pStyle w:val="Heading1"/>
      </w:pPr>
      <w:r>
        <w:t>14. Strategic Recommendations</w:t>
      </w:r>
    </w:p>
    <w:p>
      <w:r>
        <w:rPr>
          <w:b/>
        </w:rPr>
        <w:t xml:space="preserve">Use risk prediction as decision support: </w:t>
      </w:r>
      <w:r>
        <w:t>A model should support prioritization for review rather than automatically determine clinical action.</w:t>
      </w:r>
    </w:p>
    <w:p>
      <w:r>
        <w:rPr>
          <w:b/>
        </w:rPr>
        <w:t xml:space="preserve">Evaluate thresholds according to workload: </w:t>
      </w:r>
      <w:r>
        <w:t>Lower thresholds can capture more potential cases but may create many additional alerts. The threshold should be tested against the capacity of the intended follow-up team.</w:t>
      </w:r>
    </w:p>
    <w:p>
      <w:r>
        <w:rPr>
          <w:b/>
        </w:rPr>
        <w:t xml:space="preserve">Prioritize validation of utilization history: </w:t>
      </w:r>
      <w:r>
        <w:t>number_inpatient was both the strongest selected numerical association in EDA and the highest permutation-importance feature. Its predictive usefulness should therefore be examined in future validation.</w:t>
      </w:r>
    </w:p>
    <w:p>
      <w:r>
        <w:rPr>
          <w:b/>
        </w:rPr>
        <w:t xml:space="preserve">Track precision and recall together: </w:t>
      </w:r>
      <w:r>
        <w:t>Operational dashboards should report false positives and false negatives rather than relying on accuracy alone.</w:t>
      </w:r>
    </w:p>
    <w:p>
      <w:r>
        <w:rPr>
          <w:b/>
        </w:rPr>
        <w:t xml:space="preserve">Perform subgroup and fairness checks: </w:t>
      </w:r>
      <w:r>
        <w:t>Performance should be examined across relevant demographic groups before any deployment decision.</w:t>
      </w:r>
    </w:p>
    <w:p>
      <w:r>
        <w:rPr>
          <w:b/>
        </w:rPr>
        <w:t xml:space="preserve">Use contemporary and external validation data: </w:t>
      </w:r>
      <w:r>
        <w:t>The dataset represents 1999–2008 encounters. Current clinical workflows may differ substantially, so modern external validation is necessary.</w:t>
      </w:r>
    </w:p>
    <w:p>
      <w:r>
        <w:rPr>
          <w:b/>
        </w:rPr>
        <w:t xml:space="preserve">Assess calibration before operational use: </w:t>
      </w:r>
      <w:r>
        <w:t>If predicted probabilities are used for prioritization, calibration should be assessed so that risk scores are meaningful.</w:t>
      </w:r>
    </w:p>
    <w:p>
      <w:pPr>
        <w:pStyle w:val="Heading1"/>
      </w:pPr>
      <w:r>
        <w:t>15. Limitations and Risk Assessment</w:t>
      </w:r>
    </w:p>
    <w:p>
      <w:pPr>
        <w:pStyle w:val="ListBullet"/>
      </w:pPr>
      <w:r>
        <w:t>Historical data may not represent current clinical practice.</w:t>
      </w:r>
    </w:p>
    <w:p>
      <w:pPr>
        <w:pStyle w:val="ListBullet"/>
      </w:pPr>
      <w:r>
        <w:t>The positive class is relatively uncommon, making accuracy potentially misleading.</w:t>
      </w:r>
    </w:p>
    <w:p>
      <w:pPr>
        <w:pStyle w:val="ListBullet"/>
      </w:pPr>
      <w:r>
        <w:t>Missingness may contain information rather than being completely random.</w:t>
      </w:r>
    </w:p>
    <w:p>
      <w:pPr>
        <w:pStyle w:val="ListBullet"/>
      </w:pPr>
      <w:r>
        <w:t>Hospital-specific processes can affect utilization and readmission patterns.</w:t>
      </w:r>
    </w:p>
    <w:p>
      <w:pPr>
        <w:pStyle w:val="ListBullet"/>
      </w:pPr>
      <w:r>
        <w:t>Pairwise correlation does not establish causation.</w:t>
      </w:r>
    </w:p>
    <w:p>
      <w:pPr>
        <w:pStyle w:val="ListBullet"/>
      </w:pPr>
      <w:r>
        <w:t>Model performance on one historical dataset does not establish generalizability.</w:t>
      </w:r>
    </w:p>
    <w:p>
      <w:pPr>
        <w:pStyle w:val="ListBullet"/>
      </w:pPr>
      <w:r>
        <w:t>False positives may create unnecessary review workload, while false negatives may miss potentially useful follow-up opportunities.</w:t>
      </w:r>
    </w:p>
    <w:p>
      <w:pPr>
        <w:pStyle w:val="ListBullet"/>
      </w:pPr>
      <w:r>
        <w:t>Real-world use would require privacy controls, governance, fairness evaluation, external validation, clinical review and human oversight.</w:t>
      </w:r>
    </w:p>
    <w:p>
      <w:pPr>
        <w:pStyle w:val="Heading1"/>
      </w:pPr>
      <w:r>
        <w:t>16. Final Evaluation</w:t>
      </w:r>
    </w:p>
    <w:p>
      <w:r>
        <w:t>The project successfully connects the full healthcare analytics lifecycle. The cleaning stage established a reproducible preparation process; EDA converted raw records into numerical and visual evidence; modelling translated selected variables into predictive algorithms; and evaluation exposed the trade-offs hidden by accuracy alone. The Random Forest model is the preferred model for this project under the selected comparison criteria, but its recall remains below that of Logistic Regression at the default threshold. Therefore, the model should be treated as a research prototype requiring further validation rather than as a ready-to-deploy clinical system.</w:t>
      </w:r>
    </w:p>
    <w:p>
      <w:pPr>
        <w:pStyle w:val="Heading1"/>
      </w:pPr>
      <w:r>
        <w:t>17. Reproducibility and GitHub Deliverables</w:t>
      </w:r>
    </w:p>
    <w:p>
      <w:r>
        <w:t>The project repository should contain the following core artefacts:</w:t>
      </w:r>
    </w:p>
    <w:p>
      <w:pPr>
        <w:pStyle w:val="ListBullet"/>
      </w:pPr>
      <w:r>
        <w:t>README.md — project overview, objectives, dataset and key findings.</w:t>
      </w:r>
    </w:p>
    <w:p>
      <w:pPr>
        <w:pStyle w:val="ListBullet"/>
      </w:pPr>
      <w:r>
        <w:t>01_data_cleaning.ipynb — executed cleaning and preprocessing analysis.</w:t>
      </w:r>
    </w:p>
    <w:p>
      <w:pPr>
        <w:pStyle w:val="ListBullet"/>
      </w:pPr>
      <w:r>
        <w:t>02_eda_visualization.ipynb — executed numerical EDA, graphs, correlation matrix and heatmap.</w:t>
      </w:r>
    </w:p>
    <w:p>
      <w:pPr>
        <w:pStyle w:val="ListBullet"/>
      </w:pPr>
      <w:r>
        <w:t>03_predictive_modeling.ipynb — executed modelling, evaluation, threshold and importance analysis.</w:t>
      </w:r>
    </w:p>
    <w:p>
      <w:pPr>
        <w:pStyle w:val="ListBullet"/>
      </w:pPr>
      <w:r>
        <w:t>Week 1–5 DOC reports — written methodology and final evaluation.</w:t>
      </w:r>
    </w:p>
    <w:p>
      <w:pPr>
        <w:pStyle w:val="ListBullet"/>
      </w:pPr>
      <w:r>
        <w:t>requirements.txt — Python dependencies.</w:t>
      </w:r>
    </w:p>
    <w:p>
      <w:pPr>
        <w:pStyle w:val="ListBullet"/>
      </w:pPr>
      <w:r>
        <w:t>data_cleaning.py — reusable cleaning logic.</w:t>
      </w:r>
    </w:p>
    <w:p>
      <w:pPr>
        <w:pStyle w:val="ListBullet"/>
      </w:pPr>
      <w:r>
        <w:t>week4_predictive_modeling_flowchart.png — modelling workflow visual.</w:t>
      </w:r>
    </w:p>
    <w:p>
      <w:pPr>
        <w:pStyle w:val="Heading1"/>
      </w:pPr>
      <w:r>
        <w:t>18. Final Conclusion</w:t>
      </w:r>
    </w:p>
    <w:p>
      <w:r>
        <w:t>The analysis demonstrates how healthcare data can be transformed from raw encounter records into structured evidence for a predictive decision-support problem. The strongest overall Random Forest result was 72.06% accuracy, 19.34% precision, 47.42% recall, 27.47% F1-score, 0.6671 ROC-AUC and 0.2124 PR-AUC. These figures must be interpreted alongside the confusion matrix and threshold analysis. The project therefore concludes that machine learning can provide useful exploratory and predictive signals in this dataset, but further data validation, calibration, fairness testing, external validation and clinical evaluation are essential before any real-world deployment.</w:t>
      </w:r>
    </w:p>
    <w:p>
      <w:pPr>
        <w:pStyle w:val="Heading1"/>
      </w:pPr>
      <w:r>
        <w:t>Appendix A — Key Python Implementation Pattern</w:t>
      </w:r>
    </w:p>
    <w:p>
      <w:pPr/>
      <w:r>
        <w:rPr>
          <w:rFonts w:ascii="Consolas" w:hAnsi="Consolas"/>
          <w:sz w:val="16"/>
        </w:rPr>
        <w:t># Train/test split</w:t>
        <w:br/>
        <w:t>X_train, X_test, y_train, y_test = train_test_split(</w:t>
        <w:br/>
        <w:t xml:space="preserve">    X, y, test_size=0.20, stratify=y, random_state=42</w:t>
        <w:br/>
        <w:t>)</w:t>
        <w:br/>
        <w:br/>
        <w:t># Preprocessing + model</w:t>
        <w:br/>
        <w:t>model = Pipeline(steps=[</w:t>
        <w:br/>
        <w:t xml:space="preserve">    ('preprocessor', preprocessor),</w:t>
        <w:br/>
        <w:t xml:space="preserve">    ('classifier', RandomForestClassifier(</w:t>
        <w:br/>
        <w:t xml:space="preserve">        n_estimators=250,</w:t>
        <w:br/>
        <w:t xml:space="preserve">        max_depth=12,</w:t>
        <w:br/>
        <w:t xml:space="preserve">        min_samples_leaf=5,</w:t>
        <w:br/>
        <w:t xml:space="preserve">        class_weight='balanced',</w:t>
        <w:br/>
        <w:t xml:space="preserve">        random_state=42,</w:t>
        <w:br/>
        <w:t xml:space="preserve">        n_jobs=-1</w:t>
        <w:br/>
        <w:t xml:space="preserve">    ))</w:t>
        <w:br/>
        <w:t>])</w:t>
        <w:br/>
        <w:br/>
        <w:t>model.fit(X_train, y_train)</w:t>
        <w:br/>
        <w:t>probability = model.predict_proba(X_test)[:, 1]</w:t>
        <w:br/>
        <w:t>prediction = (probability &gt;= 0.50).astype(int)</w:t>
        <w:br/>
        <w:br/>
        <w:t># Evaluation</w:t>
        <w:br/>
        <w:t>print(accuracy_score(y_test, prediction))</w:t>
        <w:br/>
        <w:t>print(precision_score(y_test, prediction))</w:t>
        <w:br/>
        <w:t>print(recall_score(y_test, prediction))</w:t>
        <w:br/>
        <w:t>print(f1_score(y_test, prediction))</w:t>
        <w:br/>
        <w:t>print(roc_auc_score(y_test, probability))</w:t>
        <w:br/>
        <w:t>print(average_precision_score(y_test, probability))</w:t>
      </w:r>
    </w:p>
    <w:p>
      <w:pPr>
        <w:pStyle w:val="Heading1"/>
      </w:pPr>
      <w:r>
        <w:t>Appendix B — Evidence Writing Rule</w:t>
      </w:r>
    </w:p>
    <w:p>
      <w:r>
        <w:t>For every visualization, report the numerical evidence first or alongside the visual observation. For every model result, report the metric, explain what it measures, and identify the relevant trade-off. Avoid causal wording such as 'this variable causes readmission' unless a causal study design supports 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