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KaiTi"/>
        </w:rPr>
        <w:t>Video Editing and Post Production Agreement</w:t>
      </w:r>
    </w:p>
    <w:p>
      <w:pPr>
        <w:spacing w:after="80"/>
      </w:pPr>
      <w:r>
        <w:rPr>
          <w:rFonts w:ascii="Times New Roman" w:hAnsi="Times New Roman" w:eastAsia="KaiTi"/>
        </w:rPr>
        <w:t>Parties</w:t>
      </w:r>
    </w:p>
    <w:p>
      <w:pPr>
        <w:jc w:val="right"/>
      </w:pPr>
      <w:r>
        <w:rPr>
          <w:rFonts w:ascii="Times New Roman" w:hAnsi="Times New Roman" w:eastAsia="KaiTi"/>
        </w:rPr>
        <w:t>Client [legal name] (referred to as Party A)</w:t>
      </w:r>
    </w:p>
    <w:p>
      <w:pPr>
        <w:jc w:val="right"/>
      </w:pPr>
      <w:r>
        <w:rPr>
          <w:rFonts w:ascii="Times New Roman" w:hAnsi="Times New Roman" w:eastAsia="KaiTi"/>
        </w:rPr>
        <w:t>Editor [legal name] (referred to as Party B)</w:t>
      </w:r>
    </w:p>
    <w:p>
      <w:pPr>
        <w:spacing w:before="280"/>
      </w:pPr>
      <w:r>
        <w:rPr>
          <w:rFonts w:ascii="Times New Roman" w:hAnsi="Times New Roman" w:eastAsia="KaiTi"/>
        </w:rPr>
        <w:t>The parties agree to the following terms governing the engagement described below.</w:t>
      </w:r>
    </w:p>
    <w:p>
      <w:pPr>
        <w:pStyle w:val="Heading1"/>
      </w:pPr>
      <w:r>
        <w:rPr>
          <w:rFonts w:ascii="Times New Roman" w:hAnsi="Times New Roman" w:eastAsia="KaiTi"/>
        </w:rPr>
        <w:t>Article 1 Scope of Engagement</w:t>
      </w:r>
    </w:p>
    <w:p>
      <w:pPr>
        <w:keepLines/>
        <w:numPr>
          <w:ilvl w:val="0"/>
          <w:numId w:val="10"/>
        </w:numPr>
        <w:ind w:left="567" w:hanging="340"/>
      </w:pPr>
      <w:r>
        <w:rPr>
          <w:rFonts w:ascii="Times New Roman" w:hAnsi="Times New Roman" w:eastAsia="KaiTi"/>
        </w:rPr>
        <w:t>Edit client-supplied [footage length] into [deliverables, duration, formats and versions]. Include [color, audio, captions and revision rounds]. Client supplies organized, usable and cleared materials by [date]; extra footage, VFX and new cuts require approval.</w:t>
      </w:r>
    </w:p>
    <w:p>
      <w:pPr>
        <w:pStyle w:val="Heading1"/>
      </w:pPr>
      <w:r>
        <w:rPr>
          <w:rFonts w:ascii="Times New Roman" w:hAnsi="Times New Roman" w:eastAsia="KaiTi"/>
        </w:rPr>
        <w:t>Article 2 Term and Schedule</w:t>
      </w:r>
    </w:p>
    <w:p>
      <w:pPr>
        <w:keepLines/>
        <w:numPr>
          <w:ilvl w:val="0"/>
          <w:numId w:val="11"/>
        </w:numPr>
        <w:ind w:left="567" w:hanging="340"/>
      </w:pPr>
      <w:r>
        <w:rPr>
          <w:rFonts w:ascii="Times New Roman" w:hAnsi="Times New Roman" w:eastAsia="KaiTi"/>
        </w:rPr>
        <w:t>First cut [date], feedback [days], final [date]. Late source files or feedback require a mutually revised schedule.</w:t>
      </w:r>
    </w:p>
    <w:p>
      <w:pPr>
        <w:pStyle w:val="Heading1"/>
      </w:pPr>
      <w:r>
        <w:rPr>
          <w:rFonts w:ascii="Times New Roman" w:hAnsi="Times New Roman" w:eastAsia="KaiTi"/>
        </w:rPr>
        <w:t>Article 3 Performance Review and Acceptance</w:t>
      </w:r>
    </w:p>
    <w:p>
      <w:pPr>
        <w:keepLines/>
        <w:numPr>
          <w:ilvl w:val="0"/>
          <w:numId w:val="12"/>
        </w:numPr>
        <w:ind w:left="567" w:hanging="340"/>
      </w:pPr>
      <w:r>
        <w:rPr>
          <w:rFonts w:ascii="Times New Roman" w:hAnsi="Times New Roman" w:eastAsia="KaiTi"/>
        </w:rPr>
        <w:t>Check technical export and agreed edit brief within [days]. Provide consolidated timecoded notes; changes to an approved structure beyond included rounds are extra.</w:t>
      </w:r>
    </w:p>
    <w:p>
      <w:pPr>
        <w:pStyle w:val="Heading1"/>
      </w:pPr>
      <w:r>
        <w:rPr>
          <w:rFonts w:ascii="Times New Roman" w:hAnsi="Times New Roman" w:eastAsia="KaiTi"/>
        </w:rPr>
        <w:t>Article 4 Fees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Pricing method [fixed fee / per item / commission / other], with calculation basis [details].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Fee excluding tax [amount and currency]; tax rate or treatment [details]; tax [amount]; total including tax [amount].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Additional expenses require prior written approval. Items, limits and supporting records: [terms].</w:t>
      </w:r>
    </w:p>
    <w:p>
      <w:pPr>
        <w:pStyle w:val="Heading1"/>
        <w:pageBreakBefore/>
      </w:pPr>
      <w:r>
        <w:rPr>
          <w:rFonts w:ascii="Times New Roman" w:hAnsi="Times New Roman" w:eastAsia="KaiTi"/>
        </w:rPr>
        <w:t>Article 5 Payment Method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Payer [Party A / Party B / other], payee [name]. Deposit or first installment [amount and date]; balance or recurring settlement [calculation, conditions and deadline].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Payment by [bank transfer / other]. Invoicing, withholding and transfer fees: [agreed allocation].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Raise invoice disputes in writing within [days]; pay undisputed sums on time. For overdue payment, allow [days] after written notice before pausing work; agree any late fee and revised schedule in writing, subject to applicable law.</w:t>
      </w:r>
    </w:p>
    <w:p>
      <w:pPr>
        <w:ind w:left="567"/>
      </w:pPr>
      <w:r>
        <w:rPr>
          <w:rFonts w:ascii="Times New Roman" w:hAnsi="Times New Roman" w:eastAsia="KaiTi"/>
        </w:rPr>
        <w:t>Bank and branch [details]   Bank or routing code [details]</w:t>
        <w:br/>
        <w:t>Account holder [name]   Account number [details]</w:t>
      </w:r>
    </w:p>
    <w:p>
      <w:pPr>
        <w:pStyle w:val="Heading1"/>
      </w:pPr>
      <w:r>
        <w:rPr>
          <w:rFonts w:ascii="Times New Roman" w:hAnsi="Times New Roman" w:eastAsia="KaiTi"/>
        </w:rPr>
        <w:t>Article 6 Source Materials and Project Files</w:t>
      </w:r>
    </w:p>
    <w:p>
      <w:pPr>
        <w:keepLines/>
        <w:numPr>
          <w:ilvl w:val="0"/>
          <w:numId w:val="15"/>
        </w:numPr>
        <w:ind w:left="567" w:hanging="340"/>
      </w:pPr>
      <w:r>
        <w:rPr>
          <w:rFonts w:ascii="Times New Roman" w:hAnsi="Times New Roman" w:eastAsia="KaiTi"/>
        </w:rPr>
        <w:t>Client warrants rights to supplied footage, music and releases. Final-edit license or assignment: [terms and payment trigger]. Editor tools remain theirs; editable project files and third-party asset licenses are included only if listed. Source retention [days], then agreed deletion or paid archive.</w:t>
      </w:r>
    </w:p>
    <w:p>
      <w:pPr>
        <w:pStyle w:val="Heading1"/>
      </w:pPr>
      <w:r>
        <w:rPr>
          <w:rFonts w:ascii="Times New Roman" w:hAnsi="Times New Roman" w:eastAsia="KaiTi"/>
        </w:rPr>
        <w:t>Article 7 Cancellation and Termination</w:t>
      </w:r>
    </w:p>
    <w:p>
      <w:pPr>
        <w:keepLines/>
        <w:numPr>
          <w:ilvl w:val="0"/>
          <w:numId w:val="16"/>
        </w:numPr>
        <w:ind w:left="567" w:hanging="340"/>
      </w:pPr>
      <w:r>
        <w:rPr>
          <w:rFonts w:ascii="Times New Roman" w:hAnsi="Times New Roman" w:eastAsia="KaiTi"/>
        </w:rPr>
        <w:t>Cancellation notice [days]. Payment for completed work, approved non-refundable costs and any deposit refund follow [explicit calculation]. For events beyond reasonable control, promptly notify and agree rescheduling or termination and cost allocation. Material breach may be terminated after [days] written notice and opportunity to cure. Delivery and license consequences of termination: [terms].</w:t>
      </w:r>
    </w:p>
    <w:p>
      <w:pPr>
        <w:pStyle w:val="Heading1"/>
      </w:pPr>
      <w:r>
        <w:rPr>
          <w:rFonts w:ascii="Times New Roman" w:hAnsi="Times New Roman" w:eastAsia="KaiTi"/>
        </w:rPr>
        <w:t>Article 8 Confidentiality and Disputes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Use non-public pricing, personal data and engagement information only to perform this agreement, except disclosures required by law.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Liability allocation and reasonable cap [complete], without excluding liability that cannot lawfully be limited.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Governing law [jurisdiction]; dispute process and forum [complete].</w:t>
      </w:r>
    </w:p>
    <w:p>
      <w:pPr>
        <w:pStyle w:val="Heading1"/>
      </w:pPr>
      <w:r>
        <w:rPr>
          <w:rFonts w:ascii="Times New Roman" w:hAnsi="Times New Roman" w:eastAsia="KaiTi"/>
        </w:rPr>
        <w:t>Article 9 Other Provisions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Attachments [list] form part of this agreement; precedence if terms conflict [order].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Changes require both parties’ written agreement. Send notices to the email or address in the execution page; receipt is confirmed by [method].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Each party confirms authority to sign and permission to supply its materials. Prepare [number] counterparts; sign by [wet ink / electronic signature / other].</w:t>
      </w:r>
    </w:p>
    <w:p>
      <w:pPr>
        <w:pStyle w:val="Heading1"/>
        <w:pageBreakBefore/>
      </w:pPr>
      <w:r>
        <w:rPr>
          <w:rFonts w:ascii="Times New Roman" w:hAnsi="Times New Roman" w:eastAsia="KaiTi"/>
        </w:rPr>
        <w:t>Execution by the Parties</w:t>
      </w:r>
    </w:p>
    <w:p>
      <w:pPr>
        <w:spacing w:before="320"/>
      </w:pPr>
      <w:r>
        <w:rPr>
          <w:rFonts w:ascii="Times New Roman" w:hAnsi="Times New Roman" w:eastAsia="KaiTi"/>
          <w:b/>
        </w:rPr>
        <w:t>Party A  Client</w:t>
      </w:r>
    </w:p>
    <w:p>
      <w:r>
        <w:rPr>
          <w:rFonts w:ascii="Times New Roman" w:hAnsi="Times New Roman" w:eastAsia="KaiTi"/>
        </w:rPr>
        <w:t>Legal name [complete]</w:t>
      </w:r>
    </w:p>
    <w:p>
      <w:r>
        <w:rPr>
          <w:rFonts w:ascii="Times New Roman" w:hAnsi="Times New Roman" w:eastAsia="KaiTi"/>
        </w:rPr>
        <w:t>Responsible person or authorized representative [name and title]</w:t>
      </w:r>
    </w:p>
    <w:p>
      <w:r>
        <w:rPr>
          <w:rFonts w:ascii="Times New Roman" w:hAnsi="Times New Roman" w:eastAsia="KaiTi"/>
        </w:rPr>
        <w:t>Address [complete]</w:t>
      </w:r>
    </w:p>
    <w:p>
      <w:r>
        <w:rPr>
          <w:rFonts w:ascii="Times New Roman" w:hAnsi="Times New Roman" w:eastAsia="KaiTi"/>
        </w:rPr>
        <w:t>Business or company registration number [if applicable]</w:t>
      </w:r>
    </w:p>
    <w:p>
      <w:r>
        <w:rPr>
          <w:rFonts w:ascii="Times New Roman" w:hAnsi="Times New Roman" w:eastAsia="KaiTi"/>
        </w:rPr>
        <w:t>Contact person [name]</w:t>
      </w:r>
    </w:p>
    <w:p>
      <w:r>
        <w:rPr>
          <w:rFonts w:ascii="Times New Roman" w:hAnsi="Times New Roman" w:eastAsia="KaiTi"/>
        </w:rPr>
        <w:t>Telephone [complete]   Email [complete]</w:t>
      </w:r>
    </w:p>
    <w:p>
      <w:pPr>
        <w:spacing w:before="280"/>
      </w:pPr>
      <w:r>
        <w:rPr>
          <w:rFonts w:ascii="Times New Roman" w:hAnsi="Times New Roman" w:eastAsia="KaiTi"/>
        </w:rPr>
        <w:t>Signature or seal  ______________________________</w:t>
      </w:r>
    </w:p>
    <w:p>
      <w:r>
        <w:rPr>
          <w:rFonts w:ascii="Times New Roman" w:hAnsi="Times New Roman" w:eastAsia="KaiTi"/>
        </w:rPr>
        <w:t>Date signed [year / month / day]</w:t>
      </w:r>
    </w:p>
    <w:p>
      <w:pPr>
        <w:spacing w:before="320"/>
      </w:pPr>
      <w:r>
        <w:rPr>
          <w:rFonts w:ascii="Times New Roman" w:hAnsi="Times New Roman" w:eastAsia="KaiTi"/>
          <w:b/>
        </w:rPr>
        <w:t>Party B  Editor</w:t>
      </w:r>
    </w:p>
    <w:p>
      <w:r>
        <w:rPr>
          <w:rFonts w:ascii="Times New Roman" w:hAnsi="Times New Roman" w:eastAsia="KaiTi"/>
        </w:rPr>
        <w:t>Legal name [complete]</w:t>
      </w:r>
    </w:p>
    <w:p>
      <w:r>
        <w:rPr>
          <w:rFonts w:ascii="Times New Roman" w:hAnsi="Times New Roman" w:eastAsia="KaiTi"/>
        </w:rPr>
        <w:t>Responsible person or authorized representative [name and title]</w:t>
      </w:r>
    </w:p>
    <w:p>
      <w:r>
        <w:rPr>
          <w:rFonts w:ascii="Times New Roman" w:hAnsi="Times New Roman" w:eastAsia="KaiTi"/>
        </w:rPr>
        <w:t>Address [complete]</w:t>
      </w:r>
    </w:p>
    <w:p>
      <w:r>
        <w:rPr>
          <w:rFonts w:ascii="Times New Roman" w:hAnsi="Times New Roman" w:eastAsia="KaiTi"/>
        </w:rPr>
        <w:t>Business or company registration number [if applicable]</w:t>
      </w:r>
    </w:p>
    <w:p>
      <w:r>
        <w:rPr>
          <w:rFonts w:ascii="Times New Roman" w:hAnsi="Times New Roman" w:eastAsia="KaiTi"/>
        </w:rPr>
        <w:t>Contact person [name]</w:t>
      </w:r>
    </w:p>
    <w:p>
      <w:r>
        <w:rPr>
          <w:rFonts w:ascii="Times New Roman" w:hAnsi="Times New Roman" w:eastAsia="KaiTi"/>
        </w:rPr>
        <w:t>Telephone [complete]   Email [complete]</w:t>
      </w:r>
    </w:p>
    <w:p>
      <w:pPr>
        <w:spacing w:before="280"/>
      </w:pPr>
      <w:r>
        <w:rPr>
          <w:rFonts w:ascii="Times New Roman" w:hAnsi="Times New Roman" w:eastAsia="KaiTi"/>
        </w:rPr>
        <w:t>Signature or seal  ______________________________</w:t>
      </w:r>
    </w:p>
    <w:p>
      <w:r>
        <w:rPr>
          <w:rFonts w:ascii="Times New Roman" w:hAnsi="Times New Roman" w:eastAsia="KaiTi"/>
        </w:rPr>
        <w:t>Date signed [year / month / day]</w:t>
      </w:r>
    </w:p>
    <w:p>
      <w:pPr>
        <w:spacing w:before="320"/>
      </w:pPr>
      <w:r>
        <w:rPr>
          <w:rFonts w:ascii="Times New Roman" w:hAnsi="Times New Roman" w:eastAsia="KaiTi"/>
        </w:rPr>
        <w:t>Agreement date [year / month / day]</w:t>
      </w:r>
    </w:p>
    <w:sectPr w:rsidR="00FC693F" w:rsidRPr="0006063C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KaiTi">
    <w:altName w:val="KaiTi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</w:lvl>
  </w:abstractNum>
  <w:num w:numId="10">
    <w:abstractNumId w:val="9"/>
  </w:num>
  <w:abstractNum w:abstractNumId="10">
    <w:lvl w:ilvl="0">
      <w:start w:val="1"/>
      <w:numFmt w:val="decimal"/>
      <w:lvlText w:val="%1."/>
      <w:lvlJc w:val="left"/>
    </w:lvl>
  </w:abstractNum>
  <w:num w:numId="11">
    <w:abstractNumId w:val="10"/>
  </w:num>
  <w:abstractNum w:abstractNumId="11">
    <w:lvl w:ilvl="0">
      <w:start w:val="1"/>
      <w:numFmt w:val="decimal"/>
      <w:lvlText w:val="%1."/>
      <w:lvlJc w:val="left"/>
    </w:lvl>
  </w:abstractNum>
  <w:num w:numId="12">
    <w:abstractNumId w:val="11"/>
  </w:num>
  <w:abstractNum w:abstractNumId="12">
    <w:lvl w:ilvl="0">
      <w:start w:val="1"/>
      <w:numFmt w:val="decimal"/>
      <w:lvlText w:val="%1."/>
      <w:lvlJc w:val="left"/>
    </w:lvl>
  </w:abstractNum>
  <w:num w:numId="13">
    <w:abstractNumId w:val="12"/>
  </w:num>
  <w:abstractNum w:abstractNumId="13">
    <w:lvl w:ilvl="0">
      <w:start w:val="1"/>
      <w:numFmt w:val="decimal"/>
      <w:lvlText w:val="%1."/>
      <w:lvlJc w:val="left"/>
    </w:lvl>
  </w:abstractNum>
  <w:num w:numId="14">
    <w:abstractNumId w:val="13"/>
  </w:num>
  <w:abstractNum w:abstractNumId="14">
    <w:lvl w:ilvl="0">
      <w:start w:val="1"/>
      <w:numFmt w:val="decimal"/>
      <w:lvlText w:val="%1."/>
      <w:lvlJc w:val="left"/>
    </w:lvl>
  </w:abstractNum>
  <w:num w:numId="15">
    <w:abstractNumId w:val="14"/>
  </w:num>
  <w:abstractNum w:abstractNumId="15">
    <w:lvl w:ilvl="0">
      <w:start w:val="1"/>
      <w:numFmt w:val="decimal"/>
      <w:lvlText w:val="%1."/>
      <w:lvlJc w:val="left"/>
    </w:lvl>
  </w:abstractNum>
  <w:num w:numId="16">
    <w:abstractNumId w:val="15"/>
  </w:num>
  <w:abstractNum w:abstractNumId="16">
    <w:lvl w:ilvl="0">
      <w:start w:val="1"/>
      <w:numFmt w:val="decimal"/>
      <w:lvlText w:val="%1."/>
      <w:lvlJc w:val="left"/>
    </w:lvl>
  </w:abstractNum>
  <w:num w:numId="17">
    <w:abstractNumId w:val="16"/>
  </w:num>
  <w:abstractNum w:abstractNumId="17">
    <w:lvl w:ilvl="0">
      <w:start w:val="1"/>
      <w:numFmt w:val="decimal"/>
      <w:lvlText w:val="%1."/>
      <w:lvlJc w:val="left"/>
    </w:lvl>
  </w:abstract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Times New Roman" w:hAnsi="Times New Roman" w:cs="Times New Roman" w:eastAsia="KaiT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20"/>
    </w:pPr>
    <w:rPr>
      <w:rFonts w:ascii="Times New Roman" w:hAnsi="Times New Roman" w:eastAsia="KaiTi" w:cs="Times New Roman"/>
      <w:color w:val="000000"/>
      <w:sz w:val="22"/>
      <w:lang w:val="en-US" w:eastAsia="zh-T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cstheme="majorBidi" w:ascii="Times New Roman" w:hAnsi="Times New Roman" w:eastAsia="KaiTi" w:cs="Times New Roman"/>
      <w:b/>
      <w:bCs/>
      <w:color w:val="000000"/>
      <w:sz w:val="22"/>
      <w:szCs w:val="28"/>
      <w:lang w:val="en-US" w:eastAsia="zh-T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 w:eastAsia="KaiTi" w:cs="Times New Roman"/>
      <w:b/>
      <w:bCs/>
      <w:color w:val="000000"/>
      <w:sz w:val="26"/>
      <w:szCs w:val="26"/>
      <w:lang w:val="en-US" w:eastAsia="zh-TW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Times New Roman" w:hAnsi="Times New Roman" w:cs="Times New Roman" w:eastAsia="KaiT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Times New Roman" w:hAnsi="Times New Roman" w:cs="Times New Roman" w:eastAsia="KaiT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40" w:line="240" w:lineRule="auto"/>
      <w:contextualSpacing/>
    </w:pPr>
    <w:rPr>
      <w:rFonts w:cstheme="majorBidi" w:ascii="Times New Roman" w:hAnsi="Times New Roman" w:eastAsia="KaiTi" w:cs="Times New Roman"/>
      <w:b/>
      <w:color w:val="000000"/>
      <w:spacing w:val="5"/>
      <w:kern w:val="28"/>
      <w:sz w:val="28"/>
      <w:szCs w:val="52"/>
      <w:lang w:val="en-US" w:eastAsia="zh-TW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Times New Roman" w:hAnsi="Times New Roman" w:cs="Times New Roman" w:eastAsia="KaiT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KaiTi" w:cs="Times New Roman"/>
      <w:color w:val="000000"/>
      <w:lang w:val="en-US" w:eastAsia="zh-TW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KaiT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KaiT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Times New Roman" w:hAnsi="Times New Roman" w:cs="Times New Roman" w:eastAsia="KaiT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Video Editing and Post Production Agreement</dc:title>
  <dc:subject>Editable agreement template</dc:subject>
  <dc:creator>Taloox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