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品牌代言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於［商案］提供［拍攝日數、出席與核准薦證］。品牌提供可佐證宣稱，代言人表達真實意見；競業限制限於［品類及競爭品牌］。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代言費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拍攝與出席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媒體授權與排他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核准影像、姓名與聲音限［媒體、地區、期間］使用，不得改成不實薦證；依法清楚揭露商業關係。轉授權、數位分身或 AI 訓練須另取得同意；期滿廣告下架及庫存例外須明訂。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品牌代言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