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品牌內容合作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於［帳號及平台］於［日期］前交付［數量及形式］。品牌於［日期］前提供需求及可驗證之產品資訊。含［次數］修改，審稿意見應於［天數］內回覆。未另約定可衡量之承諾，不保證銷售、觀看或互動成效。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內容製作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發布費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廣告投放授權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競品排他及額外修改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創作者保有所有權，僅依［媒體、地區及期間］授權使用。付費投放、帳號廣告權限、競品排他及原始檔，須另列條件與費用。雙方依適用規範清楚揭露合作關係；品牌不得要求不實宣稱或隱匿贊助。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品牌內容合作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