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KaiTi"/>
        </w:rPr>
        <w:t>Talent Campaign Coordination Agreement</w:t>
      </w:r>
    </w:p>
    <w:p>
      <w:pPr>
        <w:spacing w:after="80"/>
      </w:pPr>
      <w:r>
        <w:rPr>
          <w:rFonts w:ascii="Times New Roman" w:hAnsi="Times New Roman" w:eastAsia="KaiTi"/>
        </w:rPr>
        <w:t>Parties</w:t>
      </w:r>
    </w:p>
    <w:p>
      <w:pPr>
        <w:jc w:val="right"/>
      </w:pPr>
      <w:r>
        <w:rPr>
          <w:rFonts w:ascii="Times New Roman" w:hAnsi="Times New Roman" w:eastAsia="KaiTi"/>
        </w:rPr>
        <w:t>Client [legal name] (referred to as Party A)</w:t>
      </w:r>
    </w:p>
    <w:p>
      <w:pPr>
        <w:jc w:val="right"/>
      </w:pPr>
      <w:r>
        <w:rPr>
          <w:rFonts w:ascii="Times New Roman" w:hAnsi="Times New Roman" w:eastAsia="KaiTi"/>
        </w:rPr>
        <w:t>Campaign manager [legal name] (referred to as Party B)</w:t>
      </w:r>
    </w:p>
    <w:p>
      <w:pPr>
        <w:spacing w:before="280"/>
      </w:pPr>
      <w:r>
        <w:rPr>
          <w:rFonts w:ascii="Times New Roman" w:hAnsi="Times New Roman" w:eastAsia="KaiTi"/>
        </w:rPr>
        <w:t>The parties agree to the following terms governing the engagement described below.</w:t>
      </w:r>
    </w:p>
    <w:p>
      <w:pPr>
        <w:pStyle w:val="Heading1"/>
      </w:pPr>
      <w:r>
        <w:rPr>
          <w:rFonts w:ascii="Times New Roman" w:hAnsi="Times New Roman" w:eastAsia="KaiTi"/>
        </w:rPr>
        <w:t>Article 1 Scope of Engagement</w:t>
      </w:r>
    </w:p>
    <w:p>
      <w:pPr>
        <w:keepLines/>
        <w:numPr>
          <w:ilvl w:val="0"/>
          <w:numId w:val="10"/>
        </w:numPr>
        <w:ind w:left="567" w:hanging="340"/>
      </w:pPr>
      <w:r>
        <w:rPr>
          <w:rFonts w:ascii="Times New Roman" w:hAnsi="Times New Roman" w:eastAsia="KaiTi"/>
        </w:rPr>
        <w:t>Coordinate [talent, deliverables and platforms] for [campaign]. Define [reporting, approvals and liaison duties]. Client contracts and pays talent directly unless an approved attachment states otherwise.</w:t>
      </w:r>
    </w:p>
    <w:p>
      <w:pPr>
        <w:pStyle w:val="Heading1"/>
      </w:pPr>
      <w:r>
        <w:rPr>
          <w:rFonts w:ascii="Times New Roman" w:hAnsi="Times New Roman" w:eastAsia="KaiTi"/>
        </w:rPr>
        <w:t>Article 2 Term and Schedule</w:t>
      </w:r>
    </w:p>
    <w:p>
      <w:pPr>
        <w:keepLines/>
        <w:numPr>
          <w:ilvl w:val="0"/>
          <w:numId w:val="11"/>
        </w:numPr>
        <w:ind w:left="567" w:hanging="340"/>
      </w:pPr>
      <w:r>
        <w:rPr>
          <w:rFonts w:ascii="Times New Roman" w:hAnsi="Times New Roman" w:eastAsia="KaiTi"/>
        </w:rPr>
        <w:t>Service runs [start to end], with milestones [dates]. Extra campaigns or extended support require a change order.</w:t>
      </w:r>
    </w:p>
    <w:p>
      <w:pPr>
        <w:pStyle w:val="Heading1"/>
      </w:pPr>
      <w:r>
        <w:rPr>
          <w:rFonts w:ascii="Times New Roman" w:hAnsi="Times New Roman" w:eastAsia="KaiTi"/>
        </w:rPr>
        <w:t>Article 3 Performance Review and Acceptance</w:t>
      </w:r>
    </w:p>
    <w:p>
      <w:pPr>
        <w:keepLines/>
        <w:numPr>
          <w:ilvl w:val="0"/>
          <w:numId w:val="12"/>
        </w:numPr>
        <w:ind w:left="567" w:hanging="340"/>
      </w:pPr>
      <w:r>
        <w:rPr>
          <w:rFonts w:ascii="Times New Roman" w:hAnsi="Times New Roman" w:eastAsia="KaiTi"/>
        </w:rPr>
        <w:t>Deliver [status reports, approval log and handover] for review within [days]. Manager is responsible for agreed coordination, not guaranteed sales or third-party performance.</w:t>
      </w:r>
    </w:p>
    <w:p>
      <w:pPr>
        <w:pStyle w:val="Heading1"/>
      </w:pPr>
      <w:r>
        <w:rPr>
          <w:rFonts w:ascii="Times New Roman" w:hAnsi="Times New Roman" w:eastAsia="KaiTi"/>
        </w:rPr>
        <w:t>Article 4 Fees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Pricing method [fixed fee / per item / commission / other], with calculation basis [details].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Fee excluding tax [amount and currency]; tax rate or treatment [details]; tax [amount]; total including tax [amount].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Additional expenses require prior written approval. Items, limits and supporting records: [terms].</w:t>
      </w:r>
    </w:p>
    <w:p>
      <w:pPr>
        <w:pStyle w:val="Heading1"/>
        <w:pageBreakBefore/>
      </w:pPr>
      <w:r>
        <w:rPr>
          <w:rFonts w:ascii="Times New Roman" w:hAnsi="Times New Roman" w:eastAsia="KaiTi"/>
        </w:rPr>
        <w:t>Article 5 Payment Method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Payer [Party A / Party B / other], payee [name]. Deposit or first installment [amount and date]; balance or recurring settlement [calculation, conditions and deadline].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Payment by [bank transfer / other]. Invoicing, withholding and transfer fees: [agreed allocation].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Raise invoice disputes in writing within [days]; pay undisputed sums on time. For overdue payment, allow [days] after written notice before pausing work; agree any late fee and revised schedule in writing, subject to applicable law.</w:t>
      </w:r>
    </w:p>
    <w:p>
      <w:pPr>
        <w:ind w:left="567"/>
      </w:pPr>
      <w:r>
        <w:rPr>
          <w:rFonts w:ascii="Times New Roman" w:hAnsi="Times New Roman" w:eastAsia="KaiTi"/>
        </w:rPr>
        <w:t>Bank and branch [details]   Bank or routing code [details]</w:t>
        <w:br/>
        <w:t>Account holder [name]   Account number [details]</w:t>
      </w:r>
    </w:p>
    <w:p>
      <w:pPr>
        <w:pStyle w:val="Heading1"/>
      </w:pPr>
      <w:r>
        <w:rPr>
          <w:rFonts w:ascii="Times New Roman" w:hAnsi="Times New Roman" w:eastAsia="KaiTi"/>
        </w:rPr>
        <w:t>Article 6 Materials and Representation</w:t>
      </w:r>
    </w:p>
    <w:p>
      <w:pPr>
        <w:keepLines/>
        <w:numPr>
          <w:ilvl w:val="0"/>
          <w:numId w:val="15"/>
        </w:numPr>
        <w:ind w:left="567" w:hanging="340"/>
      </w:pPr>
      <w:r>
        <w:rPr>
          <w:rFonts w:ascii="Times New Roman" w:hAnsi="Times New Roman" w:eastAsia="KaiTi"/>
        </w:rPr>
        <w:t>No authority to bind talent or client outside [written mandate]. Talent and brand content licenses are separate; client secures required approvals. Share only necessary contact data and return or remove it under [retention rule].</w:t>
      </w:r>
    </w:p>
    <w:p>
      <w:pPr>
        <w:pStyle w:val="Heading1"/>
      </w:pPr>
      <w:r>
        <w:rPr>
          <w:rFonts w:ascii="Times New Roman" w:hAnsi="Times New Roman" w:eastAsia="KaiTi"/>
        </w:rPr>
        <w:t>Article 7 Cancellation and Termination</w:t>
      </w:r>
    </w:p>
    <w:p>
      <w:pPr>
        <w:keepLines/>
        <w:numPr>
          <w:ilvl w:val="0"/>
          <w:numId w:val="16"/>
        </w:numPr>
        <w:ind w:left="567" w:hanging="340"/>
      </w:pPr>
      <w:r>
        <w:rPr>
          <w:rFonts w:ascii="Times New Roman" w:hAnsi="Times New Roman" w:eastAsia="KaiTi"/>
        </w:rPr>
        <w:t>Cancellation notice [days]. Payment for completed work, approved non-refundable costs and any deposit refund follow [explicit calculation]. For events beyond reasonable control, promptly notify and agree rescheduling or termination and cost allocation. Material breach may be terminated after [days] written notice and opportunity to cure. Delivery and license consequences of termination: [terms].</w:t>
      </w:r>
    </w:p>
    <w:p>
      <w:pPr>
        <w:pStyle w:val="Heading1"/>
      </w:pPr>
      <w:r>
        <w:rPr>
          <w:rFonts w:ascii="Times New Roman" w:hAnsi="Times New Roman" w:eastAsia="KaiTi"/>
        </w:rPr>
        <w:t>Article 8 Confidentiality and Disputes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Use non-public pricing, personal data and engagement information only to perform this agreement, except disclosures required by law.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Liability allocation and reasonable cap [complete], without excluding liability that cannot lawfully be limited.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Governing law [jurisdiction]; dispute process and forum [complete].</w:t>
      </w:r>
    </w:p>
    <w:p>
      <w:pPr>
        <w:pStyle w:val="Heading1"/>
      </w:pPr>
      <w:r>
        <w:rPr>
          <w:rFonts w:ascii="Times New Roman" w:hAnsi="Times New Roman" w:eastAsia="KaiTi"/>
        </w:rPr>
        <w:t>Article 9 Other Provisions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Attachments [list] form part of this agreement; precedence if terms conflict [order].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Changes require both parties’ written agreement. Send notices to the email or address in the execution page; receipt is confirmed by [method].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Each party confirms authority to sign and permission to supply its materials. Prepare [number] counterparts; sign by [wet ink / electronic signature / other].</w:t>
      </w:r>
    </w:p>
    <w:p>
      <w:pPr>
        <w:pStyle w:val="Heading1"/>
        <w:pageBreakBefore/>
      </w:pPr>
      <w:r>
        <w:rPr>
          <w:rFonts w:ascii="Times New Roman" w:hAnsi="Times New Roman" w:eastAsia="KaiTi"/>
        </w:rPr>
        <w:t>Execution by the Parties</w:t>
      </w:r>
    </w:p>
    <w:p>
      <w:pPr>
        <w:spacing w:before="320"/>
      </w:pPr>
      <w:r>
        <w:rPr>
          <w:rFonts w:ascii="Times New Roman" w:hAnsi="Times New Roman" w:eastAsia="KaiTi"/>
          <w:b/>
        </w:rPr>
        <w:t>Party A  Client</w:t>
      </w:r>
    </w:p>
    <w:p>
      <w:r>
        <w:rPr>
          <w:rFonts w:ascii="Times New Roman" w:hAnsi="Times New Roman" w:eastAsia="KaiTi"/>
        </w:rPr>
        <w:t>Legal name [complete]</w:t>
      </w:r>
    </w:p>
    <w:p>
      <w:r>
        <w:rPr>
          <w:rFonts w:ascii="Times New Roman" w:hAnsi="Times New Roman" w:eastAsia="KaiTi"/>
        </w:rPr>
        <w:t>Responsible person or authorized representative [name and title]</w:t>
      </w:r>
    </w:p>
    <w:p>
      <w:r>
        <w:rPr>
          <w:rFonts w:ascii="Times New Roman" w:hAnsi="Times New Roman" w:eastAsia="KaiTi"/>
        </w:rPr>
        <w:t>Address [complete]</w:t>
      </w:r>
    </w:p>
    <w:p>
      <w:r>
        <w:rPr>
          <w:rFonts w:ascii="Times New Roman" w:hAnsi="Times New Roman" w:eastAsia="KaiTi"/>
        </w:rPr>
        <w:t>Business or company registration number [if applicable]</w:t>
      </w:r>
    </w:p>
    <w:p>
      <w:r>
        <w:rPr>
          <w:rFonts w:ascii="Times New Roman" w:hAnsi="Times New Roman" w:eastAsia="KaiTi"/>
        </w:rPr>
        <w:t>Contact person [name]</w:t>
      </w:r>
    </w:p>
    <w:p>
      <w:r>
        <w:rPr>
          <w:rFonts w:ascii="Times New Roman" w:hAnsi="Times New Roman" w:eastAsia="KaiTi"/>
        </w:rPr>
        <w:t>Telephone [complete]   Email [complete]</w:t>
      </w:r>
    </w:p>
    <w:p>
      <w:pPr>
        <w:spacing w:before="280"/>
      </w:pPr>
      <w:r>
        <w:rPr>
          <w:rFonts w:ascii="Times New Roman" w:hAnsi="Times New Roman" w:eastAsia="KaiTi"/>
        </w:rPr>
        <w:t>Signature or seal  ______________________________</w:t>
      </w:r>
    </w:p>
    <w:p>
      <w:r>
        <w:rPr>
          <w:rFonts w:ascii="Times New Roman" w:hAnsi="Times New Roman" w:eastAsia="KaiTi"/>
        </w:rPr>
        <w:t>Date signed [year / month / day]</w:t>
      </w:r>
    </w:p>
    <w:p>
      <w:pPr>
        <w:spacing w:before="320"/>
      </w:pPr>
      <w:r>
        <w:rPr>
          <w:rFonts w:ascii="Times New Roman" w:hAnsi="Times New Roman" w:eastAsia="KaiTi"/>
          <w:b/>
        </w:rPr>
        <w:t>Party B  Campaign manager</w:t>
      </w:r>
    </w:p>
    <w:p>
      <w:r>
        <w:rPr>
          <w:rFonts w:ascii="Times New Roman" w:hAnsi="Times New Roman" w:eastAsia="KaiTi"/>
        </w:rPr>
        <w:t>Legal name [complete]</w:t>
      </w:r>
    </w:p>
    <w:p>
      <w:r>
        <w:rPr>
          <w:rFonts w:ascii="Times New Roman" w:hAnsi="Times New Roman" w:eastAsia="KaiTi"/>
        </w:rPr>
        <w:t>Responsible person or authorized representative [name and title]</w:t>
      </w:r>
    </w:p>
    <w:p>
      <w:r>
        <w:rPr>
          <w:rFonts w:ascii="Times New Roman" w:hAnsi="Times New Roman" w:eastAsia="KaiTi"/>
        </w:rPr>
        <w:t>Address [complete]</w:t>
      </w:r>
    </w:p>
    <w:p>
      <w:r>
        <w:rPr>
          <w:rFonts w:ascii="Times New Roman" w:hAnsi="Times New Roman" w:eastAsia="KaiTi"/>
        </w:rPr>
        <w:t>Business or company registration number [if applicable]</w:t>
      </w:r>
    </w:p>
    <w:p>
      <w:r>
        <w:rPr>
          <w:rFonts w:ascii="Times New Roman" w:hAnsi="Times New Roman" w:eastAsia="KaiTi"/>
        </w:rPr>
        <w:t>Contact person [name]</w:t>
      </w:r>
    </w:p>
    <w:p>
      <w:r>
        <w:rPr>
          <w:rFonts w:ascii="Times New Roman" w:hAnsi="Times New Roman" w:eastAsia="KaiTi"/>
        </w:rPr>
        <w:t>Telephone [complete]   Email [complete]</w:t>
      </w:r>
    </w:p>
    <w:p>
      <w:pPr>
        <w:spacing w:before="280"/>
      </w:pPr>
      <w:r>
        <w:rPr>
          <w:rFonts w:ascii="Times New Roman" w:hAnsi="Times New Roman" w:eastAsia="KaiTi"/>
        </w:rPr>
        <w:t>Signature or seal  ______________________________</w:t>
      </w:r>
    </w:p>
    <w:p>
      <w:r>
        <w:rPr>
          <w:rFonts w:ascii="Times New Roman" w:hAnsi="Times New Roman" w:eastAsia="KaiTi"/>
        </w:rPr>
        <w:t>Date signed [year / month / day]</w:t>
      </w:r>
    </w:p>
    <w:p>
      <w:pPr>
        <w:spacing w:before="320"/>
      </w:pPr>
      <w:r>
        <w:rPr>
          <w:rFonts w:ascii="Times New Roman" w:hAnsi="Times New Roman" w:eastAsia="KaiTi"/>
        </w:rPr>
        <w:t>Agreement date [year / month / day]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aiTi">
    <w:altName w:val="KaiTi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</w:lvl>
  </w:abstractNum>
  <w:num w:numId="10">
    <w:abstractNumId w:val="9"/>
  </w:num>
  <w:abstractNum w:abstractNumId="10">
    <w:lvl w:ilvl="0">
      <w:start w:val="1"/>
      <w:numFmt w:val="decimal"/>
      <w:lvlText w:val="%1."/>
      <w:lvlJc w:val="left"/>
    </w:lvl>
  </w:abstractNum>
  <w:num w:numId="11">
    <w:abstractNumId w:val="10"/>
  </w:num>
  <w:abstractNum w:abstractNumId="11">
    <w:lvl w:ilvl="0">
      <w:start w:val="1"/>
      <w:numFmt w:val="decimal"/>
      <w:lvlText w:val="%1."/>
      <w:lvlJc w:val="left"/>
    </w:lvl>
  </w:abstractNum>
  <w:num w:numId="12">
    <w:abstractNumId w:val="11"/>
  </w:num>
  <w:abstractNum w:abstractNumId="12">
    <w:lvl w:ilvl="0">
      <w:start w:val="1"/>
      <w:numFmt w:val="decimal"/>
      <w:lvlText w:val="%1."/>
      <w:lvlJc w:val="left"/>
    </w:lvl>
  </w:abstractNum>
  <w:num w:numId="13">
    <w:abstractNumId w:val="12"/>
  </w:num>
  <w:abstractNum w:abstractNumId="13">
    <w:lvl w:ilvl="0">
      <w:start w:val="1"/>
      <w:numFmt w:val="decimal"/>
      <w:lvlText w:val="%1."/>
      <w:lvlJc w:val="left"/>
    </w:lvl>
  </w:abstractNum>
  <w:num w:numId="14">
    <w:abstractNumId w:val="13"/>
  </w:num>
  <w:abstractNum w:abstractNumId="14">
    <w:lvl w:ilvl="0">
      <w:start w:val="1"/>
      <w:numFmt w:val="decimal"/>
      <w:lvlText w:val="%1."/>
      <w:lvlJc w:val="left"/>
    </w:lvl>
  </w:abstractNum>
  <w:num w:numId="15">
    <w:abstractNumId w:val="14"/>
  </w:num>
  <w:abstractNum w:abstractNumId="15">
    <w:lvl w:ilvl="0">
      <w:start w:val="1"/>
      <w:numFmt w:val="decimal"/>
      <w:lvlText w:val="%1."/>
      <w:lvlJc w:val="left"/>
    </w:lvl>
  </w:abstractNum>
  <w:num w:numId="16">
    <w:abstractNumId w:val="15"/>
  </w:num>
  <w:abstractNum w:abstractNumId="16">
    <w:lvl w:ilvl="0">
      <w:start w:val="1"/>
      <w:numFmt w:val="decimal"/>
      <w:lvlText w:val="%1."/>
      <w:lvlJc w:val="left"/>
    </w:lvl>
  </w:abstractNum>
  <w:num w:numId="17">
    <w:abstractNumId w:val="16"/>
  </w:num>
  <w:abstractNum w:abstractNumId="17">
    <w:lvl w:ilvl="0">
      <w:start w:val="1"/>
      <w:numFmt w:val="decimal"/>
      <w:lvlText w:val="%1."/>
      <w:lvlJc w:val="left"/>
    </w:lvl>
  </w:abstract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cs="Times New Roman" w:eastAsia="Kai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20"/>
    </w:pPr>
    <w:rPr>
      <w:rFonts w:ascii="Times New Roman" w:hAnsi="Times New Roman" w:eastAsia="KaiTi" w:cs="Times New Roman"/>
      <w:color w:val="000000"/>
      <w:sz w:val="22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KaiTi" w:cs="Times New Roman"/>
      <w:b/>
      <w:bCs/>
      <w:color w:val="000000"/>
      <w:sz w:val="22"/>
      <w:szCs w:val="28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KaiTi" w:cs="Times New Roman"/>
      <w:b/>
      <w:bCs/>
      <w:color w:val="000000"/>
      <w:sz w:val="26"/>
      <w:szCs w:val="26"/>
      <w:lang w:val="en-US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cs="Times New Roman" w:eastAsia="KaiT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cs="Times New Roman" w:eastAsia="Ka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40" w:line="240" w:lineRule="auto"/>
      <w:contextualSpacing/>
    </w:pPr>
    <w:rPr>
      <w:rFonts w:cstheme="majorBidi" w:ascii="Times New Roman" w:hAnsi="Times New Roman" w:eastAsia="KaiTi" w:cs="Times New Roman"/>
      <w:b/>
      <w:color w:val="000000"/>
      <w:spacing w:val="5"/>
      <w:kern w:val="28"/>
      <w:sz w:val="28"/>
      <w:szCs w:val="52"/>
      <w:lang w:val="en-US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KaiTi" w:cs="Times New Roman"/>
      <w:color w:val="000000"/>
      <w:lang w:val="en-US" w:eastAsia="zh-TW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Ka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Ka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cs="Times New Roman" w:eastAsia="Ka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Talent Campaign Coordination Agreement</dc:title>
  <dc:subject>Editable agreement template</dc:subject>
  <dc:creator>Taloox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