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商案執行管理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為［商案］協調［藝人、交付項目及平台］，明訂［進度回報、審稿與聯繫工作］。除核准附件另議外，由委託方直接與藝人簽約及付款。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執行管理費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額外藝人協調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核准支出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不得超出［書面授權］代表藝人或委託方承諾。藝人與品牌素材另訂授權，由委託方確認必要同意。僅分享必要聯絡資料，依［保存期限］返還或刪除。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商案執行管理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