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UGC content production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Create [number, format, length and aspect ratios] for brand channels. Creator posting is excluded unless listed. Brand supplies [products and approved claims]; include [revision rounds], with reshoots caused by brief changes charged separately.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Production 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Agreed usage license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Raw files or additional versions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Creator retains copyright; brand receives [media, territory and term] license after agreed payment. Raw footage, paid ads, creator-account ad access and AI reuse are separate choices with fees. No password sharing; any platform ad permission expires [date]. Endorsements must reflect actual experience and disclose the relationship where required.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UGC content production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