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剪輯與後期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以委託方提供的［素材長度］製作［交付數量、長度、格式及版本］，含［調色、音訊、字幕與修改輪次］。委託方於［日期］提供可用且已取得權利的整理素材；追加素材、特效或新剪輯另議。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剪輯費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字幕與版本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額外修改與工程檔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委託方確認素材、音樂及肖像同意的權利。成品授權或讓與依［條件與付款時點］；剪輯方工具仍歸其所有，工程檔與第三方素材授權僅於明列時提供。素材保存［天數］，期滿依約刪除或付費保存。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剪輯與後期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