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Times New Roman" w:hAnsi="Times New Roman" w:eastAsia="KaiTi"/>
        </w:rPr>
        <w:t>Music license Quotation</w:t>
      </w:r>
    </w:p>
    <w:p>
      <w:r>
        <w:rPr>
          <w:rFonts w:ascii="Times New Roman" w:hAnsi="Times New Roman" w:eastAsia="KaiTi"/>
        </w:rPr>
        <w:t>Quote number [ID]. Issued [date]. Valid until [date]. Currency [currency]. Subject to written confirmation; this quotation does not itself reserve dates or grant rights.</w:t>
      </w:r>
    </w:p>
    <w:p>
      <w:pPr>
        <w:pStyle w:val="Heading1"/>
      </w:pPr>
      <w:r>
        <w:rPr>
          <w:rFonts w:ascii="Times New Roman" w:hAnsi="Times New Roman" w:eastAsia="KaiTi"/>
        </w:rPr>
        <w:t>Parties</w:t>
      </w:r>
    </w:p>
    <w:p>
      <w:r>
        <w:rPr>
          <w:rFonts w:ascii="Times New Roman" w:hAnsi="Times New Roman" w:eastAsia="KaiTi"/>
        </w:rPr>
        <w:t>Client [legal name, address, contact and email]</w:t>
        <w:br/>
        <w:t>Service provider [legal name, address, contact and email]</w:t>
        <w:br/>
        <w:t>Project [name]. Agreement date [date].</w:t>
      </w:r>
    </w:p>
    <w:p>
      <w:pPr>
        <w:pStyle w:val="Heading1"/>
      </w:pPr>
      <w:r>
        <w:rPr>
          <w:rFonts w:ascii="Times New Roman" w:hAnsi="Times New Roman" w:eastAsia="KaiTi"/>
        </w:rPr>
        <w:t>Scope and schedule</w:t>
      </w:r>
    </w:p>
    <w:p>
      <w:r>
        <w:rPr>
          <w:rFonts w:ascii="Times New Roman" w:hAnsi="Times New Roman" w:eastAsia="KaiTi"/>
        </w:rPr>
        <w:t>Identify composition [title, writers, publishers and shares] and recording [version, owner, identifier]. Licensed use [production and placement], media [list], territory [list], term [start and end], edit length [seconds].</w:t>
      </w:r>
    </w:p>
    <w:p>
      <w:pPr>
        <w:pStyle w:val="Heading1"/>
      </w:pPr>
      <w:r>
        <w:rPr>
          <w:rFonts w:ascii="Times New Roman" w:hAnsi="Times New Roman" w:eastAsia="KaiTi"/>
        </w:rPr>
        <w:t>Price breakdown</w:t>
      </w:r>
    </w:p>
    <w:p>
      <w:r>
        <w:rPr>
          <w:rFonts w:ascii="Times New Roman" w:hAnsi="Times New Roman" w:eastAsia="KaiTi"/>
        </w:rPr>
        <w:t>For each item, enter scope, quantity, unit, unit price and amount. If commission applies, specify the calculation basis and rate. Identify estimates separately from fixed fees.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cantSplit/>
          <w:tblHeader/>
        </w:trPr>
        <w:tc>
          <w:tcPr>
            <w:tcW w:type="dxa" w:w="4608"/>
          </w:tcPr>
          <w:p>
            <w:r>
              <w:rPr>
                <w:rFonts w:ascii="Times New Roman" w:hAnsi="Times New Roman" w:eastAsia="KaiTi"/>
              </w:rPr>
              <w:t>Item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 w:eastAsia="KaiTi"/>
              </w:rPr>
              <w:t>Qty / unit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KaiTi"/>
              </w:rPr>
              <w:t>Unit price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KaiTi"/>
              </w:rPr>
              <w:t>Amount</w:t>
            </w:r>
          </w:p>
        </w:tc>
      </w:tr>
      <w:tr>
        <w:trPr>
          <w:cantSplit/>
        </w:trPr>
        <w:tc>
          <w:tcPr>
            <w:tcW w:type="dxa" w:w="4608"/>
          </w:tcPr>
          <w:p>
            <w:r>
              <w:rPr>
                <w:rFonts w:ascii="Times New Roman" w:hAnsi="Times New Roman" w:eastAsia="KaiTi"/>
              </w:rPr>
              <w:t>Composition license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 w:eastAsia="KaiTi"/>
              </w:rPr>
              <w:t>[___]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KaiTi"/>
              </w:rPr>
              <w:t>[___]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KaiTi"/>
              </w:rPr>
              <w:t>[___]</w:t>
            </w:r>
          </w:p>
        </w:tc>
      </w:tr>
      <w:tr>
        <w:trPr>
          <w:cantSplit/>
        </w:trPr>
        <w:tc>
          <w:tcPr>
            <w:tcW w:type="dxa" w:w="4608"/>
          </w:tcPr>
          <w:p>
            <w:r>
              <w:rPr>
                <w:rFonts w:ascii="Times New Roman" w:hAnsi="Times New Roman" w:eastAsia="KaiTi"/>
              </w:rPr>
              <w:t>Master recording license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 w:eastAsia="KaiTi"/>
              </w:rPr>
              <w:t>[___]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KaiTi"/>
              </w:rPr>
              <w:t>[___]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KaiTi"/>
              </w:rPr>
              <w:t>[___]</w:t>
            </w:r>
          </w:p>
        </w:tc>
      </w:tr>
      <w:tr>
        <w:trPr>
          <w:cantSplit/>
        </w:trPr>
        <w:tc>
          <w:tcPr>
            <w:tcW w:type="dxa" w:w="4608"/>
          </w:tcPr>
          <w:p>
            <w:r>
              <w:rPr>
                <w:rFonts w:ascii="Times New Roman" w:hAnsi="Times New Roman" w:eastAsia="KaiTi"/>
              </w:rPr>
              <w:t>Additional territory or media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 w:eastAsia="KaiTi"/>
              </w:rPr>
              <w:t>[___]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KaiTi"/>
              </w:rPr>
              <w:t>[___]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KaiTi"/>
              </w:rPr>
              <w:t>[___]</w:t>
            </w:r>
          </w:p>
        </w:tc>
      </w:tr>
      <w:tr>
        <w:trPr>
          <w:cantSplit/>
        </w:trPr>
        <w:tc>
          <w:tcPr>
            <w:tcW w:type="dxa" w:w="4608"/>
          </w:tcPr>
          <w:p>
            <w:r>
              <w:rPr>
                <w:rFonts w:ascii="Times New Roman" w:hAnsi="Times New Roman" w:eastAsia="KaiTi"/>
              </w:rPr>
              <w:t>Extension of term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 w:eastAsia="KaiTi"/>
              </w:rPr>
              <w:t>[___]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KaiTi"/>
              </w:rPr>
              <w:t>[___]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KaiTi"/>
              </w:rPr>
              <w:t>[___]</w:t>
            </w:r>
          </w:p>
        </w:tc>
      </w:tr>
    </w:tbl>
    <w:p>
      <w:pPr>
        <w:pStyle w:val="Heading1"/>
      </w:pPr>
      <w:r>
        <w:rPr>
          <w:rFonts w:ascii="Times New Roman" w:hAnsi="Times New Roman" w:eastAsia="KaiTi"/>
        </w:rPr>
        <w:t>Fees and payment</w:t>
      </w:r>
    </w:p>
    <w:p>
      <w:r>
        <w:rPr>
          <w:rFonts w:ascii="Times New Roman" w:hAnsi="Times New Roman" w:eastAsia="KaiTi"/>
        </w:rPr>
        <w:t>Subtotal excluding tax [amount]</w:t>
        <w:br/>
        <w:t>Discount [amount]</w:t>
        <w:br/>
        <w:t>Tax rate and tax [rate and amount]</w:t>
        <w:br/>
        <w:t>Total including tax [amount and currency]</w:t>
        <w:br/>
        <w:t>Deposit [amount and due date]</w:t>
        <w:br/>
        <w:t>Balance [amount and payment terms]</w:t>
      </w:r>
    </w:p>
    <w:p>
      <w:pPr>
        <w:pStyle w:val="Heading1"/>
      </w:pPr>
      <w:r>
        <w:rPr>
          <w:rFonts w:ascii="Times New Roman" w:hAnsi="Times New Roman" w:eastAsia="KaiTi"/>
        </w:rPr>
        <w:t>Usage and special terms</w:t>
      </w:r>
    </w:p>
    <w:p>
      <w:r>
        <w:rPr>
          <w:rFonts w:ascii="Times New Roman" w:hAnsi="Times New Roman" w:eastAsia="KaiTi"/>
        </w:rPr>
        <w:t>The licensor grants only the rights it controls as listed here: [composition synchronization / master use / other]. Any additional rights require separate clearance. No ownership transfer, AI training, voice cloning, sublicensing or new campaign use without written approval. Credit [wording].</w:t>
      </w:r>
    </w:p>
    <w:p>
      <w:pPr>
        <w:pStyle w:val="Heading1"/>
      </w:pPr>
      <w:r>
        <w:rPr>
          <w:rFonts w:ascii="Times New Roman" w:hAnsi="Times New Roman" w:eastAsia="KaiTi"/>
        </w:rPr>
        <w:t>Quotation conditions</w:t>
      </w:r>
    </w:p>
    <w:p>
      <w:r>
        <w:rPr>
          <w:rFonts w:ascii="Times New Roman" w:hAnsi="Times New Roman" w:eastAsia="KaiTi"/>
        </w:rPr>
        <w:t>Unlisted deliverables, extra revisions, travel and usage rights are excluded. Scope changes or acceptance after expiry require a revised price and availability check. Confirm cancellation, acceptance, rights and full engagement terms in writing before work begins.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KaiTi">
    <w:altName w:val="KaiTi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cstheme="minorBidi" w:ascii="Times New Roman" w:hAnsi="Times New Roman" w:cs="Times New Roman" w:eastAsia="KaiT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69" w:lineRule="auto" w:after="60"/>
    </w:pPr>
    <w:rPr>
      <w:rFonts w:ascii="Times New Roman" w:hAnsi="Times New Roman" w:eastAsia="KaiTi" w:cs="Times New Roman"/>
      <w:color w:val="000000"/>
      <w:sz w:val="21"/>
      <w:lang w:val="en-US" w:eastAsia="zh-TW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cstheme="majorBidi" w:ascii="Times New Roman" w:hAnsi="Times New Roman" w:eastAsia="KaiTi" w:cs="Times New Roman"/>
      <w:b/>
      <w:bCs/>
      <w:color w:val="000000"/>
      <w:sz w:val="24"/>
      <w:szCs w:val="28"/>
      <w:lang w:val="en-US" w:eastAsia="zh-TW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cstheme="majorBidi" w:ascii="Times New Roman" w:hAnsi="Times New Roman" w:eastAsia="KaiTi" w:cs="Times New Roman"/>
      <w:b/>
      <w:bCs/>
      <w:color w:val="000000"/>
      <w:sz w:val="26"/>
      <w:szCs w:val="26"/>
      <w:lang w:val="en-US" w:eastAsia="zh-TW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cstheme="majorBidi" w:ascii="Times New Roman" w:hAnsi="Times New Roman" w:cs="Times New Roman" w:eastAsia="KaiT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cstheme="majorBidi" w:ascii="Times New Roman" w:hAnsi="Times New Roman" w:cs="Times New Roman" w:eastAsia="KaiT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cstheme="majorBidi" w:ascii="Times New Roman" w:hAnsi="Times New Roman" w:cs="Times New Roman" w:eastAsia="KaiT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cstheme="majorBidi" w:ascii="Times New Roman" w:hAnsi="Times New Roman" w:cs="Times New Roman" w:eastAsia="KaiT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cstheme="majorBidi" w:ascii="Times New Roman" w:hAnsi="Times New Roman" w:cs="Times New Roman" w:eastAsia="KaiT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cstheme="majorBidi" w:ascii="Times New Roman" w:hAnsi="Times New Roman" w:cs="Times New Roman" w:eastAsia="KaiT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cstheme="majorBidi" w:ascii="Times New Roman" w:hAnsi="Times New Roman" w:cs="Times New Roman" w:eastAsia="KaiT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cstheme="majorBidi" w:ascii="Times New Roman" w:hAnsi="Times New Roman" w:cs="Times New Roman" w:eastAsia="KaiT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cstheme="majorBidi" w:ascii="Times New Roman" w:hAnsi="Times New Roman" w:cs="Times New Roman" w:eastAsia="KaiT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cstheme="majorBidi" w:ascii="Times New Roman" w:hAnsi="Times New Roman" w:cs="Times New Roman" w:eastAsia="KaiT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40" w:lineRule="auto"/>
      <w:contextualSpacing/>
    </w:pPr>
    <w:rPr>
      <w:rFonts w:cstheme="majorBidi" w:ascii="Times New Roman" w:hAnsi="Times New Roman" w:eastAsia="KaiTi" w:cs="Times New Roman"/>
      <w:b w:val="0"/>
      <w:color w:val="000000"/>
      <w:spacing w:val="5"/>
      <w:kern w:val="28"/>
      <w:sz w:val="36"/>
      <w:szCs w:val="52"/>
      <w:lang w:val="en-US" w:eastAsia="zh-TW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cstheme="majorBidi" w:ascii="Times New Roman" w:hAnsi="Times New Roman" w:cs="Times New Roman" w:eastAsia="KaiT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cstheme="majorBidi" w:ascii="Times New Roman" w:hAnsi="Times New Roman" w:cs="Times New Roman" w:eastAsia="KaiT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cstheme="majorBidi" w:ascii="Times New Roman" w:hAnsi="Times New Roman" w:cs="Times New Roman" w:eastAsia="KaiT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 w:eastAsia="KaiTi" w:cs="Times New Roman"/>
      <w:color w:val="000000"/>
      <w:lang w:val="en-US" w:eastAsia="zh-TW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KaiTi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KaiTi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cstheme="majorBidi" w:ascii="Times New Roman" w:hAnsi="Times New Roman" w:cs="Times New Roman" w:eastAsia="KaiT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cstheme="majorBidi" w:ascii="Times New Roman" w:hAnsi="Times New Roman" w:cs="Times New Roman" w:eastAsia="KaiT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cstheme="majorBidi" w:ascii="Times New Roman" w:hAnsi="Times New Roman" w:cs="Times New Roman" w:eastAsia="KaiT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cstheme="majorBidi" w:ascii="Times New Roman" w:hAnsi="Times New Roman" w:cs="Times New Roman" w:eastAsia="KaiT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cstheme="majorBidi" w:ascii="Times New Roman" w:hAnsi="Times New Roman" w:cs="Times New Roman" w:eastAsia="KaiT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cstheme="majorBidi" w:ascii="Times New Roman" w:hAnsi="Times New Roman" w:cs="Times New Roman" w:eastAsia="KaiT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cstheme="majorBidi" w:ascii="Times New Roman" w:hAnsi="Times New Roman" w:cs="Times New Roman" w:eastAsia="KaiTi"/>
        <w:b/>
        <w:bCs/>
      </w:rPr>
    </w:tblStylePr>
    <w:tblStylePr w:type="lastCol"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cstheme="majorBidi" w:ascii="Times New Roman" w:hAnsi="Times New Roman" w:cs="Times New Roman" w:eastAsia="KaiTi"/>
        <w:b/>
        <w:bCs/>
      </w:rPr>
    </w:tblStylePr>
    <w:tblStylePr w:type="lastCol"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cstheme="majorBidi" w:ascii="Times New Roman" w:hAnsi="Times New Roman" w:cs="Times New Roman" w:eastAsia="KaiTi"/>
        <w:b/>
        <w:bCs/>
      </w:rPr>
    </w:tblStylePr>
    <w:tblStylePr w:type="lastCol"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cstheme="majorBidi" w:ascii="Times New Roman" w:hAnsi="Times New Roman" w:cs="Times New Roman" w:eastAsia="KaiTi"/>
        <w:b/>
        <w:bCs/>
      </w:rPr>
    </w:tblStylePr>
    <w:tblStylePr w:type="lastCol"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cstheme="majorBidi" w:ascii="Times New Roman" w:hAnsi="Times New Roman" w:cs="Times New Roman" w:eastAsia="KaiTi"/>
        <w:b/>
        <w:bCs/>
      </w:rPr>
    </w:tblStylePr>
    <w:tblStylePr w:type="lastCol"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cstheme="majorBidi" w:ascii="Times New Roman" w:hAnsi="Times New Roman" w:cs="Times New Roman" w:eastAsia="KaiTi"/>
        <w:b/>
        <w:bCs/>
      </w:rPr>
    </w:tblStylePr>
    <w:tblStylePr w:type="lastCol"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cstheme="majorBidi" w:ascii="Times New Roman" w:hAnsi="Times New Roman" w:cs="Times New Roman" w:eastAsia="KaiTi"/>
        <w:b/>
        <w:bCs/>
      </w:rPr>
    </w:tblStylePr>
    <w:tblStylePr w:type="lastCol"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cs="Times New Roman" w:eastAsia="KaiT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cs="Times New Roman" w:eastAsia="KaiT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cs="Times New Roman" w:eastAsia="KaiT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cs="Times New Roman" w:eastAsia="KaiT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cs="Times New Roman" w:eastAsia="KaiT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cs="Times New Roman" w:eastAsia="KaiT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cs="Times New Roman" w:eastAsia="KaiT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Music license Quotation</dc:title>
  <dc:subject>Editable quotation template</dc:subject>
  <dc:creator>Taloox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