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KaiTi"/>
        </w:rPr>
        <w:t>Podcast 節目贊助合約書</w:t>
      </w:r>
    </w:p>
    <w:p>
      <w:pPr>
        <w:spacing w:after="80"/>
      </w:pPr>
      <w:r>
        <w:rPr>
          <w:rFonts w:ascii="Times New Roman" w:hAnsi="Times New Roman" w:eastAsia="KaiTi"/>
        </w:rPr>
        <w:t>立合約人</w:t>
      </w:r>
    </w:p>
    <w:p>
      <w:pPr>
        <w:jc w:val="right"/>
      </w:pPr>
      <w:r>
        <w:rPr>
          <w:rFonts w:ascii="Times New Roman" w:hAnsi="Times New Roman" w:eastAsia="KaiTi"/>
        </w:rPr>
        <w:t>贊助方 ［法定名稱］ (以下簡稱 甲方)</w:t>
      </w:r>
    </w:p>
    <w:p>
      <w:pPr>
        <w:jc w:val="right"/>
      </w:pPr>
      <w:r>
        <w:rPr>
          <w:rFonts w:ascii="Times New Roman" w:hAnsi="Times New Roman" w:eastAsia="KaiTi"/>
        </w:rPr>
        <w:t>節目方 ［法定名稱］ (以下簡稱 乙方)</w:t>
      </w:r>
    </w:p>
    <w:p>
      <w:pPr>
        <w:spacing w:before="280"/>
      </w:pPr>
      <w:r>
        <w:rPr>
          <w:rFonts w:ascii="Times New Roman" w:hAnsi="Times New Roman" w:eastAsia="KaiTi"/>
        </w:rPr>
        <w:t>雙方就下列合作事項達成協議，訂立本合約，條款如下。</w:t>
      </w:r>
    </w:p>
    <w:p>
      <w:pPr>
        <w:pStyle w:val="Heading1"/>
      </w:pPr>
      <w:r>
        <w:rPr>
          <w:rFonts w:ascii="Times New Roman" w:hAnsi="Times New Roman" w:eastAsia="KaiTi"/>
        </w:rPr>
        <w:t>第一條 合作內容</w:t>
      </w:r>
    </w:p>
    <w:p>
      <w:pPr>
        <w:keepLines/>
        <w:numPr>
          <w:ilvl w:val="0"/>
          <w:numId w:val="10"/>
        </w:numPr>
        <w:ind w:left="567" w:hanging="340"/>
      </w:pPr>
      <w:r>
        <w:rPr>
          <w:rFonts w:ascii="Times New Roman" w:hAnsi="Times New Roman" w:eastAsia="KaiTi"/>
        </w:rPr>
        <w:t>節目［名稱］、集數［清單］、上線日期［日期］、廣告位置［前段／中段／後段］、長度［秒數］、形式［主持人口播／提供音檔］。交付標準［上線集數／約定曝光量及統計期間］。</w:t>
      </w:r>
    </w:p>
    <w:p>
      <w:pPr>
        <w:pStyle w:val="Heading1"/>
      </w:pPr>
      <w:r>
        <w:rPr>
          <w:rFonts w:ascii="Times New Roman" w:hAnsi="Times New Roman" w:eastAsia="KaiTi"/>
        </w:rPr>
        <w:t>第二條 合約期間與時程</w:t>
      </w:r>
    </w:p>
    <w:p>
      <w:pPr>
        <w:keepLines/>
        <w:numPr>
          <w:ilvl w:val="0"/>
          <w:numId w:val="11"/>
        </w:numPr>
        <w:ind w:left="567" w:hanging="340"/>
      </w:pPr>
      <w:r>
        <w:rPr>
          <w:rFonts w:ascii="Times New Roman" w:hAnsi="Times New Roman" w:eastAsia="KaiTi"/>
        </w:rPr>
        <w:t>贊助期間、指定集數及上線日期依第一條辦理；廣告保留期間為［期間］，數據提供日期為［日期］。</w:t>
      </w:r>
    </w:p>
    <w:p>
      <w:pPr>
        <w:pStyle w:val="Heading1"/>
      </w:pPr>
      <w:r>
        <w:rPr>
          <w:rFonts w:ascii="Times New Roman" w:hAnsi="Times New Roman" w:eastAsia="KaiTi"/>
        </w:rPr>
        <w:t>第三條 履約確認與驗收</w:t>
      </w:r>
    </w:p>
    <w:p>
      <w:pPr>
        <w:keepLines/>
        <w:numPr>
          <w:ilvl w:val="0"/>
          <w:numId w:val="12"/>
        </w:numPr>
        <w:ind w:left="567" w:hanging="340"/>
      </w:pPr>
      <w:r>
        <w:rPr>
          <w:rFonts w:ascii="Times New Roman" w:hAnsi="Times New Roman" w:eastAsia="KaiTi"/>
        </w:rPr>
        <w:t>節目方提供［上線連結、廣告位置與長度及約定數據］；贊助方於［天數］內依［上線集數或約定曝光指標］確認，未達標準之處理依第六條。</w:t>
      </w:r>
    </w:p>
    <w:p>
      <w:pPr>
        <w:pStyle w:val="Heading1"/>
      </w:pPr>
      <w:r>
        <w:rPr>
          <w:rFonts w:ascii="Times New Roman" w:hAnsi="Times New Roman" w:eastAsia="KaiTi"/>
        </w:rPr>
        <w:t>第四條 合約費用</w:t>
      </w:r>
    </w:p>
    <w:p>
      <w:pPr>
        <w:keepLines/>
        <w:numPr>
          <w:ilvl w:val="0"/>
          <w:numId w:val="13"/>
        </w:numPr>
        <w:ind w:left="567" w:hanging="340"/>
      </w:pPr>
      <w:r>
        <w:rPr>
          <w:rFonts w:ascii="Times New Roman" w:hAnsi="Times New Roman" w:eastAsia="KaiTi"/>
        </w:rPr>
        <w:t>計價方式［固定金額／按次／佣金／其他］，計算基礎［填入］。</w:t>
      </w:r>
    </w:p>
    <w:p>
      <w:pPr>
        <w:keepLines/>
        <w:numPr>
          <w:ilvl w:val="0"/>
          <w:numId w:val="13"/>
        </w:numPr>
        <w:ind w:left="567" w:hanging="340"/>
      </w:pPr>
      <w:r>
        <w:rPr>
          <w:rFonts w:ascii="Times New Roman" w:hAnsi="Times New Roman" w:eastAsia="KaiTi"/>
        </w:rPr>
        <w:t>未稅費用［金額及幣別］，稅率或稅務處理［填入］，稅額［金額］，含稅總額［金額］。</w:t>
      </w:r>
    </w:p>
    <w:p>
      <w:pPr>
        <w:keepLines/>
        <w:numPr>
          <w:ilvl w:val="0"/>
          <w:numId w:val="13"/>
        </w:numPr>
        <w:ind w:left="567" w:hanging="340"/>
      </w:pPr>
      <w:r>
        <w:rPr>
          <w:rFonts w:ascii="Times New Roman" w:hAnsi="Times New Roman" w:eastAsia="KaiTi"/>
        </w:rPr>
        <w:t>額外支出須事前書面核准；項目、上限及憑證要求為［約定］。</w:t>
      </w:r>
    </w:p>
    <w:p>
      <w:pPr>
        <w:pStyle w:val="Heading1"/>
        <w:pageBreakBefore/>
      </w:pPr>
      <w:r>
        <w:rPr>
          <w:rFonts w:ascii="Times New Roman" w:hAnsi="Times New Roman" w:eastAsia="KaiTi"/>
        </w:rPr>
        <w:t>第五條 付款方式</w:t>
      </w:r>
    </w:p>
    <w:p>
      <w:pPr>
        <w:keepLines/>
        <w:numPr>
          <w:ilvl w:val="0"/>
          <w:numId w:val="14"/>
        </w:numPr>
        <w:ind w:left="567" w:hanging="340"/>
      </w:pPr>
      <w:r>
        <w:rPr>
          <w:rFonts w:ascii="Times New Roman" w:hAnsi="Times New Roman" w:eastAsia="KaiTi"/>
        </w:rPr>
        <w:t>付款人［甲方／乙方／其他］，收款人［名稱］；訂金或首期款［金額及日期］，餘款或定期結算［計算方式、條件及期限］。</w:t>
      </w:r>
    </w:p>
    <w:p>
      <w:pPr>
        <w:keepLines/>
        <w:numPr>
          <w:ilvl w:val="0"/>
          <w:numId w:val="14"/>
        </w:numPr>
        <w:ind w:left="567" w:hanging="340"/>
      </w:pPr>
      <w:r>
        <w:rPr>
          <w:rFonts w:ascii="Times New Roman" w:hAnsi="Times New Roman" w:eastAsia="KaiTi"/>
        </w:rPr>
        <w:t>付款方式［銀行轉帳／其他］；發票、扣繳及匯款手續費之處理為［約定］。</w:t>
      </w:r>
    </w:p>
    <w:p>
      <w:pPr>
        <w:keepLines/>
        <w:numPr>
          <w:ilvl w:val="0"/>
          <w:numId w:val="14"/>
        </w:numPr>
        <w:ind w:left="567" w:hanging="340"/>
      </w:pPr>
      <w:r>
        <w:rPr>
          <w:rFonts w:ascii="Times New Roman" w:hAnsi="Times New Roman" w:eastAsia="KaiTi"/>
        </w:rPr>
        <w:t>帳單爭議應於 [天數] 內書面提出，無爭議款項仍應按期支付。逾期付款經書面催告 [天數] 後得暫停工作；遲延費用及調整時程須另以書面約定並符合適用法律。</w:t>
      </w:r>
    </w:p>
    <w:p>
      <w:pPr>
        <w:ind w:left="567"/>
      </w:pPr>
      <w:r>
        <w:rPr>
          <w:rFonts w:ascii="Times New Roman" w:hAnsi="Times New Roman" w:eastAsia="KaiTi"/>
        </w:rPr>
        <w:t>收款銀行及分行［填入］　銀行代碼［填入］</w:t>
        <w:br/>
        <w:t>戶名［填入］　帳號［填入］</w:t>
      </w:r>
    </w:p>
    <w:p>
      <w:pPr>
        <w:pStyle w:val="Heading1"/>
      </w:pPr>
      <w:r>
        <w:rPr>
          <w:rFonts w:ascii="Times New Roman" w:hAnsi="Times New Roman" w:eastAsia="KaiTi"/>
        </w:rPr>
        <w:t>第六條 編輯自主與廣告使用</w:t>
      </w:r>
    </w:p>
    <w:p>
      <w:pPr>
        <w:keepLines/>
        <w:numPr>
          <w:ilvl w:val="0"/>
          <w:numId w:val="15"/>
        </w:numPr>
        <w:ind w:left="567" w:hanging="340"/>
      </w:pPr>
      <w:r>
        <w:rPr>
          <w:rFonts w:ascii="Times New Roman" w:hAnsi="Times New Roman" w:eastAsia="KaiTi"/>
        </w:rPr>
        <w:t>贊助方於［日期］前提供有佐證之資訊；已核准廣告以外之編輯內容由主持方決定。應清楚揭露贊助。廣告保留［期間］、下載數據來源［來源］。交付不足時依書面約定［補刊／按比例退款］。未另取得同意，不得再利用背書或仿製聲音。</w:t>
      </w:r>
    </w:p>
    <w:p>
      <w:pPr>
        <w:pStyle w:val="Heading1"/>
      </w:pPr>
      <w:r>
        <w:rPr>
          <w:rFonts w:ascii="Times New Roman" w:hAnsi="Times New Roman" w:eastAsia="KaiTi"/>
        </w:rPr>
        <w:t>第七條 取消與終止</w:t>
      </w:r>
    </w:p>
    <w:p>
      <w:pPr>
        <w:keepLines/>
        <w:numPr>
          <w:ilvl w:val="0"/>
          <w:numId w:val="16"/>
        </w:numPr>
        <w:ind w:left="567" w:hanging="340"/>
      </w:pPr>
      <w:r>
        <w:rPr>
          <w:rFonts w:ascii="Times New Roman" w:hAnsi="Times New Roman" w:eastAsia="KaiTi"/>
        </w:rPr>
        <w:t>取消通知期限［天數］；已完成工作之費用、已核准且無法退還之支出及訂金退還方式［明列計算方式］。遇不可合理控制事件，應即通知並協商改期或終止及費用分攤。重大違約於書面通知後［天數］內未改善者，他方得終止；終止後之交付與授權處理［約定］。</w:t>
      </w:r>
    </w:p>
    <w:p>
      <w:pPr>
        <w:pStyle w:val="Heading1"/>
      </w:pPr>
      <w:r>
        <w:rPr>
          <w:rFonts w:ascii="Times New Roman" w:hAnsi="Times New Roman" w:eastAsia="KaiTi"/>
        </w:rPr>
        <w:t>第八條 保密與爭議處理</w:t>
      </w:r>
    </w:p>
    <w:p>
      <w:pPr>
        <w:keepLines/>
        <w:numPr>
          <w:ilvl w:val="0"/>
          <w:numId w:val="17"/>
        </w:numPr>
        <w:ind w:left="567" w:hanging="340"/>
      </w:pPr>
      <w:r>
        <w:rPr>
          <w:rFonts w:ascii="Times New Roman" w:hAnsi="Times New Roman" w:eastAsia="KaiTi"/>
        </w:rPr>
        <w:t>未公開之報價、個人資料及合作資訊，僅為履約使用；依法必須揭露者除外。</w:t>
      </w:r>
    </w:p>
    <w:p>
      <w:pPr>
        <w:keepLines/>
        <w:numPr>
          <w:ilvl w:val="0"/>
          <w:numId w:val="17"/>
        </w:numPr>
        <w:ind w:left="567" w:hanging="340"/>
      </w:pPr>
      <w:r>
        <w:rPr>
          <w:rFonts w:ascii="Times New Roman" w:hAnsi="Times New Roman" w:eastAsia="KaiTi"/>
        </w:rPr>
        <w:t>責任範圍及合理上限［協商填入］，不得排除依法不得限制之責任。</w:t>
      </w:r>
    </w:p>
    <w:p>
      <w:pPr>
        <w:keepLines/>
        <w:numPr>
          <w:ilvl w:val="0"/>
          <w:numId w:val="17"/>
        </w:numPr>
        <w:ind w:left="567" w:hanging="340"/>
      </w:pPr>
      <w:r>
        <w:rPr>
          <w:rFonts w:ascii="Times New Roman" w:hAnsi="Times New Roman" w:eastAsia="KaiTi"/>
        </w:rPr>
        <w:t>適用法律［地區］、爭議處理方式及管轄［填入］。</w:t>
      </w:r>
    </w:p>
    <w:p>
      <w:pPr>
        <w:pStyle w:val="Heading1"/>
      </w:pPr>
      <w:r>
        <w:rPr>
          <w:rFonts w:ascii="Times New Roman" w:hAnsi="Times New Roman" w:eastAsia="KaiTi"/>
        </w:rPr>
        <w:t>第九條 其他約定</w:t>
      </w:r>
    </w:p>
    <w:p>
      <w:pPr>
        <w:keepLines/>
        <w:numPr>
          <w:ilvl w:val="0"/>
          <w:numId w:val="18"/>
        </w:numPr>
        <w:ind w:left="567" w:hanging="340"/>
      </w:pPr>
      <w:r>
        <w:rPr>
          <w:rFonts w:ascii="Times New Roman" w:hAnsi="Times New Roman" w:eastAsia="KaiTi"/>
        </w:rPr>
        <w:t>附件 [清單] 為本合約之一部分；條文衝突時之優先順序為 [順序]。</w:t>
      </w:r>
    </w:p>
    <w:p>
      <w:pPr>
        <w:keepLines/>
        <w:numPr>
          <w:ilvl w:val="0"/>
          <w:numId w:val="18"/>
        </w:numPr>
        <w:ind w:left="567" w:hanging="340"/>
      </w:pPr>
      <w:r>
        <w:rPr>
          <w:rFonts w:ascii="Times New Roman" w:hAnsi="Times New Roman" w:eastAsia="KaiTi"/>
        </w:rPr>
        <w:t>變更須經雙方書面同意。通知寄送至簽署頁所列電子信箱或地址，以 [方式] 確認收受。</w:t>
      </w:r>
    </w:p>
    <w:p>
      <w:pPr>
        <w:keepLines/>
        <w:numPr>
          <w:ilvl w:val="0"/>
          <w:numId w:val="18"/>
        </w:numPr>
        <w:ind w:left="567" w:hanging="340"/>
      </w:pPr>
      <w:r>
        <w:rPr>
          <w:rFonts w:ascii="Times New Roman" w:hAnsi="Times New Roman" w:eastAsia="KaiTi"/>
        </w:rPr>
        <w:t>雙方確認有權簽署並提供各自素材。合約正本 [份數] 份；簽署方式為 [親簽／電子簽署／其他]。</w:t>
      </w:r>
    </w:p>
    <w:p>
      <w:pPr>
        <w:pStyle w:val="Heading1"/>
        <w:pageBreakBefore/>
      </w:pPr>
      <w:r>
        <w:rPr>
          <w:rFonts w:ascii="Times New Roman" w:hAnsi="Times New Roman" w:eastAsia="KaiTi"/>
        </w:rPr>
        <w:t>立合約人</w:t>
      </w:r>
    </w:p>
    <w:p>
      <w:pPr>
        <w:spacing w:before="320"/>
      </w:pPr>
      <w:r>
        <w:rPr>
          <w:rFonts w:ascii="Times New Roman" w:hAnsi="Times New Roman" w:eastAsia="KaiTi"/>
          <w:b/>
        </w:rPr>
        <w:t>甲方  贊助方</w:t>
      </w:r>
    </w:p>
    <w:p>
      <w:r>
        <w:rPr>
          <w:rFonts w:ascii="Times New Roman" w:hAnsi="Times New Roman" w:eastAsia="KaiTi"/>
        </w:rPr>
        <w:t>法定名稱［填入］</w:t>
      </w:r>
    </w:p>
    <w:p>
      <w:r>
        <w:rPr>
          <w:rFonts w:ascii="Times New Roman" w:hAnsi="Times New Roman" w:eastAsia="KaiTi"/>
        </w:rPr>
        <w:t>負責人或授權代表［姓名及職稱］</w:t>
      </w:r>
    </w:p>
    <w:p>
      <w:r>
        <w:rPr>
          <w:rFonts w:ascii="Times New Roman" w:hAnsi="Times New Roman" w:eastAsia="KaiTi"/>
        </w:rPr>
        <w:t>地址［填入］</w:t>
      </w:r>
    </w:p>
    <w:p>
      <w:r>
        <w:rPr>
          <w:rFonts w:ascii="Times New Roman" w:hAnsi="Times New Roman" w:eastAsia="KaiTi"/>
        </w:rPr>
        <w:t>統一編號或公司登記號碼［如適用］</w:t>
      </w:r>
    </w:p>
    <w:p>
      <w:r>
        <w:rPr>
          <w:rFonts w:ascii="Times New Roman" w:hAnsi="Times New Roman" w:eastAsia="KaiTi"/>
        </w:rPr>
        <w:t>聯絡人［姓名］</w:t>
      </w:r>
    </w:p>
    <w:p>
      <w:r>
        <w:rPr>
          <w:rFonts w:ascii="Times New Roman" w:hAnsi="Times New Roman" w:eastAsia="KaiTi"/>
        </w:rPr>
        <w:t>電話［填入］　電子信箱［填入］</w:t>
      </w:r>
    </w:p>
    <w:p>
      <w:pPr>
        <w:spacing w:before="280"/>
      </w:pPr>
      <w:r>
        <w:rPr>
          <w:rFonts w:ascii="Times New Roman" w:hAnsi="Times New Roman" w:eastAsia="KaiTi"/>
        </w:rPr>
        <w:t>簽名或蓋章  ______________________________</w:t>
      </w:r>
    </w:p>
    <w:p>
      <w:r>
        <w:rPr>
          <w:rFonts w:ascii="Times New Roman" w:hAnsi="Times New Roman" w:eastAsia="KaiTi"/>
        </w:rPr>
        <w:t>簽署日期　［年］年［月］月［日］日</w:t>
      </w:r>
    </w:p>
    <w:p>
      <w:pPr>
        <w:spacing w:before="320"/>
      </w:pPr>
      <w:r>
        <w:rPr>
          <w:rFonts w:ascii="Times New Roman" w:hAnsi="Times New Roman" w:eastAsia="KaiTi"/>
          <w:b/>
        </w:rPr>
        <w:t>乙方  節目方</w:t>
      </w:r>
    </w:p>
    <w:p>
      <w:r>
        <w:rPr>
          <w:rFonts w:ascii="Times New Roman" w:hAnsi="Times New Roman" w:eastAsia="KaiTi"/>
        </w:rPr>
        <w:t>法定名稱［填入］</w:t>
      </w:r>
    </w:p>
    <w:p>
      <w:r>
        <w:rPr>
          <w:rFonts w:ascii="Times New Roman" w:hAnsi="Times New Roman" w:eastAsia="KaiTi"/>
        </w:rPr>
        <w:t>負責人或授權代表［姓名及職稱］</w:t>
      </w:r>
    </w:p>
    <w:p>
      <w:r>
        <w:rPr>
          <w:rFonts w:ascii="Times New Roman" w:hAnsi="Times New Roman" w:eastAsia="KaiTi"/>
        </w:rPr>
        <w:t>地址［填入］</w:t>
      </w:r>
    </w:p>
    <w:p>
      <w:r>
        <w:rPr>
          <w:rFonts w:ascii="Times New Roman" w:hAnsi="Times New Roman" w:eastAsia="KaiTi"/>
        </w:rPr>
        <w:t>統一編號或公司登記號碼［如適用］</w:t>
      </w:r>
    </w:p>
    <w:p>
      <w:r>
        <w:rPr>
          <w:rFonts w:ascii="Times New Roman" w:hAnsi="Times New Roman" w:eastAsia="KaiTi"/>
        </w:rPr>
        <w:t>聯絡人［姓名］</w:t>
      </w:r>
    </w:p>
    <w:p>
      <w:r>
        <w:rPr>
          <w:rFonts w:ascii="Times New Roman" w:hAnsi="Times New Roman" w:eastAsia="KaiTi"/>
        </w:rPr>
        <w:t>電話［填入］　電子信箱［填入］</w:t>
      </w:r>
    </w:p>
    <w:p>
      <w:pPr>
        <w:spacing w:before="280"/>
      </w:pPr>
      <w:r>
        <w:rPr>
          <w:rFonts w:ascii="Times New Roman" w:hAnsi="Times New Roman" w:eastAsia="KaiTi"/>
        </w:rPr>
        <w:t>簽名或蓋章  ______________________________</w:t>
      </w:r>
    </w:p>
    <w:p>
      <w:r>
        <w:rPr>
          <w:rFonts w:ascii="Times New Roman" w:hAnsi="Times New Roman" w:eastAsia="KaiTi"/>
        </w:rPr>
        <w:t>簽署日期　［年］年［月］月［日］日</w:t>
      </w:r>
    </w:p>
    <w:p>
      <w:pPr>
        <w:spacing w:before="320"/>
      </w:pPr>
      <w:r>
        <w:rPr>
          <w:rFonts w:ascii="Times New Roman" w:hAnsi="Times New Roman" w:eastAsia="KaiTi"/>
        </w:rPr>
        <w:t>合約日期　［年］年［月］月［日］日</w:t>
      </w:r>
    </w:p>
    <w:sectPr w:rsidR="00FC693F" w:rsidRPr="0006063C" w:rsidSect="00034616">
      <w:pgSz w:w="11906" w:h="16838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KaiTi">
    <w:altName w:val="KaiTi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decimal"/>
      <w:lvlText w:val="%1."/>
      <w:lvlJc w:val="left"/>
    </w:lvl>
  </w:abstractNum>
  <w:num w:numId="10">
    <w:abstractNumId w:val="9"/>
  </w:num>
  <w:abstractNum w:abstractNumId="10">
    <w:lvl w:ilvl="0">
      <w:start w:val="1"/>
      <w:numFmt w:val="decimal"/>
      <w:lvlText w:val="%1."/>
      <w:lvlJc w:val="left"/>
    </w:lvl>
  </w:abstractNum>
  <w:num w:numId="11">
    <w:abstractNumId w:val="10"/>
  </w:num>
  <w:abstractNum w:abstractNumId="11">
    <w:lvl w:ilvl="0">
      <w:start w:val="1"/>
      <w:numFmt w:val="decimal"/>
      <w:lvlText w:val="%1."/>
      <w:lvlJc w:val="left"/>
    </w:lvl>
  </w:abstractNum>
  <w:num w:numId="12">
    <w:abstractNumId w:val="11"/>
  </w:num>
  <w:abstractNum w:abstractNumId="12">
    <w:lvl w:ilvl="0">
      <w:start w:val="1"/>
      <w:numFmt w:val="decimal"/>
      <w:lvlText w:val="%1."/>
      <w:lvlJc w:val="left"/>
    </w:lvl>
  </w:abstractNum>
  <w:num w:numId="13">
    <w:abstractNumId w:val="12"/>
  </w:num>
  <w:abstractNum w:abstractNumId="13">
    <w:lvl w:ilvl="0">
      <w:start w:val="1"/>
      <w:numFmt w:val="decimal"/>
      <w:lvlText w:val="%1."/>
      <w:lvlJc w:val="left"/>
    </w:lvl>
  </w:abstractNum>
  <w:num w:numId="14">
    <w:abstractNumId w:val="13"/>
  </w:num>
  <w:abstractNum w:abstractNumId="14">
    <w:lvl w:ilvl="0">
      <w:start w:val="1"/>
      <w:numFmt w:val="decimal"/>
      <w:lvlText w:val="%1."/>
      <w:lvlJc w:val="left"/>
    </w:lvl>
  </w:abstractNum>
  <w:num w:numId="15">
    <w:abstractNumId w:val="14"/>
  </w:num>
  <w:abstractNum w:abstractNumId="15">
    <w:lvl w:ilvl="0">
      <w:start w:val="1"/>
      <w:numFmt w:val="decimal"/>
      <w:lvlText w:val="%1."/>
      <w:lvlJc w:val="left"/>
    </w:lvl>
  </w:abstractNum>
  <w:num w:numId="16">
    <w:abstractNumId w:val="15"/>
  </w:num>
  <w:abstractNum w:abstractNumId="16">
    <w:lvl w:ilvl="0">
      <w:start w:val="1"/>
      <w:numFmt w:val="decimal"/>
      <w:lvlText w:val="%1."/>
      <w:lvlJc w:val="left"/>
    </w:lvl>
  </w:abstractNum>
  <w:num w:numId="17">
    <w:abstractNumId w:val="16"/>
  </w:num>
  <w:abstractNum w:abstractNumId="17">
    <w:lvl w:ilvl="0">
      <w:start w:val="1"/>
      <w:numFmt w:val="decimal"/>
      <w:lvlText w:val="%1."/>
      <w:lvlJc w:val="left"/>
    </w:lvl>
  </w:abstract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Times New Roman" w:hAnsi="Times New Roman" w:cs="Times New Roman" w:eastAsia="KaiT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0" w:lineRule="auto" w:after="120"/>
    </w:pPr>
    <w:rPr>
      <w:rFonts w:ascii="Times New Roman" w:hAnsi="Times New Roman" w:eastAsia="KaiTi" w:cs="Times New Roman"/>
      <w:color w:val="000000"/>
      <w:sz w:val="22"/>
      <w:lang w:val="en-US" w:eastAsia="zh-T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cstheme="majorBidi" w:ascii="Times New Roman" w:hAnsi="Times New Roman" w:eastAsia="KaiTi" w:cs="Times New Roman"/>
      <w:b/>
      <w:bCs/>
      <w:color w:val="000000"/>
      <w:sz w:val="22"/>
      <w:szCs w:val="28"/>
      <w:lang w:val="en-US" w:eastAsia="zh-TW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Times New Roman" w:hAnsi="Times New Roman" w:eastAsia="KaiTi" w:cs="Times New Roman"/>
      <w:b/>
      <w:bCs/>
      <w:color w:val="000000"/>
      <w:sz w:val="26"/>
      <w:szCs w:val="26"/>
      <w:lang w:val="en-US" w:eastAsia="zh-TW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Times New Roman" w:hAnsi="Times New Roman" w:cs="Times New Roman" w:eastAsia="KaiT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Times New Roman" w:hAnsi="Times New Roman" w:cs="Times New Roman" w:eastAsia="KaiT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40" w:line="240" w:lineRule="auto"/>
      <w:contextualSpacing/>
    </w:pPr>
    <w:rPr>
      <w:rFonts w:cstheme="majorBidi" w:ascii="Times New Roman" w:hAnsi="Times New Roman" w:eastAsia="KaiTi" w:cs="Times New Roman"/>
      <w:b/>
      <w:color w:val="000000"/>
      <w:spacing w:val="5"/>
      <w:kern w:val="28"/>
      <w:sz w:val="28"/>
      <w:szCs w:val="52"/>
      <w:lang w:val="en-US" w:eastAsia="zh-TW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Times New Roman" w:hAnsi="Times New Roman" w:cs="Times New Roman" w:eastAsia="KaiT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KaiTi" w:cs="Times New Roman"/>
      <w:color w:val="000000"/>
      <w:lang w:val="en-US" w:eastAsia="zh-TW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KaiT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KaiT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Times New Roman" w:hAnsi="Times New Roman" w:cs="Times New Roman" w:eastAsia="KaiT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Podcast 節目贊助合約書</dc:title>
  <dc:subject>Editable agreement template</dc:subject>
  <dc:creator>Taloox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