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UGC Content Production and License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Brand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Creator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Create [number, format, length and aspect ratios] for brand channels. Creator posting is excluded unless listed. Brand supplies [products and approved claims]; include [revision rounds], with reshoots caused by brief changes charged separately.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Draft [date], feedback [days], final [date]. The license begins [trigger] and lasts [term].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Assess files against [brief and technical specifications]. Brand provides one consolidated response per round within [days]; subjective changes outside the brief are additional work.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Content License and Advertising Access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Creator retains copyright; brand receives [media, territory and term] license after agreed payment. Raw footage, paid ads, creator-account ad access and AI reuse are separate choices with fees. No password sharing; any platform ad permission expires [date]. Endorsements must reflect actual experience and disclose the relationship where required.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Brand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Creator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UGC Content Production and License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