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UGC 素材製作暨使用授權合約書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品牌方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創作者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為品牌管道製作［數量、格式、長度及比例］，除明列外不含創作者帳號發布。品牌提供［商品及核准宣稱］；含［修改輪次］，變更規格導致重拍另計。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初稿［日期］、回饋［天數］、定稿［日期］；授權自［條件］起算［期間］。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依［企劃及技術規格］驗收；品牌每輪於［天數］內統整回饋，超出企劃的主觀改動另計。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內容授權與廣告權限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創作者保有著作權，品牌依約付款後取得［媒體、地區、期間］授權。原始檔、付費廣告、創作者帳號投放及 AI 再利用須分別同意並議價；不交付密碼，平台投放權限於［日期］到期。薦證須符合真實體驗，並依法揭露合作關係。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品牌方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創作者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UGC 素材製作暨使用授權合約書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