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51D93" w:rsidRDefault="00000000">
      <w:pPr>
        <w:pStyle w:val="Title"/>
      </w:pPr>
      <w:r>
        <w:t>Emulating Comparative Oncology Trials with Real-world Evidence Studies (ENCORE): Process Development and Methodological Considerations for Oncology Real-World Data</w:t>
      </w:r>
    </w:p>
    <w:p w:rsidR="00B51D93" w:rsidRDefault="00000000">
      <w:pPr>
        <w:pStyle w:val="FirstParagraph"/>
      </w:pPr>
      <w:r>
        <w:rPr>
          <w:b/>
          <w:bCs/>
        </w:rPr>
        <w:t>Authors</w:t>
      </w:r>
      <w:r>
        <w:t>: Janick Weberpals</w:t>
      </w:r>
      <w:r>
        <w:rPr>
          <w:vertAlign w:val="superscript"/>
        </w:rPr>
        <w:t>1</w:t>
      </w:r>
      <w:r>
        <w:t>, Sebastian Schneeweiss</w:t>
      </w:r>
      <w:r>
        <w:rPr>
          <w:vertAlign w:val="superscript"/>
        </w:rPr>
        <w:t>1</w:t>
      </w:r>
      <w:r>
        <w:t>, Kenneth L. Kehl</w:t>
      </w:r>
      <w:r>
        <w:rPr>
          <w:vertAlign w:val="superscript"/>
        </w:rPr>
        <w:t>2</w:t>
      </w:r>
      <w:r>
        <w:t>, Donna R. Rivera</w:t>
      </w:r>
      <w:r>
        <w:rPr>
          <w:vertAlign w:val="superscript"/>
        </w:rPr>
        <w:t>3*</w:t>
      </w:r>
      <w:r>
        <w:t>, Pallavi Mishra-Kalyani</w:t>
      </w:r>
      <w:r>
        <w:rPr>
          <w:vertAlign w:val="superscript"/>
        </w:rPr>
        <w:t>3</w:t>
      </w:r>
      <w:r>
        <w:t>, Catherine C. Lerro</w:t>
      </w:r>
      <w:r>
        <w:rPr>
          <w:vertAlign w:val="superscript"/>
        </w:rPr>
        <w:t>3*</w:t>
      </w:r>
      <w:r>
        <w:t>, Erin Larkins</w:t>
      </w:r>
      <w:r>
        <w:rPr>
          <w:vertAlign w:val="superscript"/>
        </w:rPr>
        <w:t>4</w:t>
      </w:r>
      <w:r>
        <w:t>, Preeti Narayan</w:t>
      </w:r>
      <w:r>
        <w:rPr>
          <w:vertAlign w:val="superscript"/>
        </w:rPr>
        <w:t>4</w:t>
      </w:r>
      <w:r>
        <w:t>, Richard Curley</w:t>
      </w:r>
      <w:r>
        <w:rPr>
          <w:vertAlign w:val="superscript"/>
        </w:rPr>
        <w:t>3</w:t>
      </w:r>
      <w:r>
        <w:t>, Georg Hahn</w:t>
      </w:r>
      <w:r>
        <w:rPr>
          <w:vertAlign w:val="superscript"/>
        </w:rPr>
        <w:t>1</w:t>
      </w:r>
      <w:r>
        <w:t>, Priyanka Anand</w:t>
      </w:r>
      <w:r>
        <w:rPr>
          <w:vertAlign w:val="superscript"/>
        </w:rPr>
        <w:t>1</w:t>
      </w:r>
      <w:r>
        <w:t>, Yanina Natanzon</w:t>
      </w:r>
      <w:r>
        <w:rPr>
          <w:vertAlign w:val="superscript"/>
        </w:rPr>
        <w:t>5</w:t>
      </w:r>
      <w:r>
        <w:t>, Andrew J. Belli</w:t>
      </w:r>
      <w:r>
        <w:rPr>
          <w:vertAlign w:val="superscript"/>
        </w:rPr>
        <w:t>6</w:t>
      </w:r>
      <w:r>
        <w:t>, Ching-Kun Wang</w:t>
      </w:r>
      <w:r>
        <w:rPr>
          <w:vertAlign w:val="superscript"/>
        </w:rPr>
        <w:t>6</w:t>
      </w:r>
      <w:r>
        <w:t>, Jenna Collins</w:t>
      </w:r>
      <w:r>
        <w:rPr>
          <w:vertAlign w:val="superscript"/>
        </w:rPr>
        <w:t>7</w:t>
      </w:r>
      <w:r>
        <w:rPr>
          <w:b/>
          <w:bCs/>
        </w:rPr>
        <w:t>,</w:t>
      </w:r>
      <w:r>
        <w:t xml:space="preserve"> Jonathan Kish</w:t>
      </w:r>
      <w:r>
        <w:rPr>
          <w:vertAlign w:val="superscript"/>
        </w:rPr>
        <w:t>7</w:t>
      </w:r>
      <w:r>
        <w:rPr>
          <w:b/>
          <w:bCs/>
        </w:rPr>
        <w:t>,</w:t>
      </w:r>
      <w:r>
        <w:t xml:space="preserve"> Janet Espirito</w:t>
      </w:r>
      <w:r>
        <w:rPr>
          <w:vertAlign w:val="superscript"/>
        </w:rPr>
        <w:t>8</w:t>
      </w:r>
      <w:r>
        <w:t>, Nicholas J Robert</w:t>
      </w:r>
      <w:r>
        <w:rPr>
          <w:vertAlign w:val="superscript"/>
        </w:rPr>
        <w:t>8</w:t>
      </w:r>
      <w:r>
        <w:t>, Robert J. Glynn</w:t>
      </w:r>
      <w:r>
        <w:rPr>
          <w:vertAlign w:val="superscript"/>
        </w:rPr>
        <w:t>1</w:t>
      </w:r>
      <w:r>
        <w:t>, Shirley V. Wang</w:t>
      </w:r>
      <w:r>
        <w:rPr>
          <w:vertAlign w:val="superscript"/>
        </w:rPr>
        <w:t>1</w:t>
      </w:r>
    </w:p>
    <w:p w:rsidR="00B51D93" w:rsidRDefault="00000000">
      <w:pPr>
        <w:pStyle w:val="BodyText"/>
      </w:pPr>
      <w:r>
        <w:rPr>
          <w:u w:val="single"/>
        </w:rPr>
        <w:t>Author affiliations:</w:t>
      </w:r>
    </w:p>
    <w:p w:rsidR="00B51D93" w:rsidRDefault="00000000">
      <w:pPr>
        <w:pStyle w:val="BodyText"/>
      </w:pPr>
      <w:r>
        <w:rPr>
          <w:vertAlign w:val="superscript"/>
        </w:rPr>
        <w:t>1</w:t>
      </w:r>
      <w:r>
        <w:t xml:space="preserve"> Division of Pharmacoepidemiology and Pharmacoeconomics, Department of Medicine, Brigham and Women’s Hospital, Harvard Medical School, Boston, MA, USA</w:t>
      </w:r>
    </w:p>
    <w:p w:rsidR="00B51D93" w:rsidRDefault="00000000">
      <w:pPr>
        <w:pStyle w:val="BodyText"/>
      </w:pPr>
      <w:r>
        <w:rPr>
          <w:vertAlign w:val="superscript"/>
        </w:rPr>
        <w:t>2</w:t>
      </w:r>
      <w:r>
        <w:t xml:space="preserve"> Dana-Farber Cancer Institute, Boston, MA, USA</w:t>
      </w:r>
    </w:p>
    <w:p w:rsidR="00B51D93" w:rsidRDefault="00000000">
      <w:pPr>
        <w:pStyle w:val="BodyText"/>
      </w:pPr>
      <w:r>
        <w:rPr>
          <w:vertAlign w:val="superscript"/>
        </w:rPr>
        <w:t>3</w:t>
      </w:r>
      <w:r>
        <w:t xml:space="preserve"> Oncology Center of Excellence, US Food and Drug Administration, Silver Spring, MD, USA</w:t>
      </w:r>
    </w:p>
    <w:p w:rsidR="00B51D93" w:rsidRDefault="00000000">
      <w:pPr>
        <w:pStyle w:val="BodyText"/>
      </w:pPr>
      <w:r>
        <w:rPr>
          <w:vertAlign w:val="superscript"/>
        </w:rPr>
        <w:t>4</w:t>
      </w:r>
      <w:r>
        <w:t xml:space="preserve"> Center for Drug Evaluation and Research, US Food and Drug Administration, Silver Spring, MD, USA</w:t>
      </w:r>
    </w:p>
    <w:p w:rsidR="00B51D93" w:rsidRDefault="00000000">
      <w:pPr>
        <w:pStyle w:val="BodyText"/>
      </w:pPr>
      <w:r>
        <w:rPr>
          <w:vertAlign w:val="superscript"/>
        </w:rPr>
        <w:t>5</w:t>
      </w:r>
      <w:r>
        <w:t xml:space="preserve"> ConcertAI, Cambridge, MA, USA</w:t>
      </w:r>
    </w:p>
    <w:p w:rsidR="00B51D93" w:rsidRDefault="00000000">
      <w:pPr>
        <w:pStyle w:val="BodyText"/>
      </w:pPr>
      <w:r>
        <w:rPr>
          <w:vertAlign w:val="superscript"/>
        </w:rPr>
        <w:t>6</w:t>
      </w:r>
      <w:r>
        <w:t xml:space="preserve"> COTA, Inc., New York, NY, USA</w:t>
      </w:r>
    </w:p>
    <w:p w:rsidR="00B51D93" w:rsidRDefault="00000000">
      <w:pPr>
        <w:pStyle w:val="BodyText"/>
      </w:pPr>
      <w:r>
        <w:rPr>
          <w:vertAlign w:val="superscript"/>
        </w:rPr>
        <w:t>7</w:t>
      </w:r>
      <w:r>
        <w:t xml:space="preserve"> Flatiron Health, Inc., New York, NY, USA</w:t>
      </w:r>
    </w:p>
    <w:p w:rsidR="00B51D93" w:rsidRDefault="00000000">
      <w:pPr>
        <w:pStyle w:val="BodyText"/>
      </w:pPr>
      <w:r>
        <w:rPr>
          <w:vertAlign w:val="superscript"/>
        </w:rPr>
        <w:t>8</w:t>
      </w:r>
      <w:r>
        <w:t xml:space="preserve"> Ontada, Boston, MA, USA</w:t>
      </w:r>
    </w:p>
    <w:p w:rsidR="00B51D93" w:rsidRDefault="00000000">
      <w:pPr>
        <w:pStyle w:val="BodyText"/>
      </w:pPr>
      <w:r>
        <w:t>*At the time this research was conducted</w:t>
      </w:r>
    </w:p>
    <w:p w:rsidR="00B51D93" w:rsidRDefault="00000000">
      <w:pPr>
        <w:pStyle w:val="BodyText"/>
      </w:pPr>
      <w:r>
        <w:rPr>
          <w:b/>
          <w:bCs/>
          <w:u w:val="single"/>
        </w:rPr>
        <w:t>Correspondence:</w:t>
      </w:r>
    </w:p>
    <w:p w:rsidR="00B51D93" w:rsidRDefault="00000000">
      <w:pPr>
        <w:pStyle w:val="BodyText"/>
      </w:pPr>
      <w:r>
        <w:t>Shirley V. Wang, PhD</w:t>
      </w:r>
    </w:p>
    <w:p w:rsidR="00B51D93" w:rsidRDefault="00000000">
      <w:pPr>
        <w:pStyle w:val="BodyText"/>
      </w:pPr>
      <w:r>
        <w:t>Division of Pharmacoepidemiology and Pharmacoeconomics,</w:t>
      </w:r>
    </w:p>
    <w:p w:rsidR="00B51D93" w:rsidRDefault="00000000">
      <w:pPr>
        <w:pStyle w:val="BodyText"/>
      </w:pPr>
      <w:r>
        <w:lastRenderedPageBreak/>
        <w:t>Department of Medicine, Brigham and Women’s Hospital, Harvard Medical School,</w:t>
      </w:r>
    </w:p>
    <w:p w:rsidR="00B51D93" w:rsidRDefault="00000000">
      <w:pPr>
        <w:pStyle w:val="BodyText"/>
      </w:pPr>
      <w:r>
        <w:t>1620 Tremont Street, Suite 3030-R, Boston, MA 02120, USA</w:t>
      </w:r>
    </w:p>
    <w:p w:rsidR="00B51D93" w:rsidRDefault="00000000">
      <w:pPr>
        <w:pStyle w:val="BodyText"/>
      </w:pPr>
      <w:r>
        <w:t>Phone: +1 617-278-0932</w:t>
      </w:r>
    </w:p>
    <w:p w:rsidR="00B51D93" w:rsidRDefault="00000000">
      <w:pPr>
        <w:pStyle w:val="BodyText"/>
      </w:pPr>
      <w:r>
        <w:t>Fax: + 1 617-232-8602</w:t>
      </w:r>
    </w:p>
    <w:p w:rsidR="00B51D93" w:rsidRDefault="00000000">
      <w:pPr>
        <w:pStyle w:val="BodyText"/>
      </w:pPr>
      <w:r>
        <w:t xml:space="preserve">Email: </w:t>
      </w:r>
      <w:hyperlink r:id="rId7">
        <w:r>
          <w:rPr>
            <w:rStyle w:val="Hyperlink"/>
          </w:rPr>
          <w:t>SWANG1@BWH.HARVARD.EDU</w:t>
        </w:r>
      </w:hyperlink>
    </w:p>
    <w:p w:rsidR="00B51D93" w:rsidRDefault="00000000">
      <w:pPr>
        <w:pStyle w:val="BodyText"/>
      </w:pPr>
      <w:r>
        <w:rPr>
          <w:b/>
          <w:bCs/>
          <w:u w:val="single"/>
        </w:rPr>
        <w:t>Article type:</w:t>
      </w:r>
      <w:r>
        <w:t xml:space="preserve"> Review</w:t>
      </w:r>
    </w:p>
    <w:p w:rsidR="00B51D93" w:rsidRDefault="00000000">
      <w:pPr>
        <w:pStyle w:val="BodyText"/>
      </w:pPr>
      <w:r>
        <w:rPr>
          <w:b/>
          <w:bCs/>
          <w:u w:val="single"/>
        </w:rPr>
        <w:t>Manuscript word count:</w:t>
      </w:r>
      <w:r>
        <w:t xml:space="preserve"> 4,787 words / 8,000 words</w:t>
      </w:r>
    </w:p>
    <w:p w:rsidR="00B51D93" w:rsidRDefault="00000000">
      <w:pPr>
        <w:pStyle w:val="BodyText"/>
      </w:pPr>
      <w:r>
        <w:rPr>
          <w:b/>
          <w:bCs/>
          <w:u w:val="single"/>
        </w:rPr>
        <w:t>Abstract word count:</w:t>
      </w:r>
      <w:r>
        <w:t xml:space="preserve"> 224 words / 250 words</w:t>
      </w:r>
    </w:p>
    <w:p w:rsidR="00B51D93" w:rsidRDefault="00000000">
      <w:pPr>
        <w:pStyle w:val="BodyText"/>
      </w:pPr>
      <w:r>
        <w:rPr>
          <w:b/>
          <w:bCs/>
          <w:u w:val="single"/>
        </w:rPr>
        <w:t>Tables:</w:t>
      </w:r>
      <w:r>
        <w:t xml:space="preserve"> 3</w:t>
      </w:r>
    </w:p>
    <w:p w:rsidR="00B51D93" w:rsidRDefault="00000000">
      <w:pPr>
        <w:pStyle w:val="BodyText"/>
      </w:pPr>
      <w:r>
        <w:rPr>
          <w:b/>
          <w:bCs/>
          <w:u w:val="single"/>
        </w:rPr>
        <w:t>Figures:</w:t>
      </w:r>
      <w:r>
        <w:t xml:space="preserve"> 3</w:t>
      </w:r>
    </w:p>
    <w:p w:rsidR="00B51D93" w:rsidRDefault="00000000">
      <w:pPr>
        <w:pStyle w:val="BodyText"/>
      </w:pPr>
      <w:r>
        <w:rPr>
          <w:b/>
          <w:bCs/>
          <w:u w:val="single"/>
        </w:rPr>
        <w:t>Supplementary material:</w:t>
      </w:r>
      <w:r>
        <w:t xml:space="preserve"> Supplementary figures, tables and material</w:t>
      </w:r>
    </w:p>
    <w:p w:rsidR="00B51D93" w:rsidRDefault="00000000">
      <w:pPr>
        <w:pStyle w:val="BodyText"/>
      </w:pPr>
      <w:r>
        <w:rPr>
          <w:b/>
          <w:bCs/>
          <w:u w:val="single"/>
        </w:rPr>
        <w:t>Short running title</w:t>
      </w:r>
      <w:r>
        <w:t>: Emulation of Comparative Oncology Trials with Real-world Evidence (ENCORE)</w:t>
      </w:r>
    </w:p>
    <w:p w:rsidR="00B51D93" w:rsidRDefault="00000000">
      <w:pPr>
        <w:pStyle w:val="BodyText"/>
      </w:pPr>
      <w:r>
        <w:rPr>
          <w:b/>
          <w:bCs/>
          <w:u w:val="single"/>
        </w:rPr>
        <w:t>Keywords:</w:t>
      </w:r>
      <w:r>
        <w:t xml:space="preserve"> Oncology, Real-World Evidence, Trial emulation, EHR</w:t>
      </w:r>
    </w:p>
    <w:p w:rsidR="00B51D93" w:rsidRDefault="00000000">
      <w:pPr>
        <w:pStyle w:val="BodyText"/>
      </w:pPr>
      <w:r>
        <w:rPr>
          <w:b/>
          <w:bCs/>
          <w:u w:val="single"/>
        </w:rPr>
        <w:t>FDA Disclaimer</w:t>
      </w:r>
      <w:r>
        <w:rPr>
          <w:b/>
          <w:bCs/>
        </w:rPr>
        <w:t>:</w:t>
      </w:r>
      <w:r>
        <w:t xml:space="preserve"> This article reflects the views of the authors and should not be construed to represent FDA’s views or policies.</w:t>
      </w:r>
    </w:p>
    <w:p w:rsidR="00B51D93" w:rsidRDefault="00000000">
      <w:pPr>
        <w:pStyle w:val="BodyText"/>
      </w:pPr>
      <w:r>
        <w:rPr>
          <w:b/>
          <w:bCs/>
          <w:u w:val="single"/>
        </w:rPr>
        <w:t>Funding Statement:</w:t>
      </w:r>
      <w:r>
        <w:t xml:space="preserve"> 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rsidR="00B51D93" w:rsidRDefault="00000000">
      <w:pPr>
        <w:pStyle w:val="BodyText"/>
      </w:pPr>
      <w:r>
        <w:rPr>
          <w:b/>
          <w:bCs/>
          <w:u w:val="single"/>
        </w:rPr>
        <w:t>Competing Interests Statement:</w:t>
      </w:r>
      <w:r>
        <w:t xml:space="preserve"> 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w:t>
      </w:r>
      <w:r>
        <w:lastRenderedPageBreak/>
        <w:t>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 All other authors declared no competing interests for this work.</w:t>
      </w:r>
    </w:p>
    <w:p w:rsidR="00B51D93" w:rsidRDefault="00000000">
      <w:pPr>
        <w:pStyle w:val="BodyText"/>
      </w:pPr>
      <w:r>
        <w:rPr>
          <w:b/>
          <w:bCs/>
          <w:u w:val="single"/>
        </w:rPr>
        <w:t>Data sharing statement:</w:t>
      </w:r>
      <w:r>
        <w:t xml:space="preserve"> No data was analyzed as part of this project.</w:t>
      </w:r>
    </w:p>
    <w:p w:rsidR="00B51D93" w:rsidRDefault="00000000">
      <w:pPr>
        <w:pStyle w:val="BodyText"/>
      </w:pPr>
      <w:r>
        <w:rPr>
          <w:b/>
          <w:bCs/>
          <w:u w:val="single"/>
        </w:rPr>
        <w:t>Analytic code sharing statement:</w:t>
      </w:r>
      <w:r>
        <w:t xml:space="preserve"> Simulated examples and code to implement analytic workflows described in this manuscript are illustrated at </w:t>
      </w:r>
      <w:hyperlink r:id="rId8">
        <w:r>
          <w:rPr>
            <w:rStyle w:val="Hyperlink"/>
          </w:rPr>
          <w:t>https://janickweberpals.github.io/imputation-ps-workflows/</w:t>
        </w:r>
      </w:hyperlink>
      <w:r>
        <w:t xml:space="preserve"> and can be reproduced via the </w:t>
      </w:r>
      <w:r>
        <w:rPr>
          <w:rStyle w:val="VerbatimChar"/>
        </w:rPr>
        <w:t>encore.analytics</w:t>
      </w:r>
      <w:r>
        <w:t xml:space="preserve"> R package (</w:t>
      </w:r>
      <w:hyperlink r:id="rId9">
        <w:r>
          <w:rPr>
            <w:rStyle w:val="Hyperlink"/>
          </w:rPr>
          <w:t>https://github.com/janickweberpals/encore.analytics/</w:t>
        </w:r>
      </w:hyperlink>
      <w:r>
        <w:t>).</w:t>
      </w:r>
    </w:p>
    <w:p w:rsidR="00B51D93" w:rsidRDefault="00000000">
      <w:pPr>
        <w:pStyle w:val="BodyText"/>
      </w:pPr>
      <w:r>
        <w:rPr>
          <w:b/>
          <w:bCs/>
          <w:u w:val="single"/>
        </w:rPr>
        <w:t>Declaration of Generative AI and AI-assisted technologies in the writing process:</w:t>
      </w:r>
      <w:r>
        <w:t>Gemini was used for proofreading and improving the clarity of the language in this manuscript. After using this tool, the authors reviewed and edited the content as needed and take full responsibility for the content of the publication.</w:t>
      </w:r>
    </w:p>
    <w:p w:rsidR="00B51D93" w:rsidRDefault="00000000">
      <w:pPr>
        <w:pStyle w:val="BodyText"/>
      </w:pPr>
      <w:r>
        <w:rPr>
          <w:i/>
          <w:iCs/>
        </w:rPr>
        <w:t>Manuscript last updated: 2025-12-07</w:t>
      </w:r>
    </w:p>
    <w:p w:rsidR="00B51D93" w:rsidRDefault="00000000">
      <w:r>
        <w:br w:type="page"/>
      </w:r>
    </w:p>
    <w:p w:rsidR="00B51D93" w:rsidRDefault="00000000">
      <w:pPr>
        <w:pStyle w:val="Heading1"/>
      </w:pPr>
      <w:bookmarkStart w:id="0" w:name="abstract"/>
      <w:r>
        <w:lastRenderedPageBreak/>
        <w:t>Abstract</w:t>
      </w:r>
    </w:p>
    <w:p w:rsidR="00B51D93" w:rsidRDefault="00000000">
      <w:pPr>
        <w:pStyle w:val="FirstParagraph"/>
      </w:pPr>
      <w:r>
        <w:t>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(EHR) data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rsidR="00B51D93" w:rsidRDefault="00000000">
      <w:r>
        <w:br w:type="page"/>
      </w:r>
    </w:p>
    <w:p w:rsidR="00B51D93" w:rsidRDefault="00000000">
      <w:pPr>
        <w:pStyle w:val="Heading1"/>
      </w:pPr>
      <w:bookmarkStart w:id="1" w:name="background"/>
      <w:bookmarkEnd w:id="0"/>
      <w:r>
        <w:lastRenderedPageBreak/>
        <w:t>Background</w:t>
      </w:r>
    </w:p>
    <w:p w:rsidR="00B51D93" w:rsidRDefault="00000000">
      <w:pPr>
        <w:pStyle w:val="FirstParagraph"/>
      </w:pPr>
      <w:r>
        <w:t>Randomized controlled trials (RCTs) are the evidentiary gold standard methodology for establishing the efficacy and safety of medical products. Guided by the 21</w:t>
      </w:r>
      <w:r>
        <w:rPr>
          <w:vertAlign w:val="superscript"/>
        </w:rPr>
        <w:t>st</w:t>
      </w:r>
      <w:r>
        <w:t xml:space="preserve"> Century Cures Act,</w:t>
      </w:r>
      <w:r>
        <w:rPr>
          <w:vertAlign w:val="superscript"/>
        </w:rPr>
        <w:t>1</w:t>
      </w:r>
      <w:r>
        <w:t xml:space="preserve"> 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1</w:t>
      </w:r>
      <w:r>
        <w:t xml:space="preserve"> Accounting for approximately 30% of new FDA drug approvals, oncology was the disease area with the most new approvals in 2023</w:t>
      </w:r>
      <w:r>
        <w:rPr>
          <w:vertAlign w:val="superscript"/>
        </w:rPr>
        <w:t>2</w:t>
      </w:r>
      <w:r>
        <w:t xml:space="preserve"> 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rsidR="00B51D93" w:rsidRDefault="00000000">
      <w:pPr>
        <w:pStyle w:val="BodyText"/>
      </w:pPr>
      <w:r>
        <w:t>However, the comparability and transportability of results derived between non-interventional studies and RCTs depends on multiple factors. Frequently referenced limitations include the lack of baseline randomization and the resulting imbalance in prognostic factors, which are often compounded by missing data, small study sizes, and data discontinuity.</w:t>
      </w:r>
      <w:r>
        <w:rPr>
          <w:vertAlign w:val="superscript"/>
        </w:rPr>
        <w:t>3,4</w:t>
      </w:r>
      <w:r>
        <w:t xml:space="preserve"> 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5</w:t>
      </w:r>
      <w:r>
        <w:t xml:space="preserve"> While examples of oncology trial emulations have been published,</w:t>
      </w:r>
      <w:r>
        <w:rPr>
          <w:vertAlign w:val="superscript"/>
        </w:rPr>
        <w:t>5–7</w:t>
      </w:r>
      <w:r>
        <w:t xml:space="preserve"> 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rsidR="00B51D93" w:rsidRDefault="00000000">
      <w:pPr>
        <w:pStyle w:val="BodyText"/>
      </w:pPr>
      <w:r>
        <w:t>The RCT DUPLICATE initiative</w:t>
      </w:r>
      <w:r>
        <w:rPr>
          <w:vertAlign w:val="superscript"/>
        </w:rPr>
        <w:t>8</w:t>
      </w:r>
      <w:r>
        <w:t xml:space="preserve"> evaluated when non-interventional studies can come to causal conclusions on treatment effects by benchmarking results against RCTs under the assumption that well-designed and conducted RCT findings reflect causal treatment </w:t>
      </w:r>
      <w:r>
        <w:lastRenderedPageBreak/>
        <w:t>effects. In settings where the RCT designs could be emulated well, non-interventional studies were able to reach similar conclusions.</w:t>
      </w:r>
      <w:r>
        <w:rPr>
          <w:vertAlign w:val="superscript"/>
        </w:rPr>
        <w:t>9</w:t>
      </w:r>
      <w:r>
        <w:t xml:space="preserve"> However, this prior work from RCT-DUPLICATE focused on emulating trials in non-oncology settings using claims databases.</w:t>
      </w:r>
    </w:p>
    <w:p w:rsidR="00B51D93" w:rsidRDefault="00000000">
      <w:pPr>
        <w:pStyle w:val="BodyText"/>
      </w:pPr>
      <w:r>
        <w:t xml:space="preserve">The </w:t>
      </w:r>
      <w:r>
        <w:rPr>
          <w:i/>
          <w:iCs/>
        </w:rPr>
        <w:t>Emulation of Comparative Oncology Trials with Real-world Evidence</w:t>
      </w:r>
      <w:r>
        <w:t xml:space="preserve"> (ENCORE) project</w:t>
      </w:r>
      <w:r>
        <w:rPr>
          <w:vertAlign w:val="superscript"/>
        </w:rPr>
        <w:t>10</w:t>
      </w:r>
      <w:r>
        <w:t xml:space="preserve"> aims to extend this work to oncology. Clinical studies in oncology come with unique methodological challenges which must be systematically explored and understood. Building on a process co-developed with the FDA through RCT DUPLICATE,</w:t>
      </w:r>
      <w:r>
        <w:rPr>
          <w:vertAlign w:val="superscript"/>
        </w:rPr>
        <w:t>8</w:t>
      </w:r>
      <w:r>
        <w:t xml:space="preserve"> this expansion to oncology will emulate 12 randomized clinical trials using multiple specialty oncology EHR data sources. The process will emphasize transparency and include a data fitness-for-use assessment</w:t>
      </w:r>
      <w:r>
        <w:rPr>
          <w:vertAlign w:val="superscript"/>
        </w:rPr>
        <w:t>11,12</w:t>
      </w:r>
      <w:r>
        <w:t xml:space="preserve"> for each RWD source with respect to each trial emulation as well as extensive sensitivity analyses to assess robustness of findings.</w:t>
      </w:r>
    </w:p>
    <w:p w:rsidR="00B51D93" w:rsidRDefault="00000000">
      <w:pPr>
        <w:pStyle w:val="BodyText"/>
      </w:pPr>
      <w:r>
        <w:t>The objectives of this project are to 1) develop state-of-the-art methodological approaches for trial emulation in oncology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rsidR="00B51D93" w:rsidRDefault="00000000">
      <w:pPr>
        <w:pStyle w:val="BodyText"/>
      </w:pPr>
      <w:r>
        <w:t>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p w:rsidR="00B51D93" w:rsidRDefault="00000000">
      <w:pPr>
        <w:pStyle w:val="Heading1"/>
      </w:pPr>
      <w:bookmarkStart w:id="2" w:name="methods"/>
      <w:bookmarkEnd w:id="1"/>
      <w:r>
        <w:t>Methods</w:t>
      </w:r>
    </w:p>
    <w:p w:rsidR="00B51D93" w:rsidRDefault="00000000">
      <w:pPr>
        <w:pStyle w:val="FirstParagraph"/>
      </w:pPr>
      <w:r>
        <w:t xml:space="preserve">A visual summary of the entire systematic process from trial selection to final results is provided in </w:t>
      </w:r>
      <w:hyperlink w:anchor="fig-process">
        <w:r>
          <w:rPr>
            <w:rStyle w:val="Hyperlink"/>
          </w:rPr>
          <w:t>Figure 1</w:t>
        </w:r>
      </w:hyperlink>
      <w:r>
        <w:t>.</w:t>
      </w:r>
    </w:p>
    <w:p w:rsidR="00B51D93" w:rsidRDefault="00000000">
      <w:pPr>
        <w:pStyle w:val="Heading2"/>
      </w:pPr>
      <w:bookmarkStart w:id="3" w:name="trial-selection"/>
      <w:r>
        <w:lastRenderedPageBreak/>
        <w:t>Trial selection</w:t>
      </w:r>
    </w:p>
    <w:p w:rsidR="00B51D93" w:rsidRDefault="00000000">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 </w:t>
      </w:r>
      <w:r>
        <w:rPr>
          <w:i/>
          <w:iCs/>
        </w:rPr>
        <w:t>n</w:t>
      </w:r>
      <w:r>
        <w:t xml:space="preserve"> databases which are found fit-for-purpose for each trial).</w:t>
      </w:r>
    </w:p>
    <w:p w:rsidR="00B51D93" w:rsidRDefault="00000000">
      <w:pPr>
        <w:pStyle w:val="BodyText"/>
      </w:pPr>
      <w:r>
        <w:t>We used a systematic process for trial selection where the eligibility criteria are documented in CONSORT diagrams</w:t>
      </w:r>
      <w:r>
        <w:rPr>
          <w:vertAlign w:val="superscript"/>
        </w:rPr>
        <w:t>13</w:t>
      </w:r>
      <w:r>
        <w:t xml:space="preserve"> showing reasons for excluding RCTs by cancer type. The search was conducted using the </w:t>
      </w:r>
      <w:r>
        <w:rPr>
          <w:i/>
          <w:iCs/>
        </w:rPr>
        <w:t>Aggregated Analysis of ClinicalTrials.gov</w:t>
      </w:r>
      <w:r>
        <w:t xml:space="preserve"> (AACT)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14</w:t>
      </w:r>
      <w:r>
        <w:t xml:space="preserve"> To identify eligible trials, we used a combined search query strategy of the National Library of Medicine (NLM)-controlled </w:t>
      </w:r>
      <w:r>
        <w:rPr>
          <w:i/>
          <w:iCs/>
        </w:rPr>
        <w:t xml:space="preserve">Medical Subject Headings </w:t>
      </w:r>
      <w:r>
        <w:rPr>
          <w:b/>
          <w:bCs/>
          <w:i/>
          <w:iCs/>
        </w:rPr>
        <w:t>(</w:t>
      </w:r>
      <w:r>
        <w:t xml:space="preserve">MeSH) term and a free keyword search for the respective cancer indication in the </w:t>
      </w:r>
      <w:r>
        <w:rPr>
          <w:i/>
          <w:iCs/>
        </w:rPr>
        <w:t>conditions</w:t>
      </w:r>
      <w:r>
        <w:t xml:space="preserve">, </w:t>
      </w:r>
      <w:r>
        <w:rPr>
          <w:i/>
          <w:iCs/>
        </w:rPr>
        <w:t>studies</w:t>
      </w:r>
      <w:r>
        <w:t xml:space="preserve"> and </w:t>
      </w:r>
      <w:r>
        <w:rPr>
          <w:i/>
          <w:iCs/>
        </w:rPr>
        <w:t>detailed_descriptions</w:t>
      </w:r>
      <w:r>
        <w:t xml:space="preserve"> fields of each trial entry on ClinicalTrials.gov.</w:t>
      </w:r>
    </w:p>
    <w:p w:rsidR="00B51D93" w:rsidRDefault="00000000">
      <w:pPr>
        <w:pStyle w:val="BodyText"/>
      </w:pPr>
      <w:r>
        <w:t>Eligible trials had to fulfill the following basic criteria:</w:t>
      </w:r>
    </w:p>
    <w:p w:rsidR="00B51D93" w:rsidRDefault="00000000">
      <w:pPr>
        <w:numPr>
          <w:ilvl w:val="0"/>
          <w:numId w:val="303"/>
        </w:numPr>
      </w:pPr>
      <w:r>
        <w:t>Interventional</w:t>
      </w:r>
    </w:p>
    <w:p w:rsidR="00B51D93" w:rsidRDefault="00000000">
      <w:pPr>
        <w:numPr>
          <w:ilvl w:val="0"/>
          <w:numId w:val="303"/>
        </w:numPr>
      </w:pPr>
      <w:r>
        <w:t>Randomized</w:t>
      </w:r>
    </w:p>
    <w:p w:rsidR="00B51D93" w:rsidRDefault="00000000">
      <w:pPr>
        <w:numPr>
          <w:ilvl w:val="0"/>
          <w:numId w:val="303"/>
        </w:numPr>
      </w:pPr>
      <w:r>
        <w:t>Intervention model: Parallel assignment</w:t>
      </w:r>
    </w:p>
    <w:p w:rsidR="00B51D93" w:rsidRDefault="00000000">
      <w:pPr>
        <w:numPr>
          <w:ilvl w:val="0"/>
          <w:numId w:val="303"/>
        </w:numPr>
      </w:pPr>
      <w:r>
        <w:t>Industry-sponsored</w:t>
      </w:r>
    </w:p>
    <w:p w:rsidR="00B51D93" w:rsidRDefault="00000000">
      <w:pPr>
        <w:numPr>
          <w:ilvl w:val="0"/>
          <w:numId w:val="303"/>
        </w:numPr>
      </w:pPr>
      <w:r>
        <w:t>Trial start: 2011 or later</w:t>
      </w:r>
    </w:p>
    <w:p w:rsidR="00B51D93" w:rsidRDefault="00000000">
      <w:pPr>
        <w:numPr>
          <w:ilvl w:val="0"/>
          <w:numId w:val="303"/>
        </w:numPr>
      </w:pPr>
      <w:r>
        <w:t>Primary purpose: Study treatment efficacy</w:t>
      </w:r>
    </w:p>
    <w:p w:rsidR="00B51D93" w:rsidRDefault="00000000">
      <w:pPr>
        <w:numPr>
          <w:ilvl w:val="0"/>
          <w:numId w:val="303"/>
        </w:numPr>
      </w:pPr>
      <w:r>
        <w:t>Endpoint(s): Overall survival must be one of the endpoints reported (either as hazard ratio or median overall survival time)</w:t>
      </w:r>
    </w:p>
    <w:p w:rsidR="00B51D93" w:rsidRDefault="00000000">
      <w:pPr>
        <w:numPr>
          <w:ilvl w:val="0"/>
          <w:numId w:val="303"/>
        </w:numPr>
      </w:pPr>
      <w:r>
        <w:lastRenderedPageBreak/>
        <w:t>Recruitment status: ‘Completed’ or ‘Active, not recruiting’</w:t>
      </w:r>
    </w:p>
    <w:p w:rsidR="00B51D93" w:rsidRDefault="00000000">
      <w:pPr>
        <w:numPr>
          <w:ilvl w:val="0"/>
          <w:numId w:val="303"/>
        </w:numPr>
      </w:pPr>
      <w:r>
        <w:t>Feasibility and clinical relevance (latter was defined as treatment or paradigm-changing trials or trials that challenged existing treatment policies)</w:t>
      </w:r>
    </w:p>
    <w:p w:rsidR="00B51D93" w:rsidRDefault="00000000">
      <w:pPr>
        <w:pStyle w:val="FirstParagraph"/>
      </w:pPr>
      <w:r>
        <w:t xml:space="preserve">The operationalization for each criterion is listed in detail in </w:t>
      </w:r>
      <w:hyperlink w:anchor="tbl-criteria">
        <w:r>
          <w:rPr>
            <w:rStyle w:val="Hyperlink"/>
          </w:rPr>
          <w:t>Table 1</w:t>
        </w:r>
      </w:hyperlink>
      <w:r>
        <w:t>.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minimum follow-up time cut-off as the requirements for follow-up time are different for each cancer type and population (e.g., advanced NSCLC versus early-stage breast cancer) and the decisions were made on a clinically relevant basis.</w:t>
      </w:r>
    </w:p>
    <w:p w:rsidR="00B51D93" w:rsidRDefault="00000000">
      <w:pPr>
        <w:pStyle w:val="BodyText"/>
      </w:pPr>
      <w:r>
        <w:t>Although there have been substantial methodological advancements to increase our understanding on the emulation and comparison of real-world progression-free survival (PFS) and objective response rates (ORR) to a RECISTv1.1</w:t>
      </w:r>
      <w:r>
        <w:rPr>
          <w:vertAlign w:val="superscript"/>
        </w:rPr>
        <w:t>15</w:t>
      </w:r>
      <w:r>
        <w:t>-based PFS and ORR assessment in RCTs</w:t>
      </w:r>
      <w:r>
        <w:rPr>
          <w:vertAlign w:val="superscript"/>
        </w:rPr>
        <w:t>16,17</w:t>
      </w:r>
      <w:r>
        <w:t>, imaging-based evaluations still require a level of granularity which is not well reflected in chart-abstracted assessments of a patient’s progression in routine care.</w:t>
      </w:r>
      <w:r>
        <w:rPr>
          <w:vertAlign w:val="superscript"/>
        </w:rPr>
        <w:t>18,19</w:t>
      </w:r>
      <w:r>
        <w:t xml:space="preserve"> The timing and cadence of intervals between progression assessments can differ between RCTs and routine care which may result in measurement error and bias.</w:t>
      </w:r>
      <w:r>
        <w:rPr>
          <w:vertAlign w:val="superscript"/>
        </w:rPr>
        <w:t>20</w:t>
      </w:r>
      <w:r>
        <w:t xml:space="preserve"> 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rsidR="00B51D93" w:rsidRDefault="00000000">
      <w:pPr>
        <w:pStyle w:val="BodyText"/>
      </w:pPr>
      <w:r>
        <w:t>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19</w:t>
      </w:r>
      <w:r>
        <w:t xml:space="preserve"> involving an </w:t>
      </w:r>
      <w:r>
        <w:lastRenderedPageBreak/>
        <w:t>assessment of whether critical eligibility criteria (e.g., biomarker status) including 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rsidR="00B51D93" w:rsidRDefault="00000000">
      <w:pPr>
        <w:pStyle w:val="BodyText"/>
      </w:pPr>
      <w:r>
        <w:t xml:space="preserve">A list of tentative, shortlisted primary candidates is presented in </w:t>
      </w:r>
      <w:hyperlink w:anchor="tbl-rcts">
        <w:r>
          <w:rPr>
            <w:rStyle w:val="Hyperlink"/>
          </w:rPr>
          <w:t>Table 2</w:t>
        </w:r>
      </w:hyperlink>
      <w:r>
        <w:t>. The corresponding selection process is illustrated in the CONSORT diagrams (</w:t>
      </w:r>
      <w:r>
        <w:rPr>
          <w:b/>
          <w:bCs/>
        </w:rPr>
        <w:t>Figures S1-S4</w:t>
      </w:r>
      <w:r>
        <w:t xml:space="preserve">) and runner up candidate trials are listed in </w:t>
      </w:r>
      <w:r>
        <w:rPr>
          <w:b/>
          <w:bCs/>
        </w:rPr>
        <w:t>Table S1</w:t>
      </w:r>
      <w:r>
        <w:t>. The majority of shortlisted trials represent indications for patients with advanced (locally advanced, inoperable, recurrent/progressive disease) or metastatic cancer, because a large proportion of drug development efforts have recently focused on these settings. A key objective that we aim to explore with the selected trials is to evaluate how clinical context (early stage disease versus late stage or advanced disease),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p w:rsidR="00B51D93" w:rsidRDefault="00000000">
      <w:pPr>
        <w:pStyle w:val="Heading2"/>
      </w:pPr>
      <w:bookmarkStart w:id="4" w:name="databases"/>
      <w:bookmarkEnd w:id="3"/>
      <w:r>
        <w:t>Databases</w:t>
      </w:r>
    </w:p>
    <w:p w:rsidR="00B51D93" w:rsidRDefault="00000000">
      <w:pPr>
        <w:pStyle w:val="FirstParagraph"/>
      </w:pPr>
      <w:r>
        <w:t>The ENCORE project will use data from four U.S.-based oncology-specific EHR-derived RWD data sources (in alphabetical order): ConcertAI, COTA, Flatiron Health, and Ontada/McKesson. A detailed description and sampling methodology will be provided with each trial emulation protocol. The four selected databases were chosen because they represent the largest and most comprehensive commercially available U.S.-based oncology-specific EHR-derived RWD data with strong precedence for usage in real-</w:t>
      </w:r>
      <w:r>
        <w:lastRenderedPageBreak/>
        <w:t>world evidence studies. Validation studies for an all-cause mortality were published for some of these data sources</w:t>
      </w:r>
      <w:r>
        <w:rPr>
          <w:vertAlign w:val="superscript"/>
        </w:rPr>
        <w:t>21–24</w:t>
      </w:r>
      <w:r>
        <w:t xml:space="preserve"> and an evaluation study on the capture of general prognostic factors across all data sources is currently underway.</w:t>
      </w:r>
      <w:r>
        <w:rPr>
          <w:vertAlign w:val="superscript"/>
        </w:rPr>
        <w:t>25</w:t>
      </w:r>
    </w:p>
    <w:p w:rsidR="00B51D93" w:rsidRDefault="00000000">
      <w:pPr>
        <w:pStyle w:val="BodyText"/>
      </w:pPr>
      <w:r>
        <w:t>For ENCORE, not all databases will be available for each cancer indication, given the specificity of data elements required.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r>
        <w:rPr>
          <w:vertAlign w:val="superscript"/>
        </w:rPr>
        <w:t>26</w:t>
      </w:r>
    </w:p>
    <w:p w:rsidR="00B51D93" w:rsidRDefault="00000000">
      <w:pPr>
        <w:pStyle w:val="Heading2"/>
      </w:pPr>
      <w:bookmarkStart w:id="5" w:name="protocol-development"/>
      <w:bookmarkEnd w:id="4"/>
      <w:r>
        <w:t>Protocol development</w:t>
      </w:r>
    </w:p>
    <w:p w:rsidR="00B51D93" w:rsidRDefault="00000000">
      <w:pPr>
        <w:pStyle w:val="FirstParagraph"/>
      </w:pPr>
      <w:r>
        <w:t>For each selected RCT, a detailed protocol, pre-specifying key elements of the trial emulation, will be developed using the HARPER protocol template</w:t>
      </w:r>
      <w:r>
        <w:rPr>
          <w:vertAlign w:val="superscript"/>
        </w:rPr>
        <w:t>27,28</w:t>
      </w:r>
      <w:r>
        <w:t xml:space="preserve"> and will be registered on ClinicalTrials.gov after review by an expert panel comprising clinicians and FDA reviewers.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r>
        <w:rPr>
          <w:vertAlign w:val="superscript"/>
        </w:rPr>
        <w:t>29,30</w:t>
      </w:r>
      <w:r>
        <w:t xml:space="preserve"> Since it is common that oncology RCTs update survival estimates periodically based on accrued follow-up time, the protocol will give a brief summary of each emulated RCT and specify which target OS estimates will be used for agreement metric evaluation (see </w:t>
      </w:r>
      <w:hyperlink w:anchor="sec-agreement-metrics">
        <w:r>
          <w:rPr>
            <w:rStyle w:val="Hyperlink"/>
          </w:rPr>
          <w:t>Section 2.4</w:t>
        </w:r>
      </w:hyperlink>
      <w:r>
        <w:t>). All eligibility criteria will be extracted based on publications, publicly available protocols, and statistical analysis plans of the selected RCT.</w:t>
      </w:r>
    </w:p>
    <w:p w:rsidR="00B51D93" w:rsidRDefault="00000000">
      <w:pPr>
        <w:pStyle w:val="BodyText"/>
      </w:pPr>
      <w:r>
        <w:rPr>
          <w:b/>
          <w:bCs/>
        </w:rPr>
        <w:t>Emulating the RCT estimand</w:t>
      </w:r>
    </w:p>
    <w:p w:rsidR="00B51D93" w:rsidRDefault="00000000">
      <w:pPr>
        <w:pStyle w:val="BodyText"/>
      </w:pPr>
      <w:r>
        <w:t>An important aspect when emulating oncology trials is the choice and estimation of the appropriate estimand of interest.</w:t>
      </w:r>
      <w:r>
        <w:rPr>
          <w:vertAlign w:val="superscript"/>
        </w:rPr>
        <w:t>31</w:t>
      </w:r>
      <w:r>
        <w:t xml:space="preserve"> In prior RCT-DUPLICATE efforts, a “while on </w:t>
      </w:r>
      <w:r>
        <w:lastRenderedPageBreak/>
        <w:t>treatment” strategy was chosen for database studies that were designed to emulate trials where the primary trial analysis was intention-to-treat (e.g., a “treatment policy” estimand). This estimand was chosen to mimic the high adherence typically observed in large cardiovascular clinical trials in the context of low adherence in clinical practice. However, a “while on treatment” estimand would be inappropriate when emulating oncology trials, not only because of highly informative censoring, but also because OS outcome analyses in oncology are typically “treatment policy” estimands that allow for crossover or other post-progression antineoplastic therapy.</w:t>
      </w:r>
      <w:r>
        <w:rPr>
          <w:vertAlign w:val="superscript"/>
        </w:rPr>
        <w:t>32</w:t>
      </w:r>
      <w:r>
        <w:t xml:space="preserve"> We plan to focus on “treatment policy” 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p w:rsidR="00B51D93" w:rsidRDefault="00000000">
      <w:pPr>
        <w:pStyle w:val="Heading3"/>
      </w:pPr>
      <w:bookmarkStart w:id="6" w:name="emulation-feasibility"/>
      <w:r>
        <w:t>Emulation feasibility</w:t>
      </w:r>
    </w:p>
    <w:p w:rsidR="00B51D93" w:rsidRDefault="00000000">
      <w:pPr>
        <w:pStyle w:val="Heading4"/>
      </w:pPr>
      <w:bookmarkStart w:id="7" w:name="fit-for-purpose-data"/>
      <w:r>
        <w:rPr>
          <w:b/>
        </w:rPr>
        <w:t>Fit-for-purpose data</w:t>
      </w:r>
    </w:p>
    <w:p w:rsidR="00B51D93" w:rsidRDefault="00000000">
      <w:pPr>
        <w:pStyle w:val="FirstParagraph"/>
      </w:pPr>
      <w:r>
        <w:t>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19</w:t>
      </w:r>
      <w:r>
        <w:t xml:space="preserve"> 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w:t>
      </w:r>
      <w:r>
        <w:lastRenderedPageBreak/>
        <w:t>as such PD-L1 ’</w:t>
      </w:r>
      <w:r>
        <w:rPr>
          <w:i/>
          <w:iCs/>
        </w:rPr>
        <w:t>positivity’</w:t>
      </w:r>
      <w:r>
        <w:t xml:space="preserve"> may have different definitions by year based on different cut-off values.</w:t>
      </w:r>
    </w:p>
    <w:p w:rsidR="00B51D93" w:rsidRDefault="00000000">
      <w:pPr>
        <w:pStyle w:val="BodyText"/>
      </w:pPr>
      <w:r>
        <w:t xml:space="preserve">According to the </w:t>
      </w:r>
      <w:r>
        <w:rPr>
          <w:i/>
          <w:iCs/>
        </w:rPr>
        <w:t>Structured Process to Identify Fit-For-Purpose Data</w:t>
      </w:r>
      <w:r>
        <w:t xml:space="preserve"> (SPIFD) framework</w:t>
      </w:r>
      <w:r>
        <w:rPr>
          <w:vertAlign w:val="superscript"/>
        </w:rPr>
        <w:t>12</w:t>
      </w:r>
      <w:r>
        <w:t>,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rsidR="00B51D93" w:rsidRDefault="00000000">
      <w:pPr>
        <w:pStyle w:val="BodyText"/>
      </w:pPr>
      <w:r>
        <w:t>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r>
        <w:rPr>
          <w:vertAlign w:val="superscript"/>
        </w:rPr>
        <w:t>33</w:t>
      </w:r>
    </w:p>
    <w:p w:rsidR="00B51D93" w:rsidRDefault="00000000">
      <w:pPr>
        <w:pStyle w:val="Heading4"/>
      </w:pPr>
      <w:bookmarkStart w:id="8" w:name="descriptives-and-data-exploration"/>
      <w:bookmarkEnd w:id="7"/>
      <w:r>
        <w:rPr>
          <w:b/>
        </w:rPr>
        <w:t>Descriptives and data exploration</w:t>
      </w:r>
    </w:p>
    <w:p w:rsidR="00B51D93" w:rsidRDefault="00000000">
      <w:pPr>
        <w:pStyle w:val="FirstParagraph"/>
      </w:pPr>
      <w:r>
        <w:t>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rsidR="00B51D93" w:rsidRDefault="00000000">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 </w:t>
      </w:r>
      <w:hyperlink w:anchor="fig-initiators">
        <w:r>
          <w:rPr>
            <w:rStyle w:val="Hyperlink"/>
          </w:rPr>
          <w:t>Figure 2</w:t>
        </w:r>
      </w:hyperlink>
      <w:r>
        <w:t>.</w:t>
      </w:r>
    </w:p>
    <w:p w:rsidR="00B51D93" w:rsidRDefault="00000000">
      <w:pPr>
        <w:pStyle w:val="BodyText"/>
      </w:pPr>
      <w:r>
        <w:lastRenderedPageBreak/>
        <w:t>The distribution of patient characteristics (quantified via standard descriptive statistics such as median and interquartile ranges, proportions, and standardized mean differences),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balanced</w:t>
      </w:r>
      <w:r>
        <w:rPr>
          <w:vertAlign w:val="superscript"/>
        </w:rPr>
        <w:t>34</w:t>
      </w:r>
      <w:r>
        <w:t>,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p w:rsidR="00B51D93" w:rsidRDefault="00000000">
      <w:pPr>
        <w:pStyle w:val="Heading4"/>
      </w:pPr>
      <w:bookmarkStart w:id="9" w:name="statistical-power-considerations"/>
      <w:bookmarkEnd w:id="8"/>
      <w:r>
        <w:rPr>
          <w:b/>
        </w:rPr>
        <w:t>Statistical power considerations</w:t>
      </w:r>
    </w:p>
    <w:p w:rsidR="00B51D93" w:rsidRDefault="00000000">
      <w:pPr>
        <w:pStyle w:val="FirstParagraph"/>
      </w:pPr>
      <w:r>
        <w:t>Causal analyses of non-interventional data are often not designed with respect to formal hypothesis testing and statistical power in the same manner as RCTs since the number of ‘recruited’ patients is limited by available data.</w:t>
      </w:r>
      <w:r>
        <w:rPr>
          <w:vertAlign w:val="superscript"/>
        </w:rPr>
        <w:t>35</w:t>
      </w:r>
      <w:r>
        <w:t xml:space="preserve"> 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w:rPr>
            <w:rFonts w:ascii="Cambria Math" w:hAnsi="Cambria Math"/>
          </w:rPr>
          <m:t>β</m:t>
        </m:r>
      </m:oMath>
      <w:r>
        <w:t xml:space="preserve"> for a two-sided statistical test carried out at level </w:t>
      </w:r>
      <m:oMath>
        <m:r>
          <w:rPr>
            <w:rFonts w:ascii="Cambria Math" w:hAnsi="Cambria Math"/>
          </w:rPr>
          <m:t>α</m:t>
        </m:r>
      </m:oMath>
      <w:r>
        <w:t xml:space="preserve"> = 0.05) will be estimated using Schoenfeld’s sample-size formula for the proportional-hazards regression model.</w:t>
      </w:r>
      <w:r>
        <w:rPr>
          <w:vertAlign w:val="superscript"/>
        </w:rPr>
        <w:t>36,37</w:t>
      </w:r>
      <w:r>
        <w:t xml:space="preserve"> To account for the inflated variance induced by the matching or weighting process, Austin</w:t>
      </w:r>
      <w:r>
        <w:rPr>
          <w:vertAlign w:val="superscript"/>
        </w:rPr>
        <w:t>38</w:t>
      </w:r>
      <w:r>
        <w:t xml:space="preserve"> suggested to adjust this power estimate by the variance inflation factor which can be estimated from the treatment prevalence and empirical c-statistic of the propensity score model.</w:t>
      </w:r>
    </w:p>
    <w:p w:rsidR="00B51D93" w:rsidRDefault="00000000">
      <w:pPr>
        <w:pStyle w:val="Heading2"/>
      </w:pPr>
      <w:bookmarkStart w:id="10" w:name="sec-agreement-metrics"/>
      <w:bookmarkEnd w:id="5"/>
      <w:bookmarkEnd w:id="6"/>
      <w:bookmarkEnd w:id="9"/>
      <w:r>
        <w:lastRenderedPageBreak/>
        <w:t>Agreement metrics</w:t>
      </w:r>
    </w:p>
    <w:p w:rsidR="00B51D93" w:rsidRDefault="00000000">
      <w:pPr>
        <w:pStyle w:val="FirstParagraph"/>
      </w:pPr>
      <w:r>
        <w:t>To formally compare treatment effects between RCTs and their respective emulations, we will adapt the approach of the RCT-DUPLICATE project.</w:t>
      </w:r>
      <w:r>
        <w:rPr>
          <w:vertAlign w:val="superscript"/>
        </w:rPr>
        <w:t>8,39</w:t>
      </w:r>
      <w:r>
        <w:t xml:space="preserve"> That is, for the primary endpoint of interest (hazard ratio [HR] for OS and corresponding 95% confidence intervals), we will derive three agreement metrics: statistical agreement, estimate agreement and agreement based on the standardized mean difference (SMD). Examples are illustrated in </w:t>
      </w:r>
      <w:hyperlink w:anchor="tbl-metrics">
        <w:r>
          <w:rPr>
            <w:rStyle w:val="Hyperlink"/>
          </w:rPr>
          <w:t>Table 3</w:t>
        </w:r>
      </w:hyperlink>
      <w:r>
        <w:t>.</w:t>
      </w:r>
    </w:p>
    <w:p w:rsidR="00B51D93" w:rsidRDefault="00000000">
      <w:pPr>
        <w:pStyle w:val="BodyText"/>
      </w:pPr>
      <w:r>
        <w:rPr>
          <w:b/>
          <w:bCs/>
        </w:rPr>
        <w:t>Statistical significance agreement</w:t>
      </w:r>
      <w:r>
        <w:t>: agreement between RCT and emulated trial treatment effect with regards to directionality and statistical significance (nominal in the case of emulated trials).</w:t>
      </w:r>
    </w:p>
    <w:p w:rsidR="00B51D93" w:rsidRDefault="00000000">
      <w:pPr>
        <w:pStyle w:val="BodyText"/>
      </w:pPr>
      <w:r>
        <w:rPr>
          <w:b/>
          <w:bCs/>
        </w:rPr>
        <w:t>Estimate agreement</w:t>
      </w:r>
      <w:r>
        <w:t>: agreement that the estimated RWE treatment effect is within the 95% CI of the RCT treatment effect estimate. This metric will be analyzed because, for some emulations, the power of the RWE study may be larger than that of the original RCT, which could lead to situations where there is no statistical significance agreement (e.g., RCT estimate crossing the null although the treatment effect estimates are overlapping) in case the RCT has a larger power than the RWE emulation or vice versa.</w:t>
      </w:r>
    </w:p>
    <w:p w:rsidR="00B51D93" w:rsidRDefault="00000000">
      <w:pPr>
        <w:pStyle w:val="BodyText"/>
      </w:pPr>
      <w:r>
        <w:rPr>
          <w:b/>
          <w:bCs/>
        </w:rPr>
        <w:t>SMD agreement</w:t>
      </w:r>
      <w:r>
        <w:t>: quantification of the agreement between the emulated RWE and RCT treatment effect estimate. The SMD is calculated as</w:t>
      </w:r>
    </w:p>
    <w:p w:rsidR="00B51D93" w:rsidRDefault="00000000">
      <w:pPr>
        <w:pStyle w:val="BodyText"/>
      </w:pPr>
      <m:oMathPara>
        <m:oMathParaPr>
          <m:jc m:val="center"/>
        </m:oMathParaPr>
        <m:oMath>
          <m:r>
            <w:rPr>
              <w:rFonts w:ascii="Cambria Math" w:hAnsi="Cambria Math"/>
            </w:rPr>
            <m:t>SMD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num>
            <m:den>
              <m:rad>
                <m:radPr>
                  <m:degHide m:val="1"/>
                  <m:ctrlPr>
                    <w:rPr>
                      <w:rFonts w:ascii="Cambria Math" w:hAnsi="Cambria Math"/>
                    </w:rPr>
                  </m:ctrlPr>
                </m:radPr>
                <m:deg/>
                <m:e>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r>
                    <m:rPr>
                      <m:sty m:val="p"/>
                    </m:rPr>
                    <w:rPr>
                      <w:rFonts w:ascii="Cambria Math" w:hAnsi="Cambria Math"/>
                    </w:rPr>
                    <m:t>+</m:t>
                  </m:r>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e>
              </m:rad>
            </m:den>
          </m:f>
        </m:oMath>
      </m:oMathPara>
    </w:p>
    <w:p w:rsidR="00B51D93" w:rsidRDefault="00000000">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oMath>
      <w:r>
        <w:t xml:space="preserve"> are the treatment effect estimates (log hazard ratios or median survival time differences)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oMath>
      <w:r>
        <w:t xml:space="preserve">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oMath>
      <w:r>
        <w:t xml:space="preserve"> are the corresponding variances for RCT and RWE, respectively. The resulting SMDs will be interpreted such that with an SMD of 1.00, the effect estimate from the RCT and the RWE emulation are 1 standard deviation apart. For an </w:t>
      </w:r>
      <m:oMath>
        <m:r>
          <w:rPr>
            <w:rFonts w:ascii="Cambria Math" w:hAnsi="Cambria Math"/>
          </w:rPr>
          <m:t>α</m:t>
        </m:r>
      </m:oMath>
      <w:r>
        <w:t xml:space="preserve">-level of 0.05, the null hypothesis of no difference would be rejected whenever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&gt;</m:t>
        </m:r>
        <m:r>
          <w:rPr>
            <w:rFonts w:ascii="Cambria Math" w:hAnsi="Cambria Math"/>
          </w:rPr>
          <m:t>1.96</m:t>
        </m:r>
      </m:oMath>
      <w:r>
        <w:t>.</w:t>
      </w:r>
    </w:p>
    <w:p w:rsidR="00B51D93" w:rsidRDefault="00000000">
      <w:pPr>
        <w:pStyle w:val="BodyText"/>
      </w:pPr>
      <w:r>
        <w:lastRenderedPageBreak/>
        <w:t>For secondary endpoints of interest that are trial arm-specific (e.g., median survival time or survival probabilities) only the SMD agreement metric will be applicable.</w:t>
      </w:r>
    </w:p>
    <w:p w:rsidR="00B51D93" w:rsidRDefault="00000000">
      <w:pPr>
        <w:pStyle w:val="Heading2"/>
      </w:pPr>
      <w:bookmarkStart w:id="11" w:name="study-design-and-statistical-analysis"/>
      <w:bookmarkEnd w:id="10"/>
      <w:r>
        <w:t>Study design and statistical analysis</w:t>
      </w:r>
    </w:p>
    <w:p w:rsidR="00B51D93" w:rsidRDefault="00000000">
      <w:pPr>
        <w:pStyle w:val="FirstParagraph"/>
      </w:pPr>
      <w:r>
        <w:t>The study design for each trial emulation will be visualized as part of the protocol using a graphical depiction of the exact measurement windows of eligibility criteria, washout periods, and covariates relative to the cohort entry time.</w:t>
      </w:r>
      <w:r>
        <w:rPr>
          <w:vertAlign w:val="superscript"/>
        </w:rPr>
        <w:t>40</w:t>
      </w:r>
    </w:p>
    <w:p w:rsidR="00B51D93" w:rsidRDefault="00000000">
      <w:pPr>
        <w:pStyle w:val="Heading3"/>
      </w:pPr>
      <w:bookmarkStart w:id="12" w:name="missing-data"/>
      <w:r>
        <w:t>Missing data</w:t>
      </w:r>
    </w:p>
    <w:p w:rsidR="00B51D93" w:rsidRDefault="00000000">
      <w:pPr>
        <w:pStyle w:val="FirstParagraph"/>
      </w:pPr>
      <w:r>
        <w:t>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r>
        <w:rPr>
          <w:vertAlign w:val="superscript"/>
        </w:rPr>
        <w:t>41</w:t>
      </w:r>
      <w:r>
        <w:t xml:space="preserve"> We will adopt a principled process on missing data that empirically evaluates different aspects across partially observed covariates based on three group diagnostics.</w:t>
      </w:r>
      <w:r>
        <w:rPr>
          <w:vertAlign w:val="superscript"/>
        </w:rPr>
        <w:t>42,43</w:t>
      </w:r>
      <w:r>
        <w:t xml:space="preserve"> These diagnostics cover (1) comparisons of patient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diagrams</w:t>
      </w:r>
      <w:r>
        <w:rPr>
          <w:vertAlign w:val="superscript"/>
        </w:rPr>
        <w:t>44</w:t>
      </w:r>
      <w:r>
        <w:t xml:space="preserve"> will additionally inform decisions regarding the inclusion or exclusion of individuals with missing values in key eligibility criteria and potential sensitivity analyses to assess the robustness of these decisions.</w:t>
      </w:r>
      <w:r>
        <w:rPr>
          <w:vertAlign w:val="superscript"/>
        </w:rPr>
        <w:t>45</w:t>
      </w:r>
    </w:p>
    <w:p w:rsidR="00B51D93" w:rsidRDefault="00000000">
      <w:pPr>
        <w:pStyle w:val="BodyText"/>
      </w:pPr>
      <w:r>
        <w:t>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r>
        <w:rPr>
          <w:vertAlign w:val="superscript"/>
        </w:rPr>
        <w:t>44</w:t>
      </w:r>
      <w:r>
        <w:t xml:space="preserve"> Hence, methodologies which retain otherwise eligible patients and give the potential to adjust for a broader set of prognostic factors (e.g., multiple imputation</w:t>
      </w:r>
      <w:r>
        <w:rPr>
          <w:vertAlign w:val="superscript"/>
        </w:rPr>
        <w:t>46</w:t>
      </w:r>
      <w:r>
        <w:t xml:space="preserve"> or doubly robust methods</w:t>
      </w:r>
      <w:r>
        <w:rPr>
          <w:vertAlign w:val="superscript"/>
        </w:rPr>
        <w:t>47</w:t>
      </w:r>
      <w:r>
        <w:t xml:space="preserve">) may be </w:t>
      </w:r>
      <w:r>
        <w:lastRenderedPageBreak/>
        <w:t>preferred over complete case analyses, although such tradeoffs must be carefully evaluated within the clinical and study contexts.</w:t>
      </w:r>
    </w:p>
    <w:p w:rsidR="00B51D93" w:rsidRDefault="00000000">
      <w:pPr>
        <w:pStyle w:val="Heading3"/>
      </w:pPr>
      <w:bookmarkStart w:id="13" w:name="outcome-and-propensity-score-analyses"/>
      <w:bookmarkEnd w:id="12"/>
      <w:r>
        <w:t>Outcome and propensity score analyses</w:t>
      </w:r>
    </w:p>
    <w:p w:rsidR="00B51D93" w:rsidRDefault="00000000">
      <w:pPr>
        <w:pStyle w:val="FirstParagraph"/>
      </w:pPr>
      <w:r>
        <w:t>Due to its frequency of use in oncology trials, the primary parameter of interest in ENCORE will be defined as the marginal HR coefficient for the treatment comparison for OS.</w:t>
      </w:r>
      <w:r>
        <w:rPr>
          <w:vertAlign w:val="superscript"/>
        </w:rPr>
        <w:t>48</w:t>
      </w:r>
      <w:r>
        <w:t xml:space="preserve"> We will also consider alternative endpoints on an absolute risk scale such as median survival times, survival probabilities at pre-defined time points during follow-up</w:t>
      </w:r>
      <w:r>
        <w:rPr>
          <w:vertAlign w:val="superscript"/>
        </w:rPr>
        <w:t>49</w:t>
      </w:r>
      <w:r>
        <w:t xml:space="preserve"> and restricted mean survival times as secondary endpoints of interest.</w:t>
      </w:r>
    </w:p>
    <w:p w:rsidR="00B51D93" w:rsidRDefault="00000000">
      <w:pPr>
        <w:pStyle w:val="BodyText"/>
      </w:pPr>
      <w:r>
        <w:t>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r>
        <w:rPr>
          <w:vertAlign w:val="superscript"/>
        </w:rPr>
        <w:t>50</w:t>
      </w:r>
      <w:r>
        <w:t xml:space="preserve"> The implementation of propensity scores in combination with multiple imputation will follow the ‘</w:t>
      </w:r>
      <w:r>
        <w:rPr>
          <w:i/>
          <w:iCs/>
        </w:rPr>
        <w:t>within</w:t>
      </w:r>
      <w:r>
        <w:t>’ methodology as described by Leyrat et al.</w:t>
      </w:r>
      <w:r>
        <w:rPr>
          <w:vertAlign w:val="superscript"/>
        </w:rPr>
        <w:t>51,52</w:t>
      </w:r>
      <w:r>
        <w:t xml:space="preserve"> As appropriate, propensity score matching or weighting will be applied to each imputed dataset. The marginal treatment effect will then be estimated in each imputed and matched or weighted dataset separately and pooled into a final estimate following Rubin’s rule.</w:t>
      </w:r>
      <w:r>
        <w:rPr>
          <w:vertAlign w:val="superscript"/>
        </w:rPr>
        <w:t>53,54</w:t>
      </w:r>
      <w:r>
        <w:t xml:space="preserve"> This approach has been shown to lead to unbiased estimates across different simulated scenarios with a sufficient estimation of the variance.</w:t>
      </w:r>
      <w:r>
        <w:rPr>
          <w:vertAlign w:val="superscript"/>
        </w:rPr>
        <w:t>51</w:t>
      </w:r>
    </w:p>
    <w:p w:rsidR="00B51D93" w:rsidRDefault="00000000">
      <w:pPr>
        <w:pStyle w:val="BodyText"/>
      </w:pPr>
      <w:r>
        <w:t xml:space="preserve">To assess the balance of pre-exposure covariates after matching or weighting on each imputed dataset, the average SMD and corresponding minimum and maximum SMD range will be visualized (see example in </w:t>
      </w:r>
      <w:hyperlink w:anchor="fig-balance">
        <w:r>
          <w:rPr>
            <w:rStyle w:val="Hyperlink"/>
          </w:rPr>
          <w:t>Figure 3</w:t>
        </w:r>
      </w:hyperlink>
      <w:r>
        <w:t>). Covariate balance is often considered reasonable at a SMD &lt; 0.1.</w:t>
      </w:r>
      <w:r>
        <w:rPr>
          <w:vertAlign w:val="superscript"/>
        </w:rPr>
        <w:t>34</w:t>
      </w:r>
      <w:r>
        <w:t xml:space="preserve"> Further, we will compute the average post-matching or post-weighting C-statistics.</w:t>
      </w:r>
      <w:r>
        <w:rPr>
          <w:vertAlign w:val="superscript"/>
        </w:rPr>
        <w:t>55</w:t>
      </w:r>
      <w:r>
        <w:t xml:space="preserve"> In addition, we will use a published prognostic score for OS</w:t>
      </w:r>
      <w:r>
        <w:rPr>
          <w:vertAlign w:val="superscript"/>
        </w:rPr>
        <w:t>50</w:t>
      </w:r>
      <w:r>
        <w:t xml:space="preserve"> 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r>
        <w:rPr>
          <w:vertAlign w:val="superscript"/>
        </w:rPr>
        <w:t>56</w:t>
      </w:r>
    </w:p>
    <w:p w:rsidR="00B51D93" w:rsidRDefault="00000000">
      <w:pPr>
        <w:pStyle w:val="BodyText"/>
      </w:pPr>
      <w:r>
        <w:lastRenderedPageBreak/>
        <w:t>Similarly, survival probabilities for individual time points will be estimated in each imputed and propensity score matched or weighted dataset according to the Kaplan-Meier method.</w:t>
      </w:r>
      <w:r>
        <w:rPr>
          <w:vertAlign w:val="superscript"/>
        </w:rPr>
        <w:t>49</w:t>
      </w:r>
      <w:r>
        <w:t xml:space="preserve"> Since survival probabilities typically do not follow normal distributions which are required to apply Rubin’s rule, these will be transformed through a complementary log-log transformation </w:t>
      </w:r>
      <m:oMath>
        <m:r>
          <w:rPr>
            <w:rFonts w:ascii="Cambria Math" w:hAnsi="Cambria Math"/>
          </w:rPr>
          <m:t>log</m:t>
        </m:r>
        <m:d>
          <m:dPr>
            <m:ctrlPr>
              <w:rPr>
                <w:rFonts w:ascii="Cambria Math" w:hAnsi="Cambria Math"/>
              </w:rPr>
            </m:ctrlPr>
          </m:dPr>
          <m:e>
            <m:r>
              <m:rPr>
                <m:sty m:val="p"/>
              </m:rPr>
              <w:rPr>
                <w:rFonts w:ascii="Cambria Math" w:hAnsi="Cambria Math"/>
              </w:rPr>
              <m:t>-</m:t>
            </m:r>
            <m: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pr</m:t>
                </m:r>
                <m:d>
                  <m:dPr>
                    <m:ctrlPr>
                      <w:rPr>
                        <w:rFonts w:ascii="Cambria Math" w:hAnsi="Cambria Math"/>
                      </w:rPr>
                    </m:ctrlPr>
                  </m:dPr>
                  <m:e>
                    <m:r>
                      <w:rPr>
                        <w:rFonts w:ascii="Cambria Math" w:hAnsi="Cambria Math"/>
                      </w:rPr>
                      <m:t>surv</m:t>
                    </m:r>
                  </m:e>
                </m:d>
              </m:e>
            </m:d>
          </m:e>
        </m:d>
      </m:oMath>
      <w:r>
        <w:t xml:space="preserve"> with </w:t>
      </w:r>
      <m:oMath>
        <m:r>
          <w:rPr>
            <w:rFonts w:ascii="Cambria Math" w:hAnsi="Cambria Math"/>
          </w:rPr>
          <m:t>pr</m:t>
        </m:r>
        <m:d>
          <m:dPr>
            <m:ctrlPr>
              <w:rPr>
                <w:rFonts w:ascii="Cambria Math" w:hAnsi="Cambria Math"/>
              </w:rPr>
            </m:ctrlPr>
          </m:dPr>
          <m:e>
            <m:r>
              <w:rPr>
                <w:rFonts w:ascii="Cambria Math" w:hAnsi="Cambria Math"/>
              </w:rPr>
              <m:t>surv</m:t>
            </m:r>
          </m:e>
        </m:d>
      </m:oMath>
      <w:r>
        <w:t xml:space="preserve"> denoting the survival probability at a given follow-up time during.</w:t>
      </w:r>
      <w:r>
        <w:rPr>
          <w:vertAlign w:val="superscript"/>
        </w:rPr>
        <w:t>57,58</w:t>
      </w:r>
      <w:r>
        <w:t xml:space="preserve"> The transformed survival probabilities are then pooled across imputed datasets and individual time points following Rubin’s rule and back-transformed via </w:t>
      </w:r>
      <m:oMath>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qbar</m:t>
                </m:r>
              </m:e>
            </m:d>
          </m:e>
        </m:d>
      </m:oMath>
      <w:r>
        <w:t xml:space="preserve"> with </w:t>
      </w:r>
      <m:oMath>
        <m:r>
          <w:rPr>
            <w:rFonts w:ascii="Cambria Math" w:hAnsi="Cambria Math"/>
          </w:rPr>
          <m:t>qbar</m:t>
        </m:r>
      </m:oMath>
      <w:r>
        <w:t xml:space="preserve"> denoting the pooled survival probability. The median survival time can be finally determined by extracting the time point during follow-up at which the survival probability drops below 0.5 for the first time.</w:t>
      </w:r>
    </w:p>
    <w:p w:rsidR="00B51D93" w:rsidRDefault="00000000">
      <w:pPr>
        <w:pStyle w:val="Heading3"/>
      </w:pPr>
      <w:bookmarkStart w:id="14" w:name="sensitivity-analyses"/>
      <w:bookmarkEnd w:id="13"/>
      <w:r>
        <w:t>Sensitivity analyses</w:t>
      </w:r>
    </w:p>
    <w:p w:rsidR="00B51D93" w:rsidRDefault="00000000">
      <w:pPr>
        <w:pStyle w:val="FirstParagraph"/>
      </w:pPr>
      <w:r>
        <w:t>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p w:rsidR="00B51D93" w:rsidRDefault="00000000">
      <w:pPr>
        <w:pStyle w:val="Heading3"/>
      </w:pPr>
      <w:bookmarkStart w:id="15" w:name="X6801d5ea0029348ccebf6f56cafab146f7aa92b"/>
      <w:bookmarkEnd w:id="14"/>
      <w:r>
        <w:t>Reproducibility and consistency across emulation</w:t>
      </w:r>
    </w:p>
    <w:p w:rsidR="00B51D93" w:rsidRDefault="00000000">
      <w:pPr>
        <w:pStyle w:val="FirstParagraph"/>
      </w:pPr>
      <w:r>
        <w:t xml:space="preserve">To ensure a transparent, reproducible and consistent way of deriving analytic cohorts and performing statistical analyses across trial emulations, we developed two R packages. The first package, </w:t>
      </w:r>
      <w:r>
        <w:rPr>
          <w:rStyle w:val="VerbatimChar"/>
        </w:rPr>
        <w:t>encore.io,</w:t>
      </w:r>
      <w:r>
        <w:t xml:space="preserve"> streamlines the query of analytic cohorts and measurement of covariates and outcomes using parameterized functions. Due to the blinding of databases used for ENCORE, this package is not publicly available; however a comprehensive and detailed documentation for each function are available in the Supplementary Material. A second open-source R package, </w:t>
      </w:r>
      <w:r>
        <w:rPr>
          <w:rStyle w:val="VerbatimChar"/>
        </w:rPr>
        <w:t>encore.analytics</w:t>
      </w:r>
      <w:r>
        <w:t xml:space="preserve">, will then facilitate the complex multi-step workflows of multiple imputation, propensity score </w:t>
      </w:r>
      <w:r>
        <w:lastRenderedPageBreak/>
        <w:t>matching and weighting and estimating pooled marginal treatment effects and Kaplan-Meier curves along with other established statistical R packages.</w:t>
      </w:r>
      <w:r>
        <w:rPr>
          <w:vertAlign w:val="superscript"/>
        </w:rPr>
        <w:t>59–64</w:t>
      </w:r>
      <w:r>
        <w:t xml:space="preserve"> Simulated examples with code that illustrate the analytic workflows described in this manuscript are available in the online Supplementary Material at </w:t>
      </w:r>
      <w:hyperlink r:id="rId10">
        <w:r>
          <w:rPr>
            <w:rStyle w:val="Hyperlink"/>
          </w:rPr>
          <w:t>https://janickweberpals.github.io/imputation-ps-workflows/</w:t>
        </w:r>
      </w:hyperlink>
      <w:r>
        <w:t xml:space="preserve"> and can be reproduced via the </w:t>
      </w:r>
      <w:r>
        <w:rPr>
          <w:rStyle w:val="VerbatimChar"/>
        </w:rPr>
        <w:t>encore.analytics</w:t>
      </w:r>
      <w:r>
        <w:t xml:space="preserve"> R package (</w:t>
      </w:r>
      <w:hyperlink r:id="rId11">
        <w:r>
          <w:rPr>
            <w:rStyle w:val="Hyperlink"/>
          </w:rPr>
          <w:t>https://github.com/janickweberpals/encore.analytics/</w:t>
        </w:r>
      </w:hyperlink>
      <w:r>
        <w:t>).</w:t>
      </w:r>
    </w:p>
    <w:p w:rsidR="00B51D93" w:rsidRDefault="00000000">
      <w:r>
        <w:br w:type="page"/>
      </w:r>
    </w:p>
    <w:p w:rsidR="00B51D93" w:rsidRDefault="00000000">
      <w:pPr>
        <w:pStyle w:val="Heading1"/>
      </w:pPr>
      <w:bookmarkStart w:id="16" w:name="discussion"/>
      <w:bookmarkEnd w:id="2"/>
      <w:bookmarkEnd w:id="11"/>
      <w:bookmarkEnd w:id="15"/>
      <w:r>
        <w:lastRenderedPageBreak/>
        <w:t>Discussion</w:t>
      </w:r>
    </w:p>
    <w:p w:rsidR="00B51D93" w:rsidRDefault="00000000">
      <w:pPr>
        <w:pStyle w:val="FirstParagraph"/>
      </w:pPr>
      <w:r>
        <w:t>Building on an established approach developed by the RCT DUPLICATE project</w:t>
      </w:r>
      <w:r>
        <w:rPr>
          <w:vertAlign w:val="superscript"/>
        </w:rPr>
        <w:t>8,39</w:t>
      </w:r>
      <w:r>
        <w:t>,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rsidR="00B51D93" w:rsidRDefault="00000000">
      <w:pPr>
        <w:pStyle w:val="BodyText"/>
      </w:pPr>
      <w:r>
        <w:t>The RCT DUPLICATE initiative</w:t>
      </w:r>
      <w:r>
        <w:rPr>
          <w:vertAlign w:val="superscript"/>
        </w:rPr>
        <w:t>8,39</w:t>
      </w:r>
      <w:r>
        <w:t xml:space="preserve"> 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These factors should impact results only if they function as effect modifiers of the association between treatment and outcome. In this case, if measurable, the distribution of such effect-modifying factors will be adjusted for by weighting the effect modifiers to match the distribution of the target population </w:t>
      </w:r>
      <w:r>
        <w:lastRenderedPageBreak/>
        <w:t>enrolled in the clinical trial, either via raking weights</w:t>
      </w:r>
      <w:r>
        <w:rPr>
          <w:vertAlign w:val="superscript"/>
        </w:rPr>
        <w:t>65</w:t>
      </w:r>
      <w:r>
        <w:t xml:space="preserve"> or matching-adjusted indirect comparison (MAIC)</w:t>
      </w:r>
      <w:r>
        <w:rPr>
          <w:vertAlign w:val="superscript"/>
        </w:rPr>
        <w:t>66</w:t>
      </w:r>
      <w:r>
        <w:t>. Alternatively, clinical trials often present subgroup analyses stratified by predictive factors, including the geographic area. In such a case, the subgroup-specific treatment effect of an enrolled US population may serve as our target treatment effect for emulation.</w:t>
      </w:r>
    </w:p>
    <w:p w:rsidR="00B51D93" w:rsidRDefault="00000000">
      <w:pPr>
        <w:pStyle w:val="BodyText"/>
      </w:pPr>
      <w:r>
        <w:t>Another common challenge in the emulation of oncology trials is the estimation of an “treatment policy”/“intention-to-treat” 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r>
        <w:rPr>
          <w:vertAlign w:val="superscript"/>
        </w:rPr>
        <w:t>32</w:t>
      </w:r>
      <w:r>
        <w:t xml:space="preserve"> Although this is also a common challenge in the analysis of RCTs,</w:t>
      </w:r>
      <w:r>
        <w:rPr>
          <w:vertAlign w:val="superscript"/>
        </w:rPr>
        <w:t>31</w:t>
      </w:r>
      <w:r>
        <w:t xml:space="preserve"> treatment in routine clinical practice might be less stringent compared to trials in terms of pre-specified dosing schedules, monitoring and surveillance.</w:t>
      </w:r>
      <w:r>
        <w:rPr>
          <w:vertAlign w:val="superscript"/>
        </w:rPr>
        <w:t>7</w:t>
      </w:r>
      <w:r>
        <w:t xml:space="preserve"> In order to derive comparable estimands it is therefore crucial to understand and contextualize the proportion and timing of treatment switching and discontinuation in both the trial and its emulation.</w:t>
      </w:r>
    </w:p>
    <w:p w:rsidR="00B51D93" w:rsidRDefault="00000000">
      <w:pPr>
        <w:pStyle w:val="BodyText"/>
      </w:pPr>
      <w:r>
        <w:t>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r>
        <w:rPr>
          <w:vertAlign w:val="superscript"/>
        </w:rPr>
        <w:t>67</w:t>
      </w:r>
      <w:r>
        <w:t xml:space="preserve"> may be viable options if the ITT estimand cannot be estimated due to the aforementioned parameters, provided that necessary covariate measurements are available to account for the artificial censoring introduced with these methods.</w:t>
      </w:r>
    </w:p>
    <w:p w:rsidR="00B51D93" w:rsidRDefault="00000000">
      <w:pPr>
        <w:pStyle w:val="Heading2"/>
      </w:pPr>
      <w:bookmarkStart w:id="17" w:name="conclusions"/>
      <w:r>
        <w:lastRenderedPageBreak/>
        <w:t>Conclusions</w:t>
      </w:r>
    </w:p>
    <w:p w:rsidR="00B51D93" w:rsidRDefault="00000000">
      <w:pPr>
        <w:pStyle w:val="FirstParagraph"/>
      </w:pPr>
      <w:r>
        <w:t>Principled, well-designed and reproducible studies using fit-for-purpose RWD to generate RWE, such as through trial emulation, may complement evidence from RCTs. Through a systematic benchmarking approach, the ENCORE project will provide insights as to how methodological, design, and analytic decisions influence quantifiable bias and interpretability of non-interventional studies in oncology.</w:t>
      </w:r>
    </w:p>
    <w:p w:rsidR="00B51D93" w:rsidRDefault="00000000">
      <w:r>
        <w:br w:type="page"/>
      </w:r>
    </w:p>
    <w:p w:rsidR="00B51D93" w:rsidRDefault="00000000">
      <w:pPr>
        <w:pStyle w:val="Heading1"/>
      </w:pPr>
      <w:bookmarkStart w:id="18" w:name="references"/>
      <w:bookmarkEnd w:id="16"/>
      <w:bookmarkEnd w:id="17"/>
      <w:r>
        <w:lastRenderedPageBreak/>
        <w:t>References</w:t>
      </w:r>
    </w:p>
    <w:p w:rsidR="00B51D93" w:rsidRDefault="00000000">
      <w:pPr>
        <w:pStyle w:val="Bibliography"/>
      </w:pPr>
      <w:bookmarkStart w:id="19" w:name="ref-RWEFDA"/>
      <w:bookmarkStart w:id="20" w:name="refs"/>
      <w:r>
        <w:t xml:space="preserve">1. </w:t>
      </w:r>
      <w:r>
        <w:tab/>
        <w:t>Framework for FDA’s real-world evidence program (last accessed 11/28/2024). (2018).at &lt;</w:t>
      </w:r>
      <w:hyperlink r:id="rId12">
        <w:r>
          <w:rPr>
            <w:rStyle w:val="Hyperlink"/>
          </w:rPr>
          <w:t>https://www.fda.gov/media/120060/download?attachment</w:t>
        </w:r>
      </w:hyperlink>
      <w:r>
        <w:t>&gt;</w:t>
      </w:r>
    </w:p>
    <w:p w:rsidR="00B51D93" w:rsidRPr="00B361EC" w:rsidRDefault="00000000">
      <w:pPr>
        <w:pStyle w:val="Bibliography"/>
        <w:rPr>
          <w:lang w:val="de-DE"/>
        </w:rPr>
      </w:pPr>
      <w:bookmarkStart w:id="21" w:name="ref-mullard20242023"/>
      <w:bookmarkEnd w:id="19"/>
      <w:r>
        <w:t xml:space="preserve">2. </w:t>
      </w:r>
      <w:r>
        <w:tab/>
        <w:t xml:space="preserve">Mullard, A. 2023 FDA approvals. </w:t>
      </w:r>
      <w:r w:rsidRPr="00B361EC">
        <w:rPr>
          <w:i/>
          <w:iCs/>
          <w:lang w:val="de-DE"/>
        </w:rPr>
        <w:t xml:space="preserve">Nat Rev Drug </w:t>
      </w:r>
      <w:proofErr w:type="spellStart"/>
      <w:r w:rsidRPr="00B361EC">
        <w:rPr>
          <w:i/>
          <w:iCs/>
          <w:lang w:val="de-DE"/>
        </w:rPr>
        <w:t>Discov</w:t>
      </w:r>
      <w:proofErr w:type="spellEnd"/>
      <w:r w:rsidRPr="00B361EC">
        <w:rPr>
          <w:lang w:val="de-DE"/>
        </w:rPr>
        <w:t xml:space="preserve"> </w:t>
      </w:r>
      <w:r w:rsidRPr="00B361EC">
        <w:rPr>
          <w:b/>
          <w:bCs/>
          <w:lang w:val="de-DE"/>
        </w:rPr>
        <w:t>23</w:t>
      </w:r>
      <w:r w:rsidRPr="00B361EC">
        <w:rPr>
          <w:lang w:val="de-DE"/>
        </w:rPr>
        <w:t>, 88–95 (2024).</w:t>
      </w:r>
    </w:p>
    <w:p w:rsidR="00B51D93" w:rsidRDefault="00000000">
      <w:pPr>
        <w:pStyle w:val="Bibliography"/>
      </w:pPr>
      <w:bookmarkStart w:id="22" w:name="ref-Merola2022"/>
      <w:bookmarkEnd w:id="21"/>
      <w:r w:rsidRPr="00B361EC">
        <w:rPr>
          <w:lang w:val="de-DE"/>
        </w:rPr>
        <w:t xml:space="preserve">3. </w:t>
      </w:r>
      <w:r w:rsidRPr="00B361EC">
        <w:rPr>
          <w:lang w:val="de-DE"/>
        </w:rPr>
        <w:tab/>
      </w:r>
      <w:proofErr w:type="spellStart"/>
      <w:r w:rsidRPr="00B361EC">
        <w:rPr>
          <w:lang w:val="de-DE"/>
        </w:rPr>
        <w:t>Merola</w:t>
      </w:r>
      <w:proofErr w:type="spellEnd"/>
      <w:r w:rsidRPr="00B361EC">
        <w:rPr>
          <w:lang w:val="de-DE"/>
        </w:rPr>
        <w:t xml:space="preserve">, D., </w:t>
      </w:r>
      <w:proofErr w:type="spellStart"/>
      <w:r w:rsidRPr="00B361EC">
        <w:rPr>
          <w:lang w:val="de-DE"/>
        </w:rPr>
        <w:t>Schneeweiss</w:t>
      </w:r>
      <w:proofErr w:type="spellEnd"/>
      <w:r w:rsidRPr="00B361EC">
        <w:rPr>
          <w:lang w:val="de-DE"/>
        </w:rPr>
        <w:t xml:space="preserve">, S., Schrag, D., </w:t>
      </w:r>
      <w:proofErr w:type="spellStart"/>
      <w:r w:rsidRPr="00B361EC">
        <w:rPr>
          <w:lang w:val="de-DE"/>
        </w:rPr>
        <w:t>Lii</w:t>
      </w:r>
      <w:proofErr w:type="spellEnd"/>
      <w:r w:rsidRPr="00B361EC">
        <w:rPr>
          <w:lang w:val="de-DE"/>
        </w:rPr>
        <w:t xml:space="preserve">, J. &amp; Lin, K. J. </w:t>
      </w:r>
      <w:hyperlink r:id="rId13">
        <w:r>
          <w:rPr>
            <w:rStyle w:val="Hyperlink"/>
          </w:rPr>
          <w:t>An algorithm to predict data completeness in oncology electronic medical records for comparative effectiveness research</w:t>
        </w:r>
      </w:hyperlink>
      <w:r>
        <w:t xml:space="preserve">. </w:t>
      </w:r>
      <w:r>
        <w:rPr>
          <w:i/>
          <w:iCs/>
        </w:rPr>
        <w:t>Annals of Epidemiology</w:t>
      </w:r>
      <w:r>
        <w:t xml:space="preserve"> </w:t>
      </w:r>
      <w:r>
        <w:rPr>
          <w:b/>
          <w:bCs/>
        </w:rPr>
        <w:t>76</w:t>
      </w:r>
      <w:r>
        <w:t>, 143–149 (2022).</w:t>
      </w:r>
    </w:p>
    <w:p w:rsidR="00B51D93" w:rsidRDefault="00000000">
      <w:pPr>
        <w:pStyle w:val="Bibliography"/>
      </w:pPr>
      <w:bookmarkStart w:id="23" w:name="ref-joshua2022longitudinal"/>
      <w:bookmarkEnd w:id="22"/>
      <w:r>
        <w:t xml:space="preserve">4. </w:t>
      </w:r>
      <w:r>
        <w:tab/>
        <w:t xml:space="preserve">Joshua Lin, K. </w:t>
      </w:r>
      <w:r>
        <w:rPr>
          <w:i/>
          <w:iCs/>
        </w:rPr>
        <w:t>et al.</w:t>
      </w:r>
      <w:r>
        <w:t xml:space="preserve"> Longitudinal data discontinuity in electronic health records and consequences for medication effectiveness studies. </w:t>
      </w:r>
      <w:r>
        <w:rPr>
          <w:i/>
          <w:iCs/>
        </w:rPr>
        <w:t>Clinical Pharmacology &amp; Therapeutics</w:t>
      </w:r>
      <w:r>
        <w:t xml:space="preserve"> </w:t>
      </w:r>
      <w:r>
        <w:rPr>
          <w:b/>
          <w:bCs/>
        </w:rPr>
        <w:t>111</w:t>
      </w:r>
      <w:r>
        <w:t>, 243–251 (2022).</w:t>
      </w:r>
    </w:p>
    <w:p w:rsidR="00B51D93" w:rsidRDefault="00000000">
      <w:pPr>
        <w:pStyle w:val="Bibliography"/>
      </w:pPr>
      <w:bookmarkStart w:id="24" w:name="ref-rider2024emulations"/>
      <w:bookmarkEnd w:id="23"/>
      <w:r>
        <w:t xml:space="preserve">5. </w:t>
      </w:r>
      <w:r>
        <w:tab/>
        <w:t xml:space="preserve">Rider, J. R. </w:t>
      </w:r>
      <w:r>
        <w:rPr>
          <w:i/>
          <w:iCs/>
        </w:rPr>
        <w:t>et al.</w:t>
      </w:r>
      <w:r>
        <w:t xml:space="preserve"> Emulations of oncology trials using real-world data: A systematic literature review. </w:t>
      </w:r>
      <w:r>
        <w:rPr>
          <w:i/>
          <w:iCs/>
        </w:rPr>
        <w:t>American journal of epidemiology</w:t>
      </w:r>
      <w:r>
        <w:t xml:space="preserve"> kwae346 (2024).</w:t>
      </w:r>
    </w:p>
    <w:p w:rsidR="00B51D93" w:rsidRDefault="00000000">
      <w:pPr>
        <w:pStyle w:val="Bibliography"/>
      </w:pPr>
      <w:bookmarkStart w:id="25" w:name="ref-merola2023aetion"/>
      <w:bookmarkEnd w:id="24"/>
      <w:r>
        <w:t xml:space="preserve">6. </w:t>
      </w:r>
      <w:r>
        <w:tab/>
        <w:t xml:space="preserve">Merola, D. </w:t>
      </w:r>
      <w:r>
        <w:rPr>
          <w:i/>
          <w:iCs/>
        </w:rPr>
        <w:t>et al.</w:t>
      </w:r>
      <w:r>
        <w:t xml:space="preserve"> The aetion coalition to advance real-world evidence through randomized controlled trial emulation initiative: oncology. </w:t>
      </w:r>
      <w:r>
        <w:rPr>
          <w:i/>
          <w:iCs/>
        </w:rPr>
        <w:t>Clinical Pharmacology &amp; Therapeutics</w:t>
      </w:r>
      <w:r>
        <w:t xml:space="preserve"> </w:t>
      </w:r>
      <w:r>
        <w:rPr>
          <w:b/>
          <w:bCs/>
        </w:rPr>
        <w:t>113</w:t>
      </w:r>
      <w:r>
        <w:t>, 1217–1222 (2023).</w:t>
      </w:r>
    </w:p>
    <w:p w:rsidR="00B51D93" w:rsidRPr="00B361EC" w:rsidRDefault="00000000">
      <w:pPr>
        <w:pStyle w:val="Bibliography"/>
        <w:rPr>
          <w:lang w:val="de-DE"/>
        </w:rPr>
      </w:pPr>
      <w:bookmarkStart w:id="26" w:name="ref-merola2024calibrating"/>
      <w:bookmarkEnd w:id="25"/>
      <w:r>
        <w:t xml:space="preserve">7. </w:t>
      </w:r>
      <w:r>
        <w:tab/>
        <w:t xml:space="preserve">Merola, D. </w:t>
      </w:r>
      <w:r>
        <w:rPr>
          <w:i/>
          <w:iCs/>
        </w:rPr>
        <w:t>et al.</w:t>
      </w:r>
      <w:r>
        <w:t xml:space="preserve"> Calibrating observational health record data against a randomized trial. </w:t>
      </w:r>
      <w:r w:rsidRPr="00B361EC">
        <w:rPr>
          <w:i/>
          <w:iCs/>
          <w:lang w:val="de-DE"/>
        </w:rPr>
        <w:t>JAMA Network Open</w:t>
      </w:r>
      <w:r w:rsidRPr="00B361EC">
        <w:rPr>
          <w:lang w:val="de-DE"/>
        </w:rPr>
        <w:t xml:space="preserve"> </w:t>
      </w:r>
      <w:r w:rsidRPr="00B361EC">
        <w:rPr>
          <w:b/>
          <w:bCs/>
          <w:lang w:val="de-DE"/>
        </w:rPr>
        <w:t>7</w:t>
      </w:r>
      <w:r w:rsidRPr="00B361EC">
        <w:rPr>
          <w:lang w:val="de-DE"/>
        </w:rPr>
        <w:t>, e2436535–e2436535 (2024).</w:t>
      </w:r>
    </w:p>
    <w:p w:rsidR="00B51D93" w:rsidRDefault="00000000">
      <w:pPr>
        <w:pStyle w:val="Bibliography"/>
      </w:pPr>
      <w:bookmarkStart w:id="27" w:name="ref-wang2023emulation"/>
      <w:bookmarkEnd w:id="26"/>
      <w:r w:rsidRPr="00B361EC">
        <w:rPr>
          <w:lang w:val="de-DE"/>
        </w:rPr>
        <w:t xml:space="preserve">8. </w:t>
      </w:r>
      <w:r w:rsidRPr="00B361EC">
        <w:rPr>
          <w:lang w:val="de-DE"/>
        </w:rPr>
        <w:tab/>
        <w:t xml:space="preserve">Wang, S. V. </w:t>
      </w:r>
      <w:r w:rsidRPr="00B361EC">
        <w:rPr>
          <w:i/>
          <w:iCs/>
          <w:lang w:val="de-DE"/>
        </w:rPr>
        <w:t>et al.</w:t>
      </w:r>
      <w:r w:rsidRPr="00B361EC">
        <w:rPr>
          <w:lang w:val="de-DE"/>
        </w:rPr>
        <w:t xml:space="preserve"> </w:t>
      </w:r>
      <w:hyperlink r:id="rId14">
        <w:r>
          <w:rPr>
            <w:rStyle w:val="Hyperlink"/>
          </w:rPr>
          <w:t>Emulation of randomized clinical trials with nonrandomized database analyses: Results of 32 clinical trials</w:t>
        </w:r>
      </w:hyperlink>
      <w:r>
        <w:t xml:space="preserve">. </w:t>
      </w:r>
      <w:r>
        <w:rPr>
          <w:i/>
          <w:iCs/>
        </w:rPr>
        <w:t>Jama</w:t>
      </w:r>
      <w:r>
        <w:t xml:space="preserve"> </w:t>
      </w:r>
      <w:r>
        <w:rPr>
          <w:b/>
          <w:bCs/>
        </w:rPr>
        <w:t>329</w:t>
      </w:r>
      <w:r>
        <w:t>, 1376–1385 (2023).</w:t>
      </w:r>
    </w:p>
    <w:p w:rsidR="00B51D93" w:rsidRDefault="00000000">
      <w:pPr>
        <w:pStyle w:val="Bibliography"/>
      </w:pPr>
      <w:bookmarkStart w:id="28" w:name="ref-heyard2024design"/>
      <w:bookmarkEnd w:id="27"/>
      <w:r>
        <w:t xml:space="preserve">9. </w:t>
      </w:r>
      <w:r>
        <w:tab/>
        <w:t xml:space="preserve">Heyard, R., Held, L., Schneeweiss, S. &amp; Wang, S. V. </w:t>
      </w:r>
      <w:hyperlink r:id="rId15">
        <w:r>
          <w:rPr>
            <w:rStyle w:val="Hyperlink"/>
          </w:rPr>
          <w:t>Design differences and variation in results between randomised trials and non-randomised emulations: Meta-analysis of RCT-DUPLICATE data</w:t>
        </w:r>
      </w:hyperlink>
      <w:r>
        <w:t xml:space="preserve">. </w:t>
      </w:r>
      <w:r>
        <w:rPr>
          <w:i/>
          <w:iCs/>
        </w:rPr>
        <w:t>BMJ medicine</w:t>
      </w:r>
      <w:r>
        <w:t xml:space="preserve"> </w:t>
      </w:r>
      <w:r>
        <w:rPr>
          <w:b/>
          <w:bCs/>
        </w:rPr>
        <w:t>3</w:t>
      </w:r>
      <w:r>
        <w:t>, (2024).</w:t>
      </w:r>
    </w:p>
    <w:p w:rsidR="00B51D93" w:rsidRDefault="00000000">
      <w:pPr>
        <w:pStyle w:val="Bibliography"/>
      </w:pPr>
      <w:bookmarkStart w:id="29" w:name="ref-encoreFDA"/>
      <w:bookmarkEnd w:id="28"/>
      <w:r>
        <w:t xml:space="preserve">10. </w:t>
      </w:r>
      <w:r>
        <w:tab/>
        <w:t>Calibrating real-world evidence studies in oncology against randomized trials: ENCORE (last accessed 11/28/2024). (2024).at &lt;</w:t>
      </w:r>
      <w:hyperlink r:id="rId16">
        <w:r>
          <w:rPr>
            <w:rStyle w:val="Hyperlink"/>
          </w:rPr>
          <w:t>https://www.fda.gov/about-fda/oncology-center-excellence/calibrating-real-world-evidence-studies-oncology-against-randomized-trials-encore</w:t>
        </w:r>
      </w:hyperlink>
      <w:r>
        <w:t>&gt;</w:t>
      </w:r>
    </w:p>
    <w:p w:rsidR="00B51D93" w:rsidRDefault="00000000">
      <w:pPr>
        <w:pStyle w:val="Bibliography"/>
      </w:pPr>
      <w:bookmarkStart w:id="30" w:name="ref-rivera2024oncology"/>
      <w:bookmarkEnd w:id="29"/>
      <w:r>
        <w:t xml:space="preserve">11. </w:t>
      </w:r>
      <w:r>
        <w:tab/>
        <w:t xml:space="preserve">Rivera, D. R. </w:t>
      </w:r>
      <w:r>
        <w:rPr>
          <w:i/>
          <w:iCs/>
        </w:rPr>
        <w:t>et al.</w:t>
      </w:r>
      <w:r>
        <w:t xml:space="preserve"> The oncology QCARD initiative: Fostering efficient evaluation of initial real-world data proposals. </w:t>
      </w:r>
      <w:r>
        <w:rPr>
          <w:i/>
          <w:iCs/>
        </w:rPr>
        <w:t>Pharmacoepidemiology and Drug Safety</w:t>
      </w:r>
      <w:r>
        <w:t xml:space="preserve"> </w:t>
      </w:r>
      <w:r>
        <w:rPr>
          <w:b/>
          <w:bCs/>
        </w:rPr>
        <w:t>33</w:t>
      </w:r>
      <w:r>
        <w:t>, e5818 (2024).</w:t>
      </w:r>
    </w:p>
    <w:p w:rsidR="00B51D93" w:rsidRDefault="00000000">
      <w:pPr>
        <w:pStyle w:val="Bibliography"/>
      </w:pPr>
      <w:bookmarkStart w:id="31" w:name="ref-gatto2022structured"/>
      <w:bookmarkEnd w:id="30"/>
      <w:r>
        <w:t xml:space="preserve">12. </w:t>
      </w:r>
      <w:r>
        <w:tab/>
        <w:t xml:space="preserve">Gatto, N. M. </w:t>
      </w:r>
      <w:r>
        <w:rPr>
          <w:i/>
          <w:iCs/>
        </w:rPr>
        <w:t>et al.</w:t>
      </w:r>
      <w:r>
        <w:t xml:space="preserve"> The structured process to identify fit-for-purpose data: A data feasibility assessment framework. </w:t>
      </w:r>
      <w:r>
        <w:rPr>
          <w:i/>
          <w:iCs/>
        </w:rPr>
        <w:t>Clinical Pharmacology &amp; Therapeutics</w:t>
      </w:r>
      <w:r>
        <w:t xml:space="preserve"> </w:t>
      </w:r>
      <w:r>
        <w:rPr>
          <w:b/>
          <w:bCs/>
        </w:rPr>
        <w:t>111</w:t>
      </w:r>
      <w:r>
        <w:t>, 122–134 (2022).</w:t>
      </w:r>
    </w:p>
    <w:p w:rsidR="00B51D93" w:rsidRDefault="00000000">
      <w:pPr>
        <w:pStyle w:val="Bibliography"/>
      </w:pPr>
      <w:bookmarkStart w:id="32" w:name="ref-hopewell2025consort"/>
      <w:bookmarkEnd w:id="31"/>
      <w:r>
        <w:t xml:space="preserve">13. </w:t>
      </w:r>
      <w:r>
        <w:tab/>
        <w:t xml:space="preserve">Hopewell, S. </w:t>
      </w:r>
      <w:r>
        <w:rPr>
          <w:i/>
          <w:iCs/>
        </w:rPr>
        <w:t>et al.</w:t>
      </w:r>
      <w:r>
        <w:t xml:space="preserve"> CONSORT 2025 statement: Updated guideline for reporting randomised trials. </w:t>
      </w:r>
      <w:r>
        <w:rPr>
          <w:i/>
          <w:iCs/>
        </w:rPr>
        <w:t>The Lancet</w:t>
      </w:r>
      <w:r>
        <w:t xml:space="preserve"> </w:t>
      </w:r>
      <w:r>
        <w:rPr>
          <w:b/>
          <w:bCs/>
        </w:rPr>
        <w:t>405</w:t>
      </w:r>
      <w:r>
        <w:t>, 1633–1640 (2025).</w:t>
      </w:r>
    </w:p>
    <w:p w:rsidR="00B51D93" w:rsidRDefault="00000000">
      <w:pPr>
        <w:pStyle w:val="Bibliography"/>
      </w:pPr>
      <w:bookmarkStart w:id="33" w:name="ref-tasneem2012database"/>
      <w:bookmarkEnd w:id="32"/>
      <w:r>
        <w:t xml:space="preserve">14. </w:t>
      </w:r>
      <w:r>
        <w:tab/>
        <w:t xml:space="preserve">Tasneem, A. </w:t>
      </w:r>
      <w:r>
        <w:rPr>
          <w:i/>
          <w:iCs/>
        </w:rPr>
        <w:t>et al.</w:t>
      </w:r>
      <w:r>
        <w:t xml:space="preserve"> The database for aggregate analysis of ClinicalTrials. Gov (AACT) and subsequent regrouping by clinical specialty. </w:t>
      </w:r>
      <w:r>
        <w:rPr>
          <w:i/>
          <w:iCs/>
        </w:rPr>
        <w:t>PloS one</w:t>
      </w:r>
      <w:r>
        <w:t xml:space="preserve"> </w:t>
      </w:r>
      <w:r>
        <w:rPr>
          <w:b/>
          <w:bCs/>
        </w:rPr>
        <w:t>7</w:t>
      </w:r>
      <w:r>
        <w:t>, e33677 (2012).</w:t>
      </w:r>
    </w:p>
    <w:p w:rsidR="00B51D93" w:rsidRDefault="00000000">
      <w:pPr>
        <w:pStyle w:val="Bibliography"/>
      </w:pPr>
      <w:bookmarkStart w:id="34" w:name="ref-eisenhauer2009new"/>
      <w:bookmarkEnd w:id="33"/>
      <w:r w:rsidRPr="00B361EC">
        <w:rPr>
          <w:lang w:val="de-DE"/>
        </w:rPr>
        <w:lastRenderedPageBreak/>
        <w:t xml:space="preserve">15. </w:t>
      </w:r>
      <w:r w:rsidRPr="00B361EC">
        <w:rPr>
          <w:lang w:val="de-DE"/>
        </w:rPr>
        <w:tab/>
        <w:t xml:space="preserve">Eisenhauer, E. A. </w:t>
      </w:r>
      <w:r w:rsidRPr="00B361EC">
        <w:rPr>
          <w:i/>
          <w:iCs/>
          <w:lang w:val="de-DE"/>
        </w:rPr>
        <w:t>et al.</w:t>
      </w:r>
      <w:r w:rsidRPr="00B361EC">
        <w:rPr>
          <w:lang w:val="de-DE"/>
        </w:rPr>
        <w:t xml:space="preserve"> </w:t>
      </w:r>
      <w:r>
        <w:t xml:space="preserve">New response evaluation criteria in solid tumours: Revised RECIST guideline (version 1.1). </w:t>
      </w:r>
      <w:r>
        <w:rPr>
          <w:i/>
          <w:iCs/>
        </w:rPr>
        <w:t>European journal of cancer</w:t>
      </w:r>
      <w:r>
        <w:t xml:space="preserve"> </w:t>
      </w:r>
      <w:r>
        <w:rPr>
          <w:b/>
          <w:bCs/>
        </w:rPr>
        <w:t>45</w:t>
      </w:r>
      <w:r>
        <w:t>, 228–247 (2009).</w:t>
      </w:r>
    </w:p>
    <w:p w:rsidR="00B51D93" w:rsidRDefault="00000000">
      <w:pPr>
        <w:pStyle w:val="Bibliography"/>
      </w:pPr>
      <w:bookmarkStart w:id="35" w:name="ref-ThanCCR"/>
      <w:bookmarkEnd w:id="34"/>
      <w:r>
        <w:t xml:space="preserve">16. </w:t>
      </w:r>
      <w:r>
        <w:tab/>
        <w:t xml:space="preserve">Ton, T. G. N. </w:t>
      </w:r>
      <w:r>
        <w:rPr>
          <w:i/>
          <w:iCs/>
        </w:rPr>
        <w:t>et al.</w:t>
      </w:r>
      <w:r>
        <w:t xml:space="preserve"> </w:t>
      </w:r>
      <w:hyperlink r:id="rId17">
        <w:r>
          <w:rPr>
            <w:rStyle w:val="Hyperlink"/>
          </w:rPr>
          <w:t>Replication of overall survival, progression-free survival, and overall response in chemotherapy arms of nonâsmall cell lung cancer trials using real-world data</w:t>
        </w:r>
      </w:hyperlink>
      <w:r>
        <w:t xml:space="preserve">. </w:t>
      </w:r>
      <w:r>
        <w:rPr>
          <w:i/>
          <w:iCs/>
        </w:rPr>
        <w:t>Clinical Cancer Research</w:t>
      </w:r>
      <w:r>
        <w:t xml:space="preserve"> </w:t>
      </w:r>
      <w:r>
        <w:rPr>
          <w:b/>
          <w:bCs/>
        </w:rPr>
        <w:t>28</w:t>
      </w:r>
      <w:r>
        <w:t>, 2844–2853 (2022).</w:t>
      </w:r>
    </w:p>
    <w:p w:rsidR="00B51D93" w:rsidRDefault="00000000">
      <w:pPr>
        <w:pStyle w:val="Bibliography"/>
      </w:pPr>
      <w:bookmarkStart w:id="36" w:name="ref-mckelvey2024evaluation"/>
      <w:bookmarkEnd w:id="35"/>
      <w:r>
        <w:t xml:space="preserve">17. </w:t>
      </w:r>
      <w:r>
        <w:tab/>
        <w:t xml:space="preserve">McKelvey, B. A. </w:t>
      </w:r>
      <w:r>
        <w:rPr>
          <w:i/>
          <w:iCs/>
        </w:rPr>
        <w:t>et al.</w:t>
      </w:r>
      <w:r>
        <w:t xml:space="preserve"> Evaluation of real-world tumor response derived from electronic health record data sources: A feasibility analysis in patients with metastatic non–small cell lung cancer treated with chemotherapy. </w:t>
      </w:r>
      <w:r>
        <w:rPr>
          <w:i/>
          <w:iCs/>
        </w:rPr>
        <w:t>JCO Clinical Cancer Informatics</w:t>
      </w:r>
      <w:r>
        <w:t xml:space="preserve"> </w:t>
      </w:r>
      <w:r>
        <w:rPr>
          <w:b/>
          <w:bCs/>
        </w:rPr>
        <w:t>8</w:t>
      </w:r>
      <w:r>
        <w:t>, e2400091 (2024).</w:t>
      </w:r>
    </w:p>
    <w:p w:rsidR="00B51D93" w:rsidRDefault="00000000">
      <w:pPr>
        <w:pStyle w:val="Bibliography"/>
      </w:pPr>
      <w:bookmarkStart w:id="37" w:name="ref-rwdRECIST"/>
      <w:bookmarkEnd w:id="36"/>
      <w:r>
        <w:t xml:space="preserve">18. </w:t>
      </w:r>
      <w:r>
        <w:tab/>
        <w:t xml:space="preserve">Chen, L. </w:t>
      </w:r>
      <w:r>
        <w:rPr>
          <w:i/>
          <w:iCs/>
        </w:rPr>
        <w:t>et al.</w:t>
      </w:r>
      <w:r>
        <w:t xml:space="preserve"> </w:t>
      </w:r>
      <w:hyperlink r:id="rId18">
        <w:r>
          <w:rPr>
            <w:rStyle w:val="Hyperlink"/>
          </w:rPr>
          <w:t>Comparison of response from RECIST1.1 and abstraction in real-world patients with lung cancer.</w:t>
        </w:r>
      </w:hyperlink>
      <w:r>
        <w:t xml:space="preserve"> </w:t>
      </w:r>
      <w:r>
        <w:rPr>
          <w:i/>
          <w:iCs/>
        </w:rPr>
        <w:t>Journal of Clinical Oncology</w:t>
      </w:r>
      <w:r>
        <w:t xml:space="preserve"> </w:t>
      </w:r>
      <w:r>
        <w:rPr>
          <w:b/>
          <w:bCs/>
        </w:rPr>
        <w:t>41</w:t>
      </w:r>
      <w:r>
        <w:t>, e21194–e21194 (2023).</w:t>
      </w:r>
    </w:p>
    <w:p w:rsidR="00B51D93" w:rsidRDefault="00000000">
      <w:pPr>
        <w:pStyle w:val="Bibliography"/>
      </w:pPr>
      <w:bookmarkStart w:id="38" w:name="ref-rivera2022friends"/>
      <w:bookmarkEnd w:id="37"/>
      <w:r>
        <w:t xml:space="preserve">19. </w:t>
      </w:r>
      <w:r>
        <w:tab/>
        <w:t xml:space="preserve">Rivera, D. R. </w:t>
      </w:r>
      <w:r>
        <w:rPr>
          <w:i/>
          <w:iCs/>
        </w:rPr>
        <w:t>et al.</w:t>
      </w:r>
      <w:r>
        <w:t xml:space="preserve"> The friends of cancer research real-world data collaboration pilot 2.0: Methodological recommendations from oncology case studies. </w:t>
      </w:r>
      <w:r>
        <w:rPr>
          <w:i/>
          <w:iCs/>
        </w:rPr>
        <w:t>Clinical Pharmacology &amp; Therapeutics</w:t>
      </w:r>
      <w:r>
        <w:t xml:space="preserve"> </w:t>
      </w:r>
      <w:r>
        <w:rPr>
          <w:b/>
          <w:bCs/>
        </w:rPr>
        <w:t>111</w:t>
      </w:r>
      <w:r>
        <w:t>, 283–292 (2022).</w:t>
      </w:r>
    </w:p>
    <w:p w:rsidR="00B51D93" w:rsidRDefault="00000000">
      <w:pPr>
        <w:pStyle w:val="Bibliography"/>
      </w:pPr>
      <w:bookmarkStart w:id="39" w:name="ref-ackerman2024measurement"/>
      <w:bookmarkEnd w:id="38"/>
      <w:r>
        <w:t xml:space="preserve">20. </w:t>
      </w:r>
      <w:r>
        <w:tab/>
        <w:t xml:space="preserve">Ackerman, B. </w:t>
      </w:r>
      <w:r>
        <w:rPr>
          <w:i/>
          <w:iCs/>
        </w:rPr>
        <w:t>et al.</w:t>
      </w:r>
      <w:r>
        <w:t xml:space="preserve"> Measurement error and bias in real-world oncology endpoints when constructing external control arms. </w:t>
      </w:r>
      <w:r>
        <w:rPr>
          <w:i/>
          <w:iCs/>
        </w:rPr>
        <w:t>Frontiers in Drug Safety and Regulation</w:t>
      </w:r>
      <w:r>
        <w:t xml:space="preserve"> </w:t>
      </w:r>
      <w:r>
        <w:rPr>
          <w:b/>
          <w:bCs/>
        </w:rPr>
        <w:t>4</w:t>
      </w:r>
      <w:r>
        <w:t>, 1423493 (2024).</w:t>
      </w:r>
    </w:p>
    <w:p w:rsidR="00B51D93" w:rsidRDefault="00000000">
      <w:pPr>
        <w:pStyle w:val="Bibliography"/>
      </w:pPr>
      <w:bookmarkStart w:id="40" w:name="ref-curtis2018development"/>
      <w:bookmarkEnd w:id="39"/>
      <w:r>
        <w:t xml:space="preserve">21. </w:t>
      </w:r>
      <w:r>
        <w:tab/>
        <w:t xml:space="preserve">Curtis, M. D. </w:t>
      </w:r>
      <w:r>
        <w:rPr>
          <w:i/>
          <w:iCs/>
        </w:rPr>
        <w:t>et al.</w:t>
      </w:r>
      <w:r>
        <w:t xml:space="preserve"> Development and validation of a high-quality composite real-world mortality endpoint. </w:t>
      </w:r>
      <w:r>
        <w:rPr>
          <w:i/>
          <w:iCs/>
        </w:rPr>
        <w:t>Health services research</w:t>
      </w:r>
      <w:r>
        <w:t xml:space="preserve"> </w:t>
      </w:r>
      <w:r>
        <w:rPr>
          <w:b/>
          <w:bCs/>
        </w:rPr>
        <w:t>53</w:t>
      </w:r>
      <w:r>
        <w:t>, 4460–4476 (2018).</w:t>
      </w:r>
    </w:p>
    <w:p w:rsidR="00B51D93" w:rsidRDefault="00000000">
      <w:pPr>
        <w:pStyle w:val="Bibliography"/>
      </w:pPr>
      <w:bookmarkStart w:id="41" w:name="ref-zhang2021validation"/>
      <w:bookmarkEnd w:id="40"/>
      <w:r>
        <w:t xml:space="preserve">22. </w:t>
      </w:r>
      <w:r>
        <w:tab/>
        <w:t xml:space="preserve">Zhang, Q., Gossai, A., Monroe, S., Nussbaum, N. C. &amp; Parrinello, C. M. Validation analysis of a composite real-world mortality endpoint for patients with cancer in the united states. </w:t>
      </w:r>
      <w:r>
        <w:rPr>
          <w:i/>
          <w:iCs/>
        </w:rPr>
        <w:t>Health services research</w:t>
      </w:r>
      <w:r>
        <w:t xml:space="preserve"> </w:t>
      </w:r>
      <w:r>
        <w:rPr>
          <w:b/>
          <w:bCs/>
        </w:rPr>
        <w:t>56</w:t>
      </w:r>
      <w:r>
        <w:t>, 1281–1287 (2021).</w:t>
      </w:r>
    </w:p>
    <w:p w:rsidR="00B51D93" w:rsidRDefault="00000000">
      <w:pPr>
        <w:pStyle w:val="Bibliography"/>
      </w:pPr>
      <w:bookmarkStart w:id="42" w:name="ref-shao2023improving"/>
      <w:bookmarkEnd w:id="41"/>
      <w:r>
        <w:t xml:space="preserve">23. </w:t>
      </w:r>
      <w:r>
        <w:tab/>
        <w:t xml:space="preserve">Shao, P., Tepsick, J. G., Walker, B. &amp; Ray, H. E. Improving real-world mortality data quality in oncology research: Augmenting electronic medical records with obituary, social security death index, and commercial claims data. </w:t>
      </w:r>
      <w:r>
        <w:rPr>
          <w:i/>
          <w:iCs/>
        </w:rPr>
        <w:t>JCO Clinical Cancer Informatics</w:t>
      </w:r>
      <w:r>
        <w:t xml:space="preserve"> </w:t>
      </w:r>
      <w:r>
        <w:rPr>
          <w:b/>
          <w:bCs/>
        </w:rPr>
        <w:t>7</w:t>
      </w:r>
      <w:r>
        <w:t>, e2300014 (2023).</w:t>
      </w:r>
    </w:p>
    <w:p w:rsidR="00B51D93" w:rsidRDefault="00000000">
      <w:pPr>
        <w:pStyle w:val="Bibliography"/>
      </w:pPr>
      <w:bookmarkStart w:id="43" w:name="ref-dong2025validation"/>
      <w:bookmarkEnd w:id="42"/>
      <w:r>
        <w:t xml:space="preserve">24. </w:t>
      </w:r>
      <w:r>
        <w:tab/>
        <w:t xml:space="preserve">Dong, S. </w:t>
      </w:r>
      <w:r>
        <w:rPr>
          <w:i/>
          <w:iCs/>
        </w:rPr>
        <w:t>et al.</w:t>
      </w:r>
      <w:r>
        <w:t xml:space="preserve"> Validation of a composite real-world mortality variable among patients with hematologic malignancies treated in the united states. </w:t>
      </w:r>
      <w:r>
        <w:rPr>
          <w:i/>
          <w:iCs/>
        </w:rPr>
        <w:t>JCO Clinical Cancer Informatics</w:t>
      </w:r>
      <w:r>
        <w:t xml:space="preserve"> </w:t>
      </w:r>
      <w:r>
        <w:rPr>
          <w:b/>
          <w:bCs/>
        </w:rPr>
        <w:t>9</w:t>
      </w:r>
      <w:r>
        <w:t>, e2400233 (2025).</w:t>
      </w:r>
    </w:p>
    <w:p w:rsidR="00B51D93" w:rsidRDefault="00000000">
      <w:pPr>
        <w:pStyle w:val="Bibliography"/>
      </w:pPr>
      <w:bookmarkStart w:id="44" w:name="ref-shay2025ropro"/>
      <w:bookmarkEnd w:id="43"/>
      <w:r>
        <w:t xml:space="preserve">25. </w:t>
      </w:r>
      <w:r>
        <w:tab/>
        <w:t xml:space="preserve">Shay, D. </w:t>
      </w:r>
      <w:r>
        <w:rPr>
          <w:i/>
          <w:iCs/>
        </w:rPr>
        <w:t>et al.</w:t>
      </w:r>
      <w:r>
        <w:t xml:space="preserve"> Evaluation of the real-wOrld PROgnostic (ROPRO) score to predict overall survival in specialized oncology EHR databases. </w:t>
      </w:r>
      <w:r>
        <w:rPr>
          <w:i/>
          <w:iCs/>
        </w:rPr>
        <w:t>in preparation</w:t>
      </w:r>
      <w:r>
        <w:t xml:space="preserve"> (2025).</w:t>
      </w:r>
    </w:p>
    <w:p w:rsidR="00B51D93" w:rsidRDefault="00000000">
      <w:pPr>
        <w:pStyle w:val="Bibliography"/>
      </w:pPr>
      <w:bookmarkStart w:id="45" w:name="ref-nikolakopoulou2014interpret"/>
      <w:bookmarkEnd w:id="44"/>
      <w:r>
        <w:t xml:space="preserve">26. </w:t>
      </w:r>
      <w:r>
        <w:tab/>
        <w:t xml:space="preserve">Nikolakopoulou, A., Mavridis, D. &amp; Salanti, G. How to interpret meta-analysis models: Fixed effect and random effects meta-analyses. </w:t>
      </w:r>
      <w:r>
        <w:rPr>
          <w:i/>
          <w:iCs/>
        </w:rPr>
        <w:t>BMJ Ment Health</w:t>
      </w:r>
      <w:r>
        <w:t xml:space="preserve"> </w:t>
      </w:r>
      <w:r>
        <w:rPr>
          <w:b/>
          <w:bCs/>
        </w:rPr>
        <w:t>17</w:t>
      </w:r>
      <w:r>
        <w:t>, 64–64 (2014).</w:t>
      </w:r>
    </w:p>
    <w:p w:rsidR="00B51D93" w:rsidRDefault="00000000">
      <w:pPr>
        <w:pStyle w:val="Bibliography"/>
      </w:pPr>
      <w:bookmarkStart w:id="46" w:name="ref-wang2022harmonized"/>
      <w:bookmarkEnd w:id="45"/>
      <w:r>
        <w:t xml:space="preserve">27. </w:t>
      </w:r>
      <w:r>
        <w:tab/>
        <w:t xml:space="preserve">Wang, S. V. </w:t>
      </w:r>
      <w:r>
        <w:rPr>
          <w:i/>
          <w:iCs/>
        </w:rPr>
        <w:t>et al.</w:t>
      </w:r>
      <w:r>
        <w:t xml:space="preserve"> </w:t>
      </w:r>
      <w:hyperlink r:id="rId19">
        <w:r>
          <w:rPr>
            <w:rStyle w:val="Hyperlink"/>
          </w:rPr>
          <w:t xml:space="preserve">HARmonized protocol template to enhance reproducibility of hypothesis evaluating real-world evidence studies on treatment effects: A good </w:t>
        </w:r>
        <w:r>
          <w:rPr>
            <w:rStyle w:val="Hyperlink"/>
          </w:rPr>
          <w:lastRenderedPageBreak/>
          <w:t>practices report of a joint ISPE/ISPOR task force</w:t>
        </w:r>
      </w:hyperlink>
      <w:r>
        <w:t xml:space="preserve">. </w:t>
      </w:r>
      <w:r>
        <w:rPr>
          <w:i/>
          <w:iCs/>
        </w:rPr>
        <w:t>Value in Health</w:t>
      </w:r>
      <w:r>
        <w:t xml:space="preserve"> </w:t>
      </w:r>
      <w:r>
        <w:rPr>
          <w:b/>
          <w:bCs/>
        </w:rPr>
        <w:t>25</w:t>
      </w:r>
      <w:r>
        <w:t>, 1663–1672 (2022).</w:t>
      </w:r>
    </w:p>
    <w:p w:rsidR="00B51D93" w:rsidRDefault="00000000">
      <w:pPr>
        <w:pStyle w:val="Bibliography"/>
      </w:pPr>
      <w:bookmarkStart w:id="47" w:name="ref-guidelinegeneral"/>
      <w:bookmarkEnd w:id="46"/>
      <w:r>
        <w:t xml:space="preserve">28. </w:t>
      </w:r>
      <w:r>
        <w:tab/>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 </w:t>
      </w:r>
    </w:p>
    <w:p w:rsidR="00B51D93" w:rsidRPr="00B361EC" w:rsidRDefault="00000000">
      <w:pPr>
        <w:pStyle w:val="Bibliography"/>
        <w:rPr>
          <w:lang w:val="de-DE"/>
        </w:rPr>
      </w:pPr>
      <w:bookmarkStart w:id="48" w:name="ref-hernan2022target"/>
      <w:bookmarkEnd w:id="47"/>
      <w:r>
        <w:t xml:space="preserve">29. </w:t>
      </w:r>
      <w:r>
        <w:tab/>
        <w:t xml:space="preserve">Hernán, M. A., Wang, W. &amp; Leaf, D. E. Target trial emulation: A framework for causal inference from observational data. </w:t>
      </w:r>
      <w:r w:rsidRPr="00B361EC">
        <w:rPr>
          <w:i/>
          <w:iCs/>
          <w:lang w:val="de-DE"/>
        </w:rPr>
        <w:t>Jama</w:t>
      </w:r>
      <w:r w:rsidRPr="00B361EC">
        <w:rPr>
          <w:lang w:val="de-DE"/>
        </w:rPr>
        <w:t xml:space="preserve"> </w:t>
      </w:r>
      <w:r w:rsidRPr="00B361EC">
        <w:rPr>
          <w:b/>
          <w:bCs/>
          <w:lang w:val="de-DE"/>
        </w:rPr>
        <w:t>328</w:t>
      </w:r>
      <w:r w:rsidRPr="00B361EC">
        <w:rPr>
          <w:lang w:val="de-DE"/>
        </w:rPr>
        <w:t>, 2446–2447 (2022).</w:t>
      </w:r>
    </w:p>
    <w:p w:rsidR="00B51D93" w:rsidRDefault="00000000">
      <w:pPr>
        <w:pStyle w:val="Bibliography"/>
      </w:pPr>
      <w:bookmarkStart w:id="49" w:name="ref-hernan2016specifying"/>
      <w:bookmarkEnd w:id="48"/>
      <w:r w:rsidRPr="00B361EC">
        <w:rPr>
          <w:lang w:val="de-DE"/>
        </w:rPr>
        <w:t xml:space="preserve">30. </w:t>
      </w:r>
      <w:r w:rsidRPr="00B361EC">
        <w:rPr>
          <w:lang w:val="de-DE"/>
        </w:rPr>
        <w:tab/>
        <w:t xml:space="preserve">Hernán, M. A., Sauer, B. C., </w:t>
      </w:r>
      <w:proofErr w:type="spellStart"/>
      <w:r w:rsidRPr="00B361EC">
        <w:rPr>
          <w:lang w:val="de-DE"/>
        </w:rPr>
        <w:t>Hernández-Dı́az</w:t>
      </w:r>
      <w:proofErr w:type="spellEnd"/>
      <w:r w:rsidRPr="00B361EC">
        <w:rPr>
          <w:lang w:val="de-DE"/>
        </w:rPr>
        <w:t xml:space="preserve">, S., Platt, R. &amp; </w:t>
      </w:r>
      <w:proofErr w:type="spellStart"/>
      <w:r w:rsidRPr="00B361EC">
        <w:rPr>
          <w:lang w:val="de-DE"/>
        </w:rPr>
        <w:t>Shrier</w:t>
      </w:r>
      <w:proofErr w:type="spellEnd"/>
      <w:r w:rsidRPr="00B361EC">
        <w:rPr>
          <w:lang w:val="de-DE"/>
        </w:rPr>
        <w:t xml:space="preserve">, I. </w:t>
      </w:r>
      <w:hyperlink r:id="rId20">
        <w:r>
          <w:rPr>
            <w:rStyle w:val="Hyperlink"/>
          </w:rPr>
          <w:t>Specifying a target trial prevents immortal time bias and other self-inflicted injuries in observational analyses</w:t>
        </w:r>
      </w:hyperlink>
      <w:r>
        <w:t xml:space="preserve">. </w:t>
      </w:r>
      <w:r>
        <w:rPr>
          <w:i/>
          <w:iCs/>
        </w:rPr>
        <w:t>Journal of clinical epidemiology</w:t>
      </w:r>
      <w:r>
        <w:t xml:space="preserve"> </w:t>
      </w:r>
      <w:r>
        <w:rPr>
          <w:b/>
          <w:bCs/>
        </w:rPr>
        <w:t>79</w:t>
      </w:r>
      <w:r>
        <w:t>, 70–75 (2016).</w:t>
      </w:r>
    </w:p>
    <w:p w:rsidR="00B51D93" w:rsidRDefault="00000000">
      <w:pPr>
        <w:pStyle w:val="Bibliography"/>
      </w:pPr>
      <w:bookmarkStart w:id="50" w:name="ref-rufibach2018"/>
      <w:bookmarkEnd w:id="49"/>
      <w:r>
        <w:t xml:space="preserve">31. </w:t>
      </w:r>
      <w:r>
        <w:tab/>
        <w:t xml:space="preserve">Rufibach, K. </w:t>
      </w:r>
      <w:hyperlink r:id="rId21">
        <w:r>
          <w:rPr>
            <w:rStyle w:val="Hyperlink"/>
          </w:rPr>
          <w:t>Treatment effect quantification for time-to-event endpointsEstimands, analysis strategies, and beyond</w:t>
        </w:r>
      </w:hyperlink>
      <w:r>
        <w:t xml:space="preserve">. </w:t>
      </w:r>
      <w:r>
        <w:rPr>
          <w:i/>
          <w:iCs/>
        </w:rPr>
        <w:t>Pharmaceutical Statistics</w:t>
      </w:r>
      <w:r>
        <w:t xml:space="preserve"> </w:t>
      </w:r>
      <w:r>
        <w:rPr>
          <w:b/>
          <w:bCs/>
        </w:rPr>
        <w:t>18</w:t>
      </w:r>
      <w:r>
        <w:t>, 145–165 (2018).</w:t>
      </w:r>
    </w:p>
    <w:p w:rsidR="00B51D93" w:rsidRDefault="00000000">
      <w:pPr>
        <w:pStyle w:val="Bibliography"/>
      </w:pPr>
      <w:bookmarkStart w:id="51" w:name="ref-manitz2022estimands"/>
      <w:bookmarkEnd w:id="50"/>
      <w:r>
        <w:t xml:space="preserve">32. </w:t>
      </w:r>
      <w:r>
        <w:tab/>
        <w:t xml:space="preserve">Manitz, J. </w:t>
      </w:r>
      <w:r>
        <w:rPr>
          <w:i/>
          <w:iCs/>
        </w:rPr>
        <w:t>et al.</w:t>
      </w:r>
      <w:r>
        <w:t xml:space="preserve"> Estimands for overall survival in clinical trials with treatment switching in oncology. </w:t>
      </w:r>
      <w:r>
        <w:rPr>
          <w:i/>
          <w:iCs/>
        </w:rPr>
        <w:t>Pharmaceutical Statistics</w:t>
      </w:r>
      <w:r>
        <w:t xml:space="preserve"> </w:t>
      </w:r>
      <w:r>
        <w:rPr>
          <w:b/>
          <w:bCs/>
        </w:rPr>
        <w:t>21</w:t>
      </w:r>
      <w:r>
        <w:t>, 150–162 (2022).</w:t>
      </w:r>
    </w:p>
    <w:p w:rsidR="00B51D93" w:rsidRDefault="00000000">
      <w:pPr>
        <w:pStyle w:val="Bibliography"/>
      </w:pPr>
      <w:bookmarkStart w:id="52" w:name="ref-meyer2020open"/>
      <w:bookmarkEnd w:id="51"/>
      <w:r>
        <w:t xml:space="preserve">33. </w:t>
      </w:r>
      <w:r>
        <w:tab/>
        <w:t xml:space="preserve">Meyer, A.-M., Davies, J., Taylor, M. &amp; Fruechtenicht, C. Open cohorts and ghost-time bias in real world data. In </w:t>
      </w:r>
      <w:r>
        <w:rPr>
          <w:i/>
          <w:iCs/>
        </w:rPr>
        <w:t>PHARMACOEPIDEMIOLOGY AND DRUG SAFETY</w:t>
      </w:r>
      <w:r>
        <w:t xml:space="preserve"> </w:t>
      </w:r>
      <w:r>
        <w:rPr>
          <w:b/>
          <w:bCs/>
        </w:rPr>
        <w:t>29</w:t>
      </w:r>
      <w:r>
        <w:t>, 426–426 (WILEY 111 RIVER ST, HOBOKEN 07030-5774, NJ USA, 2020).</w:t>
      </w:r>
    </w:p>
    <w:p w:rsidR="00B51D93" w:rsidRDefault="00000000">
      <w:pPr>
        <w:pStyle w:val="Bibliography"/>
      </w:pPr>
      <w:bookmarkStart w:id="53" w:name="ref-austin2009balance"/>
      <w:bookmarkEnd w:id="52"/>
      <w:r>
        <w:t xml:space="preserve">34. </w:t>
      </w:r>
      <w:r>
        <w:tab/>
        <w:t xml:space="preserve">Austin, P. C. Balance diagnostics for comparing the distribution of baseline covariates between treatment groups in propensity-score matched samples. </w:t>
      </w:r>
      <w:r>
        <w:rPr>
          <w:i/>
          <w:iCs/>
        </w:rPr>
        <w:t>Statistics in medicine</w:t>
      </w:r>
      <w:r>
        <w:t xml:space="preserve"> </w:t>
      </w:r>
      <w:r>
        <w:rPr>
          <w:b/>
          <w:bCs/>
        </w:rPr>
        <w:t>28</w:t>
      </w:r>
      <w:r>
        <w:t>, 3083–3107 (2009).</w:t>
      </w:r>
    </w:p>
    <w:p w:rsidR="00B51D93" w:rsidRDefault="00000000">
      <w:pPr>
        <w:pStyle w:val="Bibliography"/>
      </w:pPr>
      <w:bookmarkStart w:id="54" w:name="ref-hernan2022causal"/>
      <w:bookmarkEnd w:id="53"/>
      <w:r>
        <w:t xml:space="preserve">35. </w:t>
      </w:r>
      <w:r>
        <w:tab/>
        <w:t xml:space="preserve">Hernán, M. A. Causal analyses of existing databases: No power calculations required. </w:t>
      </w:r>
      <w:r>
        <w:rPr>
          <w:i/>
          <w:iCs/>
        </w:rPr>
        <w:t>Journal of clinical epidemiology</w:t>
      </w:r>
      <w:r>
        <w:t xml:space="preserve"> </w:t>
      </w:r>
      <w:r>
        <w:rPr>
          <w:b/>
          <w:bCs/>
        </w:rPr>
        <w:t>144</w:t>
      </w:r>
      <w:r>
        <w:t>, 203–205 (2022).</w:t>
      </w:r>
    </w:p>
    <w:p w:rsidR="00B51D93" w:rsidRDefault="00000000">
      <w:pPr>
        <w:pStyle w:val="Bibliography"/>
      </w:pPr>
      <w:bookmarkStart w:id="55" w:name="ref-schoenfeld1981asymptotic"/>
      <w:bookmarkEnd w:id="54"/>
      <w:r>
        <w:t xml:space="preserve">36. </w:t>
      </w:r>
      <w:r>
        <w:tab/>
        <w:t xml:space="preserve">Schoenfeld, D. The asymptotic properties of nonparametric tests for comparing survival distributions. </w:t>
      </w:r>
      <w:r>
        <w:rPr>
          <w:i/>
          <w:iCs/>
        </w:rPr>
        <w:t>Biometrika</w:t>
      </w:r>
      <w:r>
        <w:t xml:space="preserve"> </w:t>
      </w:r>
      <w:r>
        <w:rPr>
          <w:b/>
          <w:bCs/>
        </w:rPr>
        <w:t>68</w:t>
      </w:r>
      <w:r>
        <w:t>, 316–319 (1981).</w:t>
      </w:r>
    </w:p>
    <w:p w:rsidR="00B51D93" w:rsidRDefault="00000000">
      <w:pPr>
        <w:pStyle w:val="Bibliography"/>
      </w:pPr>
      <w:bookmarkStart w:id="56" w:name="ref-gsDesign"/>
      <w:bookmarkEnd w:id="55"/>
      <w:r>
        <w:t xml:space="preserve">37. </w:t>
      </w:r>
      <w:r>
        <w:tab/>
        <w:t>Anderson, K. gsDesign: Group sequential design. (2024).at &lt;</w:t>
      </w:r>
      <w:hyperlink r:id="rId22">
        <w:r>
          <w:rPr>
            <w:rStyle w:val="Hyperlink"/>
          </w:rPr>
          <w:t>https://keaven.github.io/gsDesign/</w:t>
        </w:r>
      </w:hyperlink>
      <w:r>
        <w:t>&gt;</w:t>
      </w:r>
    </w:p>
    <w:p w:rsidR="00B51D93" w:rsidRDefault="00000000">
      <w:pPr>
        <w:pStyle w:val="Bibliography"/>
      </w:pPr>
      <w:bookmarkStart w:id="57" w:name="ref-austin2021informing"/>
      <w:bookmarkEnd w:id="56"/>
      <w:r>
        <w:t xml:space="preserve">38. </w:t>
      </w:r>
      <w:r>
        <w:tab/>
        <w:t xml:space="preserve">Austin, P. C. Informing power and sample size calculations when using inverse probability of treatment weighting using the propensity score. </w:t>
      </w:r>
      <w:r>
        <w:rPr>
          <w:i/>
          <w:iCs/>
        </w:rPr>
        <w:t>Statistics in Medicine</w:t>
      </w:r>
      <w:r>
        <w:t xml:space="preserve"> </w:t>
      </w:r>
      <w:r>
        <w:rPr>
          <w:b/>
          <w:bCs/>
        </w:rPr>
        <w:t>40</w:t>
      </w:r>
      <w:r>
        <w:t>, 6150–6163 (2021).</w:t>
      </w:r>
    </w:p>
    <w:p w:rsidR="00B51D93" w:rsidRDefault="00000000">
      <w:pPr>
        <w:pStyle w:val="Bibliography"/>
      </w:pPr>
      <w:bookmarkStart w:id="58" w:name="ref-franklin2020nonrandomized"/>
      <w:bookmarkEnd w:id="57"/>
      <w:r>
        <w:t xml:space="preserve">39. </w:t>
      </w:r>
      <w:r>
        <w:tab/>
        <w:t xml:space="preserve">Franklin, J. M. </w:t>
      </w:r>
      <w:r>
        <w:rPr>
          <w:i/>
          <w:iCs/>
        </w:rPr>
        <w:t>et al.</w:t>
      </w:r>
      <w:r>
        <w:t xml:space="preserve"> Nonrandomized real-world evidence to support regulatory decision making: Process for a randomized trial replication project. </w:t>
      </w:r>
      <w:r>
        <w:rPr>
          <w:i/>
          <w:iCs/>
        </w:rPr>
        <w:t>Clinical Pharmacology &amp; Therapeutics</w:t>
      </w:r>
      <w:r>
        <w:t xml:space="preserve"> </w:t>
      </w:r>
      <w:r>
        <w:rPr>
          <w:b/>
          <w:bCs/>
        </w:rPr>
        <w:t>107</w:t>
      </w:r>
      <w:r>
        <w:t>, 817–826 (2020).</w:t>
      </w:r>
    </w:p>
    <w:p w:rsidR="00B51D93" w:rsidRDefault="00000000">
      <w:pPr>
        <w:pStyle w:val="Bibliography"/>
      </w:pPr>
      <w:bookmarkStart w:id="59" w:name="ref-schneeweiss2019graphical"/>
      <w:bookmarkEnd w:id="58"/>
      <w:r>
        <w:t xml:space="preserve">40. </w:t>
      </w:r>
      <w:r>
        <w:tab/>
        <w:t xml:space="preserve">Schneeweiss, S. </w:t>
      </w:r>
      <w:r>
        <w:rPr>
          <w:i/>
          <w:iCs/>
        </w:rPr>
        <w:t>et al.</w:t>
      </w:r>
      <w:r>
        <w:t xml:space="preserve"> Graphical depiction of longitudinal study designs in health care databases. </w:t>
      </w:r>
      <w:r>
        <w:rPr>
          <w:i/>
          <w:iCs/>
        </w:rPr>
        <w:t>Annals of internal medicine</w:t>
      </w:r>
      <w:r>
        <w:t xml:space="preserve"> </w:t>
      </w:r>
      <w:r>
        <w:rPr>
          <w:b/>
          <w:bCs/>
        </w:rPr>
        <w:t>170</w:t>
      </w:r>
      <w:r>
        <w:t>, 398–406 (2019).</w:t>
      </w:r>
    </w:p>
    <w:p w:rsidR="00B51D93" w:rsidRPr="00B361EC" w:rsidRDefault="00000000">
      <w:pPr>
        <w:pStyle w:val="Bibliography"/>
        <w:rPr>
          <w:lang w:val="de-DE"/>
        </w:rPr>
      </w:pPr>
      <w:bookmarkStart w:id="60" w:name="ref-rubin1976inference"/>
      <w:bookmarkEnd w:id="59"/>
      <w:r>
        <w:lastRenderedPageBreak/>
        <w:t xml:space="preserve">41. </w:t>
      </w:r>
      <w:r>
        <w:tab/>
        <w:t xml:space="preserve">Rubin, D. B. Inference and missing data. </w:t>
      </w:r>
      <w:proofErr w:type="spellStart"/>
      <w:r w:rsidRPr="00B361EC">
        <w:rPr>
          <w:i/>
          <w:iCs/>
          <w:lang w:val="de-DE"/>
        </w:rPr>
        <w:t>Biometrika</w:t>
      </w:r>
      <w:proofErr w:type="spellEnd"/>
      <w:r w:rsidRPr="00B361EC">
        <w:rPr>
          <w:lang w:val="de-DE"/>
        </w:rPr>
        <w:t xml:space="preserve"> </w:t>
      </w:r>
      <w:r w:rsidRPr="00B361EC">
        <w:rPr>
          <w:b/>
          <w:bCs/>
          <w:lang w:val="de-DE"/>
        </w:rPr>
        <w:t>63</w:t>
      </w:r>
      <w:r w:rsidRPr="00B361EC">
        <w:rPr>
          <w:lang w:val="de-DE"/>
        </w:rPr>
        <w:t>, 581–592 (1976).</w:t>
      </w:r>
    </w:p>
    <w:p w:rsidR="00B51D93" w:rsidRDefault="00000000">
      <w:pPr>
        <w:pStyle w:val="Bibliography"/>
      </w:pPr>
      <w:bookmarkStart w:id="61" w:name="ref-weberpals2024smdi"/>
      <w:bookmarkEnd w:id="60"/>
      <w:r w:rsidRPr="00B361EC">
        <w:rPr>
          <w:lang w:val="de-DE"/>
        </w:rPr>
        <w:t xml:space="preserve">42. </w:t>
      </w:r>
      <w:r w:rsidRPr="00B361EC">
        <w:rPr>
          <w:lang w:val="de-DE"/>
        </w:rPr>
        <w:tab/>
        <w:t xml:space="preserve">Weberpals, J. </w:t>
      </w:r>
      <w:r w:rsidRPr="00B361EC">
        <w:rPr>
          <w:i/>
          <w:iCs/>
          <w:lang w:val="de-DE"/>
        </w:rPr>
        <w:t>et al.</w:t>
      </w:r>
      <w:r w:rsidRPr="00B361EC">
        <w:rPr>
          <w:lang w:val="de-DE"/>
        </w:rPr>
        <w:t xml:space="preserve"> </w:t>
      </w:r>
      <w:proofErr w:type="spellStart"/>
      <w:r>
        <w:t>Smdi</w:t>
      </w:r>
      <w:proofErr w:type="spellEnd"/>
      <w:r>
        <w:t xml:space="preserve">: An r package to perform structural missing data investigations on partially observed confounders in real-world evidence studies. </w:t>
      </w:r>
      <w:r>
        <w:rPr>
          <w:i/>
          <w:iCs/>
        </w:rPr>
        <w:t>JAMIA open</w:t>
      </w:r>
      <w:r>
        <w:t xml:space="preserve"> </w:t>
      </w:r>
      <w:r>
        <w:rPr>
          <w:b/>
          <w:bCs/>
        </w:rPr>
        <w:t>7</w:t>
      </w:r>
      <w:r>
        <w:t>, ooae008 (2024).</w:t>
      </w:r>
    </w:p>
    <w:p w:rsidR="00B51D93" w:rsidRDefault="00000000">
      <w:pPr>
        <w:pStyle w:val="Bibliography"/>
      </w:pPr>
      <w:bookmarkStart w:id="62" w:name="ref-weberpals2024"/>
      <w:bookmarkEnd w:id="61"/>
      <w:r>
        <w:t xml:space="preserve">43. </w:t>
      </w:r>
      <w:r>
        <w:tab/>
        <w:t xml:space="preserve">Weberpals, J. </w:t>
      </w:r>
      <w:r>
        <w:rPr>
          <w:i/>
          <w:iCs/>
        </w:rPr>
        <w:t>et al.</w:t>
      </w:r>
      <w:r>
        <w:t xml:space="preserve"> </w:t>
      </w:r>
      <w:hyperlink r:id="rId23">
        <w:r>
          <w:rPr>
            <w:rStyle w:val="Hyperlink"/>
          </w:rPr>
          <w:t>A principled approach to characterize and analyze partially observed confounder data from electronic health records</w:t>
        </w:r>
      </w:hyperlink>
      <w:r>
        <w:t xml:space="preserve">. </w:t>
      </w:r>
      <w:r>
        <w:rPr>
          <w:i/>
          <w:iCs/>
        </w:rPr>
        <w:t>Clinical Epidemiology</w:t>
      </w:r>
      <w:r>
        <w:t xml:space="preserve"> </w:t>
      </w:r>
      <w:r>
        <w:rPr>
          <w:b/>
          <w:bCs/>
        </w:rPr>
        <w:t>16</w:t>
      </w:r>
      <w:r>
        <w:t>, 329–343 (2024).</w:t>
      </w:r>
    </w:p>
    <w:p w:rsidR="00B51D93" w:rsidRDefault="00000000">
      <w:pPr>
        <w:pStyle w:val="Bibliography"/>
      </w:pPr>
      <w:bookmarkStart w:id="63" w:name="ref-moreno2018canonical"/>
      <w:bookmarkEnd w:id="62"/>
      <w:r>
        <w:t xml:space="preserve">44. </w:t>
      </w:r>
      <w:r>
        <w:tab/>
        <w:t xml:space="preserve">Moreno-Betancur, M. </w:t>
      </w:r>
      <w:r>
        <w:rPr>
          <w:i/>
          <w:iCs/>
        </w:rPr>
        <w:t>et al.</w:t>
      </w:r>
      <w:r>
        <w:t xml:space="preserve"> Canonical causal diagrams to guide the treatment of missing data in epidemiologic studies. </w:t>
      </w:r>
      <w:r>
        <w:rPr>
          <w:i/>
          <w:iCs/>
        </w:rPr>
        <w:t>American journal of epidemiology</w:t>
      </w:r>
      <w:r>
        <w:t xml:space="preserve"> </w:t>
      </w:r>
      <w:r>
        <w:rPr>
          <w:b/>
          <w:bCs/>
        </w:rPr>
        <w:t>187</w:t>
      </w:r>
      <w:r>
        <w:t>, 2705–2715 (2018).</w:t>
      </w:r>
    </w:p>
    <w:p w:rsidR="00B51D93" w:rsidRDefault="00000000">
      <w:pPr>
        <w:pStyle w:val="Bibliography"/>
      </w:pPr>
      <w:bookmarkStart w:id="64" w:name="ref-tompsett2018use"/>
      <w:bookmarkEnd w:id="63"/>
      <w:r>
        <w:t xml:space="preserve">45. </w:t>
      </w:r>
      <w:r>
        <w:tab/>
        <w:t xml:space="preserve">Tompsett, D. M., Leacy, F., Moreno-Betancur, M., Heron, J. &amp; White, I. R. On the use of the not-at-random fully conditional specification (NARFCS) procedure in practice. </w:t>
      </w:r>
      <w:r>
        <w:rPr>
          <w:i/>
          <w:iCs/>
        </w:rPr>
        <w:t>Statistics in medicine</w:t>
      </w:r>
      <w:r>
        <w:t xml:space="preserve"> </w:t>
      </w:r>
      <w:r>
        <w:rPr>
          <w:b/>
          <w:bCs/>
        </w:rPr>
        <w:t>37</w:t>
      </w:r>
      <w:r>
        <w:t>, 2338–2353 (2018).</w:t>
      </w:r>
    </w:p>
    <w:p w:rsidR="00B51D93" w:rsidRDefault="00000000">
      <w:pPr>
        <w:pStyle w:val="Bibliography"/>
      </w:pPr>
      <w:bookmarkStart w:id="65" w:name="ref-weberpals2024hdmi"/>
      <w:bookmarkEnd w:id="64"/>
      <w:r>
        <w:t xml:space="preserve">46. </w:t>
      </w:r>
      <w:r>
        <w:tab/>
        <w:t xml:space="preserve">Weberpals, J. </w:t>
      </w:r>
      <w:r>
        <w:rPr>
          <w:i/>
          <w:iCs/>
        </w:rPr>
        <w:t>et al.</w:t>
      </w:r>
      <w:r>
        <w:t xml:space="preserve"> High-dimensional multiple imputation (HDMI) for partially observed confounders including natural language processing-derived auxiliary covariates. </w:t>
      </w:r>
      <w:r>
        <w:rPr>
          <w:i/>
          <w:iCs/>
        </w:rPr>
        <w:t>American Journal of Epidemiology</w:t>
      </w:r>
      <w:r>
        <w:t xml:space="preserve"> (2025).at &lt;</w:t>
      </w:r>
      <w:hyperlink r:id="rId24">
        <w:r>
          <w:rPr>
            <w:rStyle w:val="Hyperlink"/>
          </w:rPr>
          <w:t>https://arxiv.org/abs/2405.10925</w:t>
        </w:r>
      </w:hyperlink>
      <w:r>
        <w:t>&gt;</w:t>
      </w:r>
    </w:p>
    <w:p w:rsidR="00B51D93" w:rsidRDefault="00000000">
      <w:pPr>
        <w:pStyle w:val="Bibliography"/>
      </w:pPr>
      <w:bookmarkStart w:id="66" w:name="ref-Shaw2024"/>
      <w:bookmarkEnd w:id="65"/>
      <w:r>
        <w:t xml:space="preserve">47. </w:t>
      </w:r>
      <w:r>
        <w:tab/>
        <w:t xml:space="preserve">Shaw, C. K., P. &amp; Williamson, B. D. Assessing treatment effects in observational data with missing confounders: A comparative study of practical doubly-robust and traditional missing data methods. </w:t>
      </w:r>
      <w:r>
        <w:rPr>
          <w:i/>
          <w:iCs/>
        </w:rPr>
        <w:t>GitHub repository</w:t>
      </w:r>
      <w:r>
        <w:t xml:space="preserve"> (2024).at &lt;</w:t>
      </w:r>
      <w:hyperlink r:id="rId25">
        <w:r>
          <w:rPr>
            <w:rStyle w:val="Hyperlink"/>
          </w:rPr>
          <w:t>https://github.com/PamelaShaw/Missing-Confounders-Methods</w:t>
        </w:r>
      </w:hyperlink>
      <w:r>
        <w:t>&gt;</w:t>
      </w:r>
    </w:p>
    <w:p w:rsidR="00B51D93" w:rsidRDefault="00000000">
      <w:pPr>
        <w:pStyle w:val="Bibliography"/>
      </w:pPr>
      <w:bookmarkStart w:id="67" w:name="ref-cox1972regression"/>
      <w:bookmarkEnd w:id="66"/>
      <w:r>
        <w:t xml:space="preserve">48. </w:t>
      </w:r>
      <w:r>
        <w:tab/>
        <w:t xml:space="preserve">Cox, D. R. Regression models and life-tables. Journal of the royal statistical society. </w:t>
      </w:r>
      <w:r>
        <w:rPr>
          <w:i/>
          <w:iCs/>
        </w:rPr>
        <w:t>Series B (Methodological)</w:t>
      </w:r>
      <w:r>
        <w:t xml:space="preserve"> </w:t>
      </w:r>
      <w:r>
        <w:rPr>
          <w:b/>
          <w:bCs/>
        </w:rPr>
        <w:t>34</w:t>
      </w:r>
      <w:r>
        <w:t>, 187–220 (1972).</w:t>
      </w:r>
    </w:p>
    <w:p w:rsidR="00B51D93" w:rsidRDefault="00000000">
      <w:pPr>
        <w:pStyle w:val="Bibliography"/>
      </w:pPr>
      <w:bookmarkStart w:id="68" w:name="ref-kaplan1958nonparametric"/>
      <w:bookmarkEnd w:id="67"/>
      <w:r>
        <w:t xml:space="preserve">49. </w:t>
      </w:r>
      <w:r>
        <w:tab/>
        <w:t xml:space="preserve">Kaplan, E. L. &amp; Meier, P. Nonparametric estimation from incomplete observations. </w:t>
      </w:r>
      <w:r>
        <w:rPr>
          <w:i/>
          <w:iCs/>
        </w:rPr>
        <w:t>Journal of the American statistical association</w:t>
      </w:r>
      <w:r>
        <w:t xml:space="preserve"> </w:t>
      </w:r>
      <w:r>
        <w:rPr>
          <w:b/>
          <w:bCs/>
        </w:rPr>
        <w:t>53</w:t>
      </w:r>
      <w:r>
        <w:t>, 457–481 (1958).</w:t>
      </w:r>
    </w:p>
    <w:p w:rsidR="00B51D93" w:rsidRDefault="00000000">
      <w:pPr>
        <w:pStyle w:val="Bibliography"/>
      </w:pPr>
      <w:bookmarkStart w:id="69" w:name="ref-becker2020enhanced"/>
      <w:bookmarkEnd w:id="68"/>
      <w:r>
        <w:t xml:space="preserve">50. </w:t>
      </w:r>
      <w:r>
        <w:tab/>
        <w:t xml:space="preserve">Becker, T. </w:t>
      </w:r>
      <w:r>
        <w:rPr>
          <w:i/>
          <w:iCs/>
        </w:rPr>
        <w:t>et al.</w:t>
      </w:r>
      <w:r>
        <w:t xml:space="preserve"> An enhanced prognostic score for overall survival of patients with cancer derived from a large real-world cohort. </w:t>
      </w:r>
      <w:r>
        <w:rPr>
          <w:i/>
          <w:iCs/>
        </w:rPr>
        <w:t>Annals of Oncology</w:t>
      </w:r>
      <w:r>
        <w:t xml:space="preserve"> </w:t>
      </w:r>
      <w:r>
        <w:rPr>
          <w:b/>
          <w:bCs/>
        </w:rPr>
        <w:t>31</w:t>
      </w:r>
      <w:r>
        <w:t>, 1561–1568 (2020).</w:t>
      </w:r>
    </w:p>
    <w:p w:rsidR="00B51D93" w:rsidRDefault="00000000">
      <w:pPr>
        <w:pStyle w:val="Bibliography"/>
      </w:pPr>
      <w:bookmarkStart w:id="70" w:name="ref-leyrat2019propensity"/>
      <w:bookmarkEnd w:id="69"/>
      <w:r>
        <w:t xml:space="preserve">51. </w:t>
      </w:r>
      <w:r>
        <w:tab/>
        <w:t xml:space="preserve">Leyrat, C. </w:t>
      </w:r>
      <w:r>
        <w:rPr>
          <w:i/>
          <w:iCs/>
        </w:rPr>
        <w:t>et al.</w:t>
      </w:r>
      <w:r>
        <w:t xml:space="preserve"> Propensity score analysis with partially observed covariates: How should multiple imputation be used? </w:t>
      </w:r>
      <w:r>
        <w:rPr>
          <w:i/>
          <w:iCs/>
        </w:rPr>
        <w:t>Statistical methods in medical research</w:t>
      </w:r>
      <w:r>
        <w:t xml:space="preserve"> </w:t>
      </w:r>
      <w:r>
        <w:rPr>
          <w:b/>
          <w:bCs/>
        </w:rPr>
        <w:t>28</w:t>
      </w:r>
      <w:r>
        <w:t>, 3–19 (2019).</w:t>
      </w:r>
    </w:p>
    <w:p w:rsidR="00B51D93" w:rsidRDefault="00000000">
      <w:pPr>
        <w:pStyle w:val="Bibliography"/>
      </w:pPr>
      <w:bookmarkStart w:id="71" w:name="ref-pishgar2020matchthem"/>
      <w:bookmarkEnd w:id="70"/>
      <w:r>
        <w:t xml:space="preserve">52. </w:t>
      </w:r>
      <w:r>
        <w:tab/>
        <w:t xml:space="preserve">Pishgar, F., Greifer, N., Leyrat, C. &amp; Stuart, E. MatchThem:: Matching and weighting after multiple imputation. </w:t>
      </w:r>
      <w:r>
        <w:rPr>
          <w:i/>
          <w:iCs/>
        </w:rPr>
        <w:t>arXiv preprint arXiv:2009.11772</w:t>
      </w:r>
      <w:r>
        <w:t xml:space="preserve"> (2020).</w:t>
      </w:r>
    </w:p>
    <w:p w:rsidR="00B51D93" w:rsidRDefault="00000000">
      <w:pPr>
        <w:pStyle w:val="Bibliography"/>
      </w:pPr>
      <w:bookmarkStart w:id="72" w:name="ref-rubin2018multiple"/>
      <w:bookmarkEnd w:id="71"/>
      <w:r>
        <w:t xml:space="preserve">53. </w:t>
      </w:r>
      <w:r>
        <w:tab/>
        <w:t xml:space="preserve">Rubin, D. B. Multiple imputation. In </w:t>
      </w:r>
      <w:r>
        <w:rPr>
          <w:i/>
          <w:iCs/>
        </w:rPr>
        <w:t>Flexible imputation of missing data, second edition</w:t>
      </w:r>
      <w:r>
        <w:t xml:space="preserve"> 29–62 (Chapman; Hall/CRC, 2018).</w:t>
      </w:r>
    </w:p>
    <w:p w:rsidR="00B51D93" w:rsidRDefault="00000000">
      <w:pPr>
        <w:pStyle w:val="Bibliography"/>
      </w:pPr>
      <w:bookmarkStart w:id="73" w:name="ref-van2011mice"/>
      <w:bookmarkEnd w:id="72"/>
      <w:r>
        <w:t xml:space="preserve">54. </w:t>
      </w:r>
      <w:r>
        <w:tab/>
        <w:t xml:space="preserve">Van Buuren, S. &amp; Groothuis-Oudshoorn, K. Mice: Multivariate imputation by chained equations in r. </w:t>
      </w:r>
      <w:r>
        <w:rPr>
          <w:i/>
          <w:iCs/>
        </w:rPr>
        <w:t>Journal of statistical software</w:t>
      </w:r>
      <w:r>
        <w:t xml:space="preserve"> </w:t>
      </w:r>
      <w:r>
        <w:rPr>
          <w:b/>
          <w:bCs/>
        </w:rPr>
        <w:t>45</w:t>
      </w:r>
      <w:r>
        <w:t>, 1–67 (2011).</w:t>
      </w:r>
    </w:p>
    <w:p w:rsidR="00B51D93" w:rsidRDefault="00000000">
      <w:pPr>
        <w:pStyle w:val="Bibliography"/>
      </w:pPr>
      <w:bookmarkStart w:id="74" w:name="ref-franklin2014metrics"/>
      <w:bookmarkEnd w:id="73"/>
      <w:r>
        <w:lastRenderedPageBreak/>
        <w:t xml:space="preserve">55. </w:t>
      </w:r>
      <w:r>
        <w:tab/>
        <w:t xml:space="preserve">Franklin, J. M., Rassen, J. A., Ackermann, D., Bartels, D. B. &amp; Schneeweiss, S. Metrics for covariate balance in cohort studies of causal effects. </w:t>
      </w:r>
      <w:r>
        <w:rPr>
          <w:i/>
          <w:iCs/>
        </w:rPr>
        <w:t>Statistics in medicine</w:t>
      </w:r>
      <w:r>
        <w:t xml:space="preserve"> </w:t>
      </w:r>
      <w:r>
        <w:rPr>
          <w:b/>
          <w:bCs/>
        </w:rPr>
        <w:t>33</w:t>
      </w:r>
      <w:r>
        <w:t>, 1685–1699 (2014).</w:t>
      </w:r>
    </w:p>
    <w:p w:rsidR="00B51D93" w:rsidRDefault="00000000">
      <w:pPr>
        <w:pStyle w:val="Bibliography"/>
      </w:pPr>
      <w:bookmarkStart w:id="75" w:name="ref-stuart2013prognostic"/>
      <w:bookmarkEnd w:id="74"/>
      <w:r>
        <w:t xml:space="preserve">56. </w:t>
      </w:r>
      <w:r>
        <w:tab/>
        <w:t xml:space="preserve">Stuart, E. A., Lee, B. K. &amp; Leacy, F. P. Prognostic score–based balance measures can be a useful diagnostic for propensity score methods in comparative effectiveness research. </w:t>
      </w:r>
      <w:r>
        <w:rPr>
          <w:i/>
          <w:iCs/>
        </w:rPr>
        <w:t>Journal of clinical epidemiology</w:t>
      </w:r>
      <w:r>
        <w:t xml:space="preserve"> </w:t>
      </w:r>
      <w:r>
        <w:rPr>
          <w:b/>
          <w:bCs/>
        </w:rPr>
        <w:t>66</w:t>
      </w:r>
      <w:r>
        <w:t>, S84–S90 (2013).</w:t>
      </w:r>
    </w:p>
    <w:p w:rsidR="00B51D93" w:rsidRDefault="00000000">
      <w:pPr>
        <w:pStyle w:val="Bibliography"/>
      </w:pPr>
      <w:bookmarkStart w:id="76" w:name="ref-warwick28685"/>
      <w:bookmarkEnd w:id="75"/>
      <w:r>
        <w:t xml:space="preserve">57. </w:t>
      </w:r>
      <w:r>
        <w:tab/>
        <w:t xml:space="preserve">Marshall, A. (Andrea)., Billingham, L. J. &amp; Bryan, S. </w:t>
      </w:r>
      <w:hyperlink r:id="rId26">
        <w:r>
          <w:rPr>
            <w:rStyle w:val="Hyperlink"/>
          </w:rPr>
          <w:t>Can we afford to ignore missing data in cost-effectiveness analyses?</w:t>
        </w:r>
      </w:hyperlink>
      <w:r>
        <w:t xml:space="preserve"> </w:t>
      </w:r>
      <w:r>
        <w:rPr>
          <w:i/>
          <w:iCs/>
        </w:rPr>
        <w:t>European Journal of Health Economics</w:t>
      </w:r>
      <w:r>
        <w:t xml:space="preserve"> </w:t>
      </w:r>
      <w:r>
        <w:rPr>
          <w:b/>
          <w:bCs/>
        </w:rPr>
        <w:t>Vol.10</w:t>
      </w:r>
      <w:r>
        <w:t>, 1–3 (2009).</w:t>
      </w:r>
    </w:p>
    <w:p w:rsidR="00B51D93" w:rsidRDefault="00000000">
      <w:pPr>
        <w:pStyle w:val="Bibliography"/>
      </w:pPr>
      <w:bookmarkStart w:id="77" w:name="ref-morisot2015prostate"/>
      <w:bookmarkEnd w:id="76"/>
      <w:r>
        <w:t xml:space="preserve">58. </w:t>
      </w:r>
      <w:r>
        <w:tab/>
        <w:t xml:space="preserve">Morisot, A. </w:t>
      </w:r>
      <w:r>
        <w:rPr>
          <w:i/>
          <w:iCs/>
        </w:rPr>
        <w:t>et al.</w:t>
      </w:r>
      <w:r>
        <w:t xml:space="preserve"> Prostate cancer: Net survival and cause-specific survival rates after multiple imputation. </w:t>
      </w:r>
      <w:r>
        <w:rPr>
          <w:i/>
          <w:iCs/>
        </w:rPr>
        <w:t>BMC medical research methodology</w:t>
      </w:r>
      <w:r>
        <w:t xml:space="preserve"> </w:t>
      </w:r>
      <w:r>
        <w:rPr>
          <w:b/>
          <w:bCs/>
        </w:rPr>
        <w:t>15</w:t>
      </w:r>
      <w:r>
        <w:t>, 1–14 (2015).</w:t>
      </w:r>
    </w:p>
    <w:p w:rsidR="00B51D93" w:rsidRDefault="00000000">
      <w:pPr>
        <w:pStyle w:val="Bibliography"/>
      </w:pPr>
      <w:bookmarkStart w:id="78" w:name="ref-anesrake"/>
      <w:bookmarkEnd w:id="77"/>
      <w:r>
        <w:t xml:space="preserve">59. </w:t>
      </w:r>
      <w:r>
        <w:tab/>
        <w:t>Pasek, J. Anesrake: ANES raking implementation. (2018).</w:t>
      </w:r>
    </w:p>
    <w:p w:rsidR="00B51D93" w:rsidRDefault="00000000">
      <w:pPr>
        <w:pStyle w:val="Bibliography"/>
      </w:pPr>
      <w:bookmarkStart w:id="79" w:name="ref-MatchThem"/>
      <w:bookmarkEnd w:id="78"/>
      <w:r>
        <w:t xml:space="preserve">60. </w:t>
      </w:r>
      <w:r>
        <w:tab/>
        <w:t>Pishgar, F., Greifer, N., Leyrat, C. &amp; Stuart, E. MatchThem:: Matching and weighting after multiple imputation. (2021).doi:</w:t>
      </w:r>
      <w:hyperlink r:id="rId27">
        <w:r>
          <w:rPr>
            <w:rStyle w:val="Hyperlink"/>
          </w:rPr>
          <w:t>10.32614/RJ-2021-073</w:t>
        </w:r>
      </w:hyperlink>
    </w:p>
    <w:p w:rsidR="00B51D93" w:rsidRDefault="00000000">
      <w:pPr>
        <w:pStyle w:val="Bibliography"/>
      </w:pPr>
      <w:bookmarkStart w:id="80" w:name="ref-survival"/>
      <w:bookmarkEnd w:id="79"/>
      <w:r>
        <w:t xml:space="preserve">61. </w:t>
      </w:r>
      <w:r>
        <w:tab/>
        <w:t>Therneau, T. M. A package for survival analysis in r. (2024).at &lt;</w:t>
      </w:r>
      <w:hyperlink r:id="rId28">
        <w:r>
          <w:rPr>
            <w:rStyle w:val="Hyperlink"/>
          </w:rPr>
          <w:t>https://CRAN.R-project.org/package=survival</w:t>
        </w:r>
      </w:hyperlink>
      <w:r>
        <w:t>&gt;</w:t>
      </w:r>
    </w:p>
    <w:p w:rsidR="00B51D93" w:rsidRDefault="00000000">
      <w:pPr>
        <w:pStyle w:val="Bibliography"/>
      </w:pPr>
      <w:bookmarkStart w:id="81" w:name="ref-encore.analytics"/>
      <w:bookmarkEnd w:id="80"/>
      <w:r>
        <w:t xml:space="preserve">62. </w:t>
      </w:r>
      <w:r>
        <w:tab/>
        <w:t>Weberpals, J. Encore.analytics: Functions and wrappers to streamline complex analytic workflows in real-world data studies based on the ENCORE trial emulation project. (2025).at &lt;</w:t>
      </w:r>
      <w:hyperlink r:id="rId29">
        <w:r>
          <w:rPr>
            <w:rStyle w:val="Hyperlink"/>
          </w:rPr>
          <w:t>https://github.com/janickweberpals/encore.analytics</w:t>
        </w:r>
      </w:hyperlink>
      <w:r>
        <w:t>&gt;</w:t>
      </w:r>
    </w:p>
    <w:p w:rsidR="00B51D93" w:rsidRDefault="00000000">
      <w:pPr>
        <w:pStyle w:val="Bibliography"/>
      </w:pPr>
      <w:bookmarkStart w:id="82" w:name="ref-gtsummary"/>
      <w:bookmarkEnd w:id="81"/>
      <w:r>
        <w:t xml:space="preserve">63. </w:t>
      </w:r>
      <w:r>
        <w:tab/>
        <w:t xml:space="preserve">Sjoberg, D. D., Whiting, K., Curry, M., Lavery, J. A. &amp; Larmarange, J. </w:t>
      </w:r>
      <w:hyperlink r:id="rId30">
        <w:r>
          <w:rPr>
            <w:rStyle w:val="Hyperlink"/>
          </w:rPr>
          <w:t>Reproducible summary tables with the gtsummary package</w:t>
        </w:r>
      </w:hyperlink>
      <w:r>
        <w:t xml:space="preserve">. </w:t>
      </w:r>
      <w:r>
        <w:rPr>
          <w:b/>
          <w:bCs/>
        </w:rPr>
        <w:t>13</w:t>
      </w:r>
      <w:r>
        <w:t>, 570–580 (2021).</w:t>
      </w:r>
    </w:p>
    <w:p w:rsidR="00B51D93" w:rsidRDefault="00000000">
      <w:pPr>
        <w:pStyle w:val="Bibliography"/>
      </w:pPr>
      <w:bookmarkStart w:id="83" w:name="ref-ggsurvfit"/>
      <w:bookmarkEnd w:id="82"/>
      <w:r>
        <w:t xml:space="preserve">64. </w:t>
      </w:r>
      <w:r>
        <w:tab/>
        <w:t>Sjoberg, D. D., Baillie, M., Fruechtenicht, C., Haesendonckx, S. &amp; Treis, T. Ggsurvfit: Flexible time-to-event figures. (2024).at &lt;</w:t>
      </w:r>
      <w:hyperlink r:id="rId31">
        <w:r>
          <w:rPr>
            <w:rStyle w:val="Hyperlink"/>
          </w:rPr>
          <w:t>https://github.com/pharmaverse/ggsurvfit</w:t>
        </w:r>
      </w:hyperlink>
      <w:r>
        <w:t>&gt;</w:t>
      </w:r>
    </w:p>
    <w:p w:rsidR="00B51D93" w:rsidRDefault="00000000">
      <w:pPr>
        <w:pStyle w:val="Bibliography"/>
      </w:pPr>
      <w:bookmarkStart w:id="84" w:name="ref-DeBell2009ComputingWF"/>
      <w:bookmarkEnd w:id="83"/>
      <w:r>
        <w:t xml:space="preserve">65. </w:t>
      </w:r>
      <w:r>
        <w:tab/>
        <w:t>DeBell, M. &amp; Krosnick, J. A. Computing weights for american national election study survey data. (2009).at &lt;</w:t>
      </w:r>
      <w:hyperlink r:id="rId32">
        <w:r>
          <w:rPr>
            <w:rStyle w:val="Hyperlink"/>
          </w:rPr>
          <w:t>https://api.semanticscholar.org/CorpusID:14961217</w:t>
        </w:r>
      </w:hyperlink>
      <w:r>
        <w:t>&gt;</w:t>
      </w:r>
    </w:p>
    <w:p w:rsidR="00B51D93" w:rsidRDefault="00000000">
      <w:pPr>
        <w:pStyle w:val="Bibliography"/>
      </w:pPr>
      <w:bookmarkStart w:id="85" w:name="ref-signorovitch2012matching"/>
      <w:bookmarkEnd w:id="84"/>
      <w:r>
        <w:t xml:space="preserve">66. </w:t>
      </w:r>
      <w:r>
        <w:tab/>
        <w:t xml:space="preserve">Signorovitch, J. E. </w:t>
      </w:r>
      <w:r>
        <w:rPr>
          <w:i/>
          <w:iCs/>
        </w:rPr>
        <w:t>et al.</w:t>
      </w:r>
      <w:r>
        <w:t xml:space="preserve"> Matching-adjusted indirect comparisons: A new tool for timely comparative effectiveness research. </w:t>
      </w:r>
      <w:r>
        <w:rPr>
          <w:i/>
          <w:iCs/>
        </w:rPr>
        <w:t>Value in Health</w:t>
      </w:r>
      <w:r>
        <w:t xml:space="preserve"> </w:t>
      </w:r>
      <w:r>
        <w:rPr>
          <w:b/>
          <w:bCs/>
        </w:rPr>
        <w:t>15</w:t>
      </w:r>
      <w:r>
        <w:t>, 940–947 (2012).</w:t>
      </w:r>
    </w:p>
    <w:p w:rsidR="00B51D93" w:rsidRDefault="00000000">
      <w:pPr>
        <w:pStyle w:val="Bibliography"/>
      </w:pPr>
      <w:bookmarkStart w:id="86" w:name="ref-gaber2024mystifying"/>
      <w:bookmarkEnd w:id="85"/>
      <w:r>
        <w:t xml:space="preserve">67. </w:t>
      </w:r>
      <w:r>
        <w:tab/>
        <w:t xml:space="preserve">Gaber, C. E. </w:t>
      </w:r>
      <w:r>
        <w:rPr>
          <w:i/>
          <w:iCs/>
        </w:rPr>
        <w:t>et al.</w:t>
      </w:r>
      <w:r>
        <w:t xml:space="preserve"> De-mystifying the clone-censor-weight method for causal research using observational data: A primer for cancer researchers. </w:t>
      </w:r>
      <w:r>
        <w:rPr>
          <w:i/>
          <w:iCs/>
        </w:rPr>
        <w:t>Cancer Medicine</w:t>
      </w:r>
      <w:r>
        <w:t xml:space="preserve"> </w:t>
      </w:r>
      <w:r>
        <w:rPr>
          <w:b/>
          <w:bCs/>
        </w:rPr>
        <w:t>13</w:t>
      </w:r>
      <w:r>
        <w:t>, e70461 (2024).</w:t>
      </w:r>
    </w:p>
    <w:bookmarkEnd w:id="20"/>
    <w:bookmarkEnd w:id="86"/>
    <w:p w:rsidR="00B51D93" w:rsidRDefault="00000000">
      <w:r>
        <w:br w:type="page"/>
      </w:r>
    </w:p>
    <w:p w:rsidR="00B51D93" w:rsidRDefault="00000000">
      <w:pPr>
        <w:pStyle w:val="Heading1"/>
      </w:pPr>
      <w:bookmarkStart w:id="87" w:name="figures"/>
      <w:bookmarkEnd w:id="18"/>
      <w:r>
        <w:lastRenderedPageBreak/>
        <w:t>Figures</w:t>
      </w:r>
    </w:p>
    <w:p w:rsidR="00B51D93" w:rsidRDefault="00000000">
      <w:pPr>
        <w:pStyle w:val="FirstParagraph"/>
      </w:pPr>
      <w:r>
        <w:rPr>
          <w:b/>
          <w:bCs/>
        </w:rPr>
        <w:t>Figure 1:</w:t>
      </w:r>
      <w:r>
        <w:t xml:space="preserve"> Systematic process to understand effectiveness claims of oncology trials using real-world evidence.</w:t>
      </w:r>
    </w:p>
    <w:p w:rsidR="00B51D93" w:rsidRDefault="00000000">
      <w:pPr>
        <w:pStyle w:val="BodyText"/>
      </w:pPr>
      <w:r>
        <w:rPr>
          <w:b/>
          <w:bCs/>
        </w:rPr>
        <w:t>Figure 2:</w:t>
      </w:r>
      <w:r>
        <w:t xml:space="preserve"> Example visualization of descriptive drug utilization analyses displaying a) initiation trends between compared regimens based on calendar time, b) cumulative rate of patients switching to another line of treatment.</w:t>
      </w:r>
    </w:p>
    <w:p w:rsidR="00B51D93" w:rsidRDefault="00000000">
      <w:pPr>
        <w:pStyle w:val="BodyText"/>
      </w:pPr>
      <w:r>
        <w:rPr>
          <w:b/>
          <w:bCs/>
        </w:rPr>
        <w:t>Figure 3:</w:t>
      </w:r>
      <w:r>
        <w:t xml:space="preserve"> Assessment of a) covariate balance and b) distributional balance of a prognostic score for overall survival before and after propensity score matching or weighting across multiple imputed datasets.</w:t>
      </w:r>
    </w:p>
    <w:bookmarkEnd w:id="87"/>
    <w:p w:rsidR="00B51D93" w:rsidRDefault="00B51D93"/>
    <w:sectPr w:rsidR="00B51D93" w:rsidSect="00403CAA">
      <w:footerReference w:type="even" r:id="rId33"/>
      <w:footerReference w:type="default" r:id="rId34"/>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9195F" w:rsidRDefault="00A9195F">
      <w:pPr>
        <w:spacing w:after="0"/>
      </w:pPr>
      <w:r>
        <w:separator/>
      </w:r>
    </w:p>
  </w:endnote>
  <w:endnote w:type="continuationSeparator" w:id="0">
    <w:p w:rsidR="00A9195F" w:rsidRDefault="00A919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77582D" w:rsidRDefault="00775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9195F" w:rsidRDefault="00A9195F">
      <w:pPr>
        <w:spacing w:after="0"/>
      </w:pPr>
      <w:r>
        <w:separator/>
      </w:r>
    </w:p>
  </w:footnote>
  <w:footnote w:type="continuationSeparator" w:id="0">
    <w:p w:rsidR="00A9195F" w:rsidRDefault="00A9195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1831F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6BC21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F4F9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F78C6A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250B3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134CE2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87A13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DDCDC7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17871B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9C85D3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3FA9F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7C07F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170CD2DE"/>
    <w:multiLevelType w:val="multilevel"/>
    <w:tmpl w:val="9EAA52F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80006862">
    <w:abstractNumId w:val="12"/>
  </w:num>
  <w:num w:numId="2" w16cid:durableId="1236278885">
    <w:abstractNumId w:val="0"/>
  </w:num>
  <w:num w:numId="3" w16cid:durableId="345210280">
    <w:abstractNumId w:val="1"/>
  </w:num>
  <w:num w:numId="4" w16cid:durableId="1048064764">
    <w:abstractNumId w:val="2"/>
  </w:num>
  <w:num w:numId="5" w16cid:durableId="868958878">
    <w:abstractNumId w:val="3"/>
  </w:num>
  <w:num w:numId="6" w16cid:durableId="919290657">
    <w:abstractNumId w:val="8"/>
  </w:num>
  <w:num w:numId="7" w16cid:durableId="1020815825">
    <w:abstractNumId w:val="4"/>
  </w:num>
  <w:num w:numId="8" w16cid:durableId="671641468">
    <w:abstractNumId w:val="5"/>
  </w:num>
  <w:num w:numId="9" w16cid:durableId="1241326511">
    <w:abstractNumId w:val="6"/>
  </w:num>
  <w:num w:numId="10" w16cid:durableId="1851020006">
    <w:abstractNumId w:val="7"/>
  </w:num>
  <w:num w:numId="11" w16cid:durableId="768307391">
    <w:abstractNumId w:val="9"/>
  </w:num>
  <w:num w:numId="12" w16cid:durableId="718699943">
    <w:abstractNumId w:val="0"/>
  </w:num>
  <w:num w:numId="13" w16cid:durableId="1505706406">
    <w:abstractNumId w:val="1"/>
  </w:num>
  <w:num w:numId="14" w16cid:durableId="193082358">
    <w:abstractNumId w:val="2"/>
  </w:num>
  <w:num w:numId="15" w16cid:durableId="1389845107">
    <w:abstractNumId w:val="3"/>
  </w:num>
  <w:num w:numId="16" w16cid:durableId="261568381">
    <w:abstractNumId w:val="8"/>
  </w:num>
  <w:num w:numId="17" w16cid:durableId="1704473729">
    <w:abstractNumId w:val="4"/>
  </w:num>
  <w:num w:numId="18" w16cid:durableId="1642995731">
    <w:abstractNumId w:val="5"/>
  </w:num>
  <w:num w:numId="19" w16cid:durableId="1530953060">
    <w:abstractNumId w:val="6"/>
  </w:num>
  <w:num w:numId="20" w16cid:durableId="646127511">
    <w:abstractNumId w:val="7"/>
  </w:num>
  <w:num w:numId="21" w16cid:durableId="1456605819">
    <w:abstractNumId w:val="9"/>
  </w:num>
  <w:num w:numId="22" w16cid:durableId="1800220673">
    <w:abstractNumId w:val="0"/>
  </w:num>
  <w:num w:numId="23" w16cid:durableId="1783069476">
    <w:abstractNumId w:val="1"/>
  </w:num>
  <w:num w:numId="24" w16cid:durableId="711730297">
    <w:abstractNumId w:val="2"/>
  </w:num>
  <w:num w:numId="25" w16cid:durableId="415370288">
    <w:abstractNumId w:val="3"/>
  </w:num>
  <w:num w:numId="26" w16cid:durableId="1231429019">
    <w:abstractNumId w:val="8"/>
  </w:num>
  <w:num w:numId="27" w16cid:durableId="200215696">
    <w:abstractNumId w:val="4"/>
  </w:num>
  <w:num w:numId="28" w16cid:durableId="1345748385">
    <w:abstractNumId w:val="5"/>
  </w:num>
  <w:num w:numId="29" w16cid:durableId="494731558">
    <w:abstractNumId w:val="6"/>
  </w:num>
  <w:num w:numId="30" w16cid:durableId="782579775">
    <w:abstractNumId w:val="7"/>
  </w:num>
  <w:num w:numId="31" w16cid:durableId="1420524247">
    <w:abstractNumId w:val="9"/>
  </w:num>
  <w:num w:numId="32" w16cid:durableId="914049076">
    <w:abstractNumId w:val="0"/>
  </w:num>
  <w:num w:numId="33" w16cid:durableId="721102632">
    <w:abstractNumId w:val="1"/>
  </w:num>
  <w:num w:numId="34" w16cid:durableId="1368095045">
    <w:abstractNumId w:val="2"/>
  </w:num>
  <w:num w:numId="35" w16cid:durableId="1230270221">
    <w:abstractNumId w:val="3"/>
  </w:num>
  <w:num w:numId="36" w16cid:durableId="634991563">
    <w:abstractNumId w:val="8"/>
  </w:num>
  <w:num w:numId="37" w16cid:durableId="538124054">
    <w:abstractNumId w:val="4"/>
  </w:num>
  <w:num w:numId="38" w16cid:durableId="1561667473">
    <w:abstractNumId w:val="5"/>
  </w:num>
  <w:num w:numId="39" w16cid:durableId="1557275424">
    <w:abstractNumId w:val="6"/>
  </w:num>
  <w:num w:numId="40" w16cid:durableId="36274134">
    <w:abstractNumId w:val="7"/>
  </w:num>
  <w:num w:numId="41" w16cid:durableId="407969607">
    <w:abstractNumId w:val="9"/>
  </w:num>
  <w:num w:numId="42" w16cid:durableId="724375175">
    <w:abstractNumId w:val="0"/>
  </w:num>
  <w:num w:numId="43" w16cid:durableId="1397360077">
    <w:abstractNumId w:val="1"/>
  </w:num>
  <w:num w:numId="44" w16cid:durableId="1133403510">
    <w:abstractNumId w:val="2"/>
  </w:num>
  <w:num w:numId="45" w16cid:durableId="276063767">
    <w:abstractNumId w:val="3"/>
  </w:num>
  <w:num w:numId="46" w16cid:durableId="744034979">
    <w:abstractNumId w:val="8"/>
  </w:num>
  <w:num w:numId="47" w16cid:durableId="974602314">
    <w:abstractNumId w:val="4"/>
  </w:num>
  <w:num w:numId="48" w16cid:durableId="1658804859">
    <w:abstractNumId w:val="5"/>
  </w:num>
  <w:num w:numId="49" w16cid:durableId="2022970773">
    <w:abstractNumId w:val="6"/>
  </w:num>
  <w:num w:numId="50" w16cid:durableId="39521232">
    <w:abstractNumId w:val="7"/>
  </w:num>
  <w:num w:numId="51" w16cid:durableId="1232698795">
    <w:abstractNumId w:val="9"/>
  </w:num>
  <w:num w:numId="52" w16cid:durableId="1436710502">
    <w:abstractNumId w:val="0"/>
  </w:num>
  <w:num w:numId="53" w16cid:durableId="546651259">
    <w:abstractNumId w:val="1"/>
  </w:num>
  <w:num w:numId="54" w16cid:durableId="1002511583">
    <w:abstractNumId w:val="2"/>
  </w:num>
  <w:num w:numId="55" w16cid:durableId="1305162670">
    <w:abstractNumId w:val="3"/>
  </w:num>
  <w:num w:numId="56" w16cid:durableId="1329555404">
    <w:abstractNumId w:val="8"/>
  </w:num>
  <w:num w:numId="57" w16cid:durableId="668365687">
    <w:abstractNumId w:val="4"/>
  </w:num>
  <w:num w:numId="58" w16cid:durableId="605696585">
    <w:abstractNumId w:val="5"/>
  </w:num>
  <w:num w:numId="59" w16cid:durableId="1067922730">
    <w:abstractNumId w:val="6"/>
  </w:num>
  <w:num w:numId="60" w16cid:durableId="70397357">
    <w:abstractNumId w:val="7"/>
  </w:num>
  <w:num w:numId="61" w16cid:durableId="1587807878">
    <w:abstractNumId w:val="9"/>
  </w:num>
  <w:num w:numId="62" w16cid:durableId="1604268284">
    <w:abstractNumId w:val="0"/>
  </w:num>
  <w:num w:numId="63" w16cid:durableId="765924077">
    <w:abstractNumId w:val="1"/>
  </w:num>
  <w:num w:numId="64" w16cid:durableId="2109082956">
    <w:abstractNumId w:val="2"/>
  </w:num>
  <w:num w:numId="65" w16cid:durableId="687292639">
    <w:abstractNumId w:val="3"/>
  </w:num>
  <w:num w:numId="66" w16cid:durableId="102268851">
    <w:abstractNumId w:val="8"/>
  </w:num>
  <w:num w:numId="67" w16cid:durableId="2016884171">
    <w:abstractNumId w:val="4"/>
  </w:num>
  <w:num w:numId="68" w16cid:durableId="974066668">
    <w:abstractNumId w:val="5"/>
  </w:num>
  <w:num w:numId="69" w16cid:durableId="721950077">
    <w:abstractNumId w:val="6"/>
  </w:num>
  <w:num w:numId="70" w16cid:durableId="1062026472">
    <w:abstractNumId w:val="7"/>
  </w:num>
  <w:num w:numId="71" w16cid:durableId="1622572393">
    <w:abstractNumId w:val="9"/>
  </w:num>
  <w:num w:numId="72" w16cid:durableId="370153603">
    <w:abstractNumId w:val="0"/>
  </w:num>
  <w:num w:numId="73" w16cid:durableId="552158112">
    <w:abstractNumId w:val="1"/>
  </w:num>
  <w:num w:numId="74" w16cid:durableId="2020161499">
    <w:abstractNumId w:val="2"/>
  </w:num>
  <w:num w:numId="75" w16cid:durableId="1833838568">
    <w:abstractNumId w:val="3"/>
  </w:num>
  <w:num w:numId="76" w16cid:durableId="469832481">
    <w:abstractNumId w:val="8"/>
  </w:num>
  <w:num w:numId="77" w16cid:durableId="1905948041">
    <w:abstractNumId w:val="4"/>
  </w:num>
  <w:num w:numId="78" w16cid:durableId="533352492">
    <w:abstractNumId w:val="5"/>
  </w:num>
  <w:num w:numId="79" w16cid:durableId="2038701867">
    <w:abstractNumId w:val="6"/>
  </w:num>
  <w:num w:numId="80" w16cid:durableId="609047573">
    <w:abstractNumId w:val="7"/>
  </w:num>
  <w:num w:numId="81" w16cid:durableId="2051414956">
    <w:abstractNumId w:val="9"/>
  </w:num>
  <w:num w:numId="82" w16cid:durableId="685985903">
    <w:abstractNumId w:val="0"/>
  </w:num>
  <w:num w:numId="83" w16cid:durableId="1541016217">
    <w:abstractNumId w:val="1"/>
  </w:num>
  <w:num w:numId="84" w16cid:durableId="120810478">
    <w:abstractNumId w:val="2"/>
  </w:num>
  <w:num w:numId="85" w16cid:durableId="383602030">
    <w:abstractNumId w:val="3"/>
  </w:num>
  <w:num w:numId="86" w16cid:durableId="740756518">
    <w:abstractNumId w:val="8"/>
  </w:num>
  <w:num w:numId="87" w16cid:durableId="447119095">
    <w:abstractNumId w:val="4"/>
  </w:num>
  <w:num w:numId="88" w16cid:durableId="302663407">
    <w:abstractNumId w:val="5"/>
  </w:num>
  <w:num w:numId="89" w16cid:durableId="1344817957">
    <w:abstractNumId w:val="6"/>
  </w:num>
  <w:num w:numId="90" w16cid:durableId="1345128660">
    <w:abstractNumId w:val="7"/>
  </w:num>
  <w:num w:numId="91" w16cid:durableId="1189181847">
    <w:abstractNumId w:val="9"/>
  </w:num>
  <w:num w:numId="92" w16cid:durableId="377051066">
    <w:abstractNumId w:val="0"/>
  </w:num>
  <w:num w:numId="93" w16cid:durableId="1147432775">
    <w:abstractNumId w:val="1"/>
  </w:num>
  <w:num w:numId="94" w16cid:durableId="1305159388">
    <w:abstractNumId w:val="2"/>
  </w:num>
  <w:num w:numId="95" w16cid:durableId="86123863">
    <w:abstractNumId w:val="3"/>
  </w:num>
  <w:num w:numId="96" w16cid:durableId="1607929796">
    <w:abstractNumId w:val="8"/>
  </w:num>
  <w:num w:numId="97" w16cid:durableId="1562405620">
    <w:abstractNumId w:val="4"/>
  </w:num>
  <w:num w:numId="98" w16cid:durableId="1268855619">
    <w:abstractNumId w:val="5"/>
  </w:num>
  <w:num w:numId="99" w16cid:durableId="79911588">
    <w:abstractNumId w:val="6"/>
  </w:num>
  <w:num w:numId="100" w16cid:durableId="369568832">
    <w:abstractNumId w:val="7"/>
  </w:num>
  <w:num w:numId="101" w16cid:durableId="608898070">
    <w:abstractNumId w:val="9"/>
  </w:num>
  <w:num w:numId="102" w16cid:durableId="254634026">
    <w:abstractNumId w:val="0"/>
  </w:num>
  <w:num w:numId="103" w16cid:durableId="774711772">
    <w:abstractNumId w:val="1"/>
  </w:num>
  <w:num w:numId="104" w16cid:durableId="1203439327">
    <w:abstractNumId w:val="2"/>
  </w:num>
  <w:num w:numId="105" w16cid:durableId="1097553146">
    <w:abstractNumId w:val="3"/>
  </w:num>
  <w:num w:numId="106" w16cid:durableId="519121351">
    <w:abstractNumId w:val="8"/>
  </w:num>
  <w:num w:numId="107" w16cid:durableId="1539394795">
    <w:abstractNumId w:val="4"/>
  </w:num>
  <w:num w:numId="108" w16cid:durableId="1116219842">
    <w:abstractNumId w:val="5"/>
  </w:num>
  <w:num w:numId="109" w16cid:durableId="1024945098">
    <w:abstractNumId w:val="6"/>
  </w:num>
  <w:num w:numId="110" w16cid:durableId="645204197">
    <w:abstractNumId w:val="7"/>
  </w:num>
  <w:num w:numId="111" w16cid:durableId="152526635">
    <w:abstractNumId w:val="9"/>
  </w:num>
  <w:num w:numId="112" w16cid:durableId="885289329">
    <w:abstractNumId w:val="0"/>
  </w:num>
  <w:num w:numId="113" w16cid:durableId="131362506">
    <w:abstractNumId w:val="1"/>
  </w:num>
  <w:num w:numId="114" w16cid:durableId="536234116">
    <w:abstractNumId w:val="2"/>
  </w:num>
  <w:num w:numId="115" w16cid:durableId="1667396297">
    <w:abstractNumId w:val="3"/>
  </w:num>
  <w:num w:numId="116" w16cid:durableId="585383086">
    <w:abstractNumId w:val="8"/>
  </w:num>
  <w:num w:numId="117" w16cid:durableId="290864134">
    <w:abstractNumId w:val="4"/>
  </w:num>
  <w:num w:numId="118" w16cid:durableId="860900412">
    <w:abstractNumId w:val="5"/>
  </w:num>
  <w:num w:numId="119" w16cid:durableId="423494672">
    <w:abstractNumId w:val="6"/>
  </w:num>
  <w:num w:numId="120" w16cid:durableId="2001762187">
    <w:abstractNumId w:val="7"/>
  </w:num>
  <w:num w:numId="121" w16cid:durableId="1853643264">
    <w:abstractNumId w:val="9"/>
  </w:num>
  <w:num w:numId="122" w16cid:durableId="430442124">
    <w:abstractNumId w:val="0"/>
  </w:num>
  <w:num w:numId="123" w16cid:durableId="1292905971">
    <w:abstractNumId w:val="1"/>
  </w:num>
  <w:num w:numId="124" w16cid:durableId="1077441580">
    <w:abstractNumId w:val="2"/>
  </w:num>
  <w:num w:numId="125" w16cid:durableId="611786385">
    <w:abstractNumId w:val="3"/>
  </w:num>
  <w:num w:numId="126" w16cid:durableId="270749163">
    <w:abstractNumId w:val="8"/>
  </w:num>
  <w:num w:numId="127" w16cid:durableId="369693181">
    <w:abstractNumId w:val="4"/>
  </w:num>
  <w:num w:numId="128" w16cid:durableId="355205279">
    <w:abstractNumId w:val="5"/>
  </w:num>
  <w:num w:numId="129" w16cid:durableId="2028870757">
    <w:abstractNumId w:val="6"/>
  </w:num>
  <w:num w:numId="130" w16cid:durableId="1821657341">
    <w:abstractNumId w:val="7"/>
  </w:num>
  <w:num w:numId="131" w16cid:durableId="1571387719">
    <w:abstractNumId w:val="9"/>
  </w:num>
  <w:num w:numId="132" w16cid:durableId="55907428">
    <w:abstractNumId w:val="0"/>
  </w:num>
  <w:num w:numId="133" w16cid:durableId="1663316881">
    <w:abstractNumId w:val="1"/>
  </w:num>
  <w:num w:numId="134" w16cid:durableId="1842697872">
    <w:abstractNumId w:val="2"/>
  </w:num>
  <w:num w:numId="135" w16cid:durableId="521283160">
    <w:abstractNumId w:val="3"/>
  </w:num>
  <w:num w:numId="136" w16cid:durableId="2824120">
    <w:abstractNumId w:val="8"/>
  </w:num>
  <w:num w:numId="137" w16cid:durableId="1869834899">
    <w:abstractNumId w:val="4"/>
  </w:num>
  <w:num w:numId="138" w16cid:durableId="1567033674">
    <w:abstractNumId w:val="5"/>
  </w:num>
  <w:num w:numId="139" w16cid:durableId="997222988">
    <w:abstractNumId w:val="6"/>
  </w:num>
  <w:num w:numId="140" w16cid:durableId="937341">
    <w:abstractNumId w:val="7"/>
  </w:num>
  <w:num w:numId="141" w16cid:durableId="1947805026">
    <w:abstractNumId w:val="9"/>
  </w:num>
  <w:num w:numId="142" w16cid:durableId="1496533202">
    <w:abstractNumId w:val="0"/>
  </w:num>
  <w:num w:numId="143" w16cid:durableId="1781608643">
    <w:abstractNumId w:val="1"/>
  </w:num>
  <w:num w:numId="144" w16cid:durableId="803156873">
    <w:abstractNumId w:val="2"/>
  </w:num>
  <w:num w:numId="145" w16cid:durableId="1499275403">
    <w:abstractNumId w:val="3"/>
  </w:num>
  <w:num w:numId="146" w16cid:durableId="446580885">
    <w:abstractNumId w:val="8"/>
  </w:num>
  <w:num w:numId="147" w16cid:durableId="1348756348">
    <w:abstractNumId w:val="4"/>
  </w:num>
  <w:num w:numId="148" w16cid:durableId="1453590566">
    <w:abstractNumId w:val="5"/>
  </w:num>
  <w:num w:numId="149" w16cid:durableId="1468931875">
    <w:abstractNumId w:val="6"/>
  </w:num>
  <w:num w:numId="150" w16cid:durableId="1509102183">
    <w:abstractNumId w:val="7"/>
  </w:num>
  <w:num w:numId="151" w16cid:durableId="1876652251">
    <w:abstractNumId w:val="9"/>
  </w:num>
  <w:num w:numId="152" w16cid:durableId="852458504">
    <w:abstractNumId w:val="0"/>
  </w:num>
  <w:num w:numId="153" w16cid:durableId="523396769">
    <w:abstractNumId w:val="1"/>
  </w:num>
  <w:num w:numId="154" w16cid:durableId="907153136">
    <w:abstractNumId w:val="2"/>
  </w:num>
  <w:num w:numId="155" w16cid:durableId="926042438">
    <w:abstractNumId w:val="3"/>
  </w:num>
  <w:num w:numId="156" w16cid:durableId="1442919935">
    <w:abstractNumId w:val="8"/>
  </w:num>
  <w:num w:numId="157" w16cid:durableId="1619027493">
    <w:abstractNumId w:val="4"/>
  </w:num>
  <w:num w:numId="158" w16cid:durableId="148793971">
    <w:abstractNumId w:val="5"/>
  </w:num>
  <w:num w:numId="159" w16cid:durableId="541291621">
    <w:abstractNumId w:val="6"/>
  </w:num>
  <w:num w:numId="160" w16cid:durableId="1593659653">
    <w:abstractNumId w:val="7"/>
  </w:num>
  <w:num w:numId="161" w16cid:durableId="1568225260">
    <w:abstractNumId w:val="9"/>
  </w:num>
  <w:num w:numId="162" w16cid:durableId="1200237934">
    <w:abstractNumId w:val="0"/>
  </w:num>
  <w:num w:numId="163" w16cid:durableId="1875344070">
    <w:abstractNumId w:val="1"/>
  </w:num>
  <w:num w:numId="164" w16cid:durableId="388457198">
    <w:abstractNumId w:val="2"/>
  </w:num>
  <w:num w:numId="165" w16cid:durableId="892545592">
    <w:abstractNumId w:val="3"/>
  </w:num>
  <w:num w:numId="166" w16cid:durableId="449327947">
    <w:abstractNumId w:val="8"/>
  </w:num>
  <w:num w:numId="167" w16cid:durableId="974290446">
    <w:abstractNumId w:val="4"/>
  </w:num>
  <w:num w:numId="168" w16cid:durableId="1133251047">
    <w:abstractNumId w:val="5"/>
  </w:num>
  <w:num w:numId="169" w16cid:durableId="1309090062">
    <w:abstractNumId w:val="6"/>
  </w:num>
  <w:num w:numId="170" w16cid:durableId="64107766">
    <w:abstractNumId w:val="7"/>
  </w:num>
  <w:num w:numId="171" w16cid:durableId="2019766087">
    <w:abstractNumId w:val="9"/>
  </w:num>
  <w:num w:numId="172" w16cid:durableId="1938781874">
    <w:abstractNumId w:val="0"/>
  </w:num>
  <w:num w:numId="173" w16cid:durableId="506286924">
    <w:abstractNumId w:val="1"/>
  </w:num>
  <w:num w:numId="174" w16cid:durableId="927538527">
    <w:abstractNumId w:val="2"/>
  </w:num>
  <w:num w:numId="175" w16cid:durableId="604070383">
    <w:abstractNumId w:val="3"/>
  </w:num>
  <w:num w:numId="176" w16cid:durableId="1351033220">
    <w:abstractNumId w:val="8"/>
  </w:num>
  <w:num w:numId="177" w16cid:durableId="935094246">
    <w:abstractNumId w:val="4"/>
  </w:num>
  <w:num w:numId="178" w16cid:durableId="942420248">
    <w:abstractNumId w:val="5"/>
  </w:num>
  <w:num w:numId="179" w16cid:durableId="1085879028">
    <w:abstractNumId w:val="6"/>
  </w:num>
  <w:num w:numId="180" w16cid:durableId="2140603918">
    <w:abstractNumId w:val="7"/>
  </w:num>
  <w:num w:numId="181" w16cid:durableId="1130513091">
    <w:abstractNumId w:val="9"/>
  </w:num>
  <w:num w:numId="182" w16cid:durableId="1800764588">
    <w:abstractNumId w:val="0"/>
  </w:num>
  <w:num w:numId="183" w16cid:durableId="151063775">
    <w:abstractNumId w:val="1"/>
  </w:num>
  <w:num w:numId="184" w16cid:durableId="800876816">
    <w:abstractNumId w:val="2"/>
  </w:num>
  <w:num w:numId="185" w16cid:durableId="373428921">
    <w:abstractNumId w:val="3"/>
  </w:num>
  <w:num w:numId="186" w16cid:durableId="656030024">
    <w:abstractNumId w:val="8"/>
  </w:num>
  <w:num w:numId="187" w16cid:durableId="1830242999">
    <w:abstractNumId w:val="4"/>
  </w:num>
  <w:num w:numId="188" w16cid:durableId="198202259">
    <w:abstractNumId w:val="5"/>
  </w:num>
  <w:num w:numId="189" w16cid:durableId="1660421877">
    <w:abstractNumId w:val="6"/>
  </w:num>
  <w:num w:numId="190" w16cid:durableId="516114567">
    <w:abstractNumId w:val="7"/>
  </w:num>
  <w:num w:numId="191" w16cid:durableId="525991980">
    <w:abstractNumId w:val="9"/>
  </w:num>
  <w:num w:numId="192" w16cid:durableId="3630121">
    <w:abstractNumId w:val="0"/>
  </w:num>
  <w:num w:numId="193" w16cid:durableId="1094203996">
    <w:abstractNumId w:val="1"/>
  </w:num>
  <w:num w:numId="194" w16cid:durableId="552695008">
    <w:abstractNumId w:val="2"/>
  </w:num>
  <w:num w:numId="195" w16cid:durableId="469789231">
    <w:abstractNumId w:val="3"/>
  </w:num>
  <w:num w:numId="196" w16cid:durableId="1040478137">
    <w:abstractNumId w:val="8"/>
  </w:num>
  <w:num w:numId="197" w16cid:durableId="203450541">
    <w:abstractNumId w:val="4"/>
  </w:num>
  <w:num w:numId="198" w16cid:durableId="67701598">
    <w:abstractNumId w:val="5"/>
  </w:num>
  <w:num w:numId="199" w16cid:durableId="699206904">
    <w:abstractNumId w:val="6"/>
  </w:num>
  <w:num w:numId="200" w16cid:durableId="426969593">
    <w:abstractNumId w:val="7"/>
  </w:num>
  <w:num w:numId="201" w16cid:durableId="1628201423">
    <w:abstractNumId w:val="9"/>
  </w:num>
  <w:num w:numId="202" w16cid:durableId="1983726804">
    <w:abstractNumId w:val="0"/>
  </w:num>
  <w:num w:numId="203" w16cid:durableId="2094425511">
    <w:abstractNumId w:val="1"/>
  </w:num>
  <w:num w:numId="204" w16cid:durableId="1342198227">
    <w:abstractNumId w:val="2"/>
  </w:num>
  <w:num w:numId="205" w16cid:durableId="1551921526">
    <w:abstractNumId w:val="3"/>
  </w:num>
  <w:num w:numId="206" w16cid:durableId="249433632">
    <w:abstractNumId w:val="8"/>
  </w:num>
  <w:num w:numId="207" w16cid:durableId="624311891">
    <w:abstractNumId w:val="4"/>
  </w:num>
  <w:num w:numId="208" w16cid:durableId="158084228">
    <w:abstractNumId w:val="5"/>
  </w:num>
  <w:num w:numId="209" w16cid:durableId="402795494">
    <w:abstractNumId w:val="6"/>
  </w:num>
  <w:num w:numId="210" w16cid:durableId="894395251">
    <w:abstractNumId w:val="7"/>
  </w:num>
  <w:num w:numId="211" w16cid:durableId="343478926">
    <w:abstractNumId w:val="9"/>
  </w:num>
  <w:num w:numId="212" w16cid:durableId="1984697040">
    <w:abstractNumId w:val="0"/>
  </w:num>
  <w:num w:numId="213" w16cid:durableId="800265376">
    <w:abstractNumId w:val="1"/>
  </w:num>
  <w:num w:numId="214" w16cid:durableId="1158960609">
    <w:abstractNumId w:val="2"/>
  </w:num>
  <w:num w:numId="215" w16cid:durableId="428307645">
    <w:abstractNumId w:val="3"/>
  </w:num>
  <w:num w:numId="216" w16cid:durableId="1197542873">
    <w:abstractNumId w:val="8"/>
  </w:num>
  <w:num w:numId="217" w16cid:durableId="42484848">
    <w:abstractNumId w:val="4"/>
  </w:num>
  <w:num w:numId="218" w16cid:durableId="282811016">
    <w:abstractNumId w:val="5"/>
  </w:num>
  <w:num w:numId="219" w16cid:durableId="991720226">
    <w:abstractNumId w:val="6"/>
  </w:num>
  <w:num w:numId="220" w16cid:durableId="1746610160">
    <w:abstractNumId w:val="7"/>
  </w:num>
  <w:num w:numId="221" w16cid:durableId="132716895">
    <w:abstractNumId w:val="9"/>
  </w:num>
  <w:num w:numId="222" w16cid:durableId="2145852390">
    <w:abstractNumId w:val="0"/>
  </w:num>
  <w:num w:numId="223" w16cid:durableId="1671060778">
    <w:abstractNumId w:val="1"/>
  </w:num>
  <w:num w:numId="224" w16cid:durableId="90709333">
    <w:abstractNumId w:val="2"/>
  </w:num>
  <w:num w:numId="225" w16cid:durableId="980354524">
    <w:abstractNumId w:val="3"/>
  </w:num>
  <w:num w:numId="226" w16cid:durableId="1829785864">
    <w:abstractNumId w:val="8"/>
  </w:num>
  <w:num w:numId="227" w16cid:durableId="1665279475">
    <w:abstractNumId w:val="4"/>
  </w:num>
  <w:num w:numId="228" w16cid:durableId="1683898309">
    <w:abstractNumId w:val="5"/>
  </w:num>
  <w:num w:numId="229" w16cid:durableId="1837840453">
    <w:abstractNumId w:val="6"/>
  </w:num>
  <w:num w:numId="230" w16cid:durableId="1271162100">
    <w:abstractNumId w:val="7"/>
  </w:num>
  <w:num w:numId="231" w16cid:durableId="386417525">
    <w:abstractNumId w:val="9"/>
  </w:num>
  <w:num w:numId="232" w16cid:durableId="312685786">
    <w:abstractNumId w:val="0"/>
  </w:num>
  <w:num w:numId="233" w16cid:durableId="1709142893">
    <w:abstractNumId w:val="1"/>
  </w:num>
  <w:num w:numId="234" w16cid:durableId="1685011030">
    <w:abstractNumId w:val="2"/>
  </w:num>
  <w:num w:numId="235" w16cid:durableId="1641762845">
    <w:abstractNumId w:val="3"/>
  </w:num>
  <w:num w:numId="236" w16cid:durableId="1588146878">
    <w:abstractNumId w:val="8"/>
  </w:num>
  <w:num w:numId="237" w16cid:durableId="1879588042">
    <w:abstractNumId w:val="4"/>
  </w:num>
  <w:num w:numId="238" w16cid:durableId="1162817546">
    <w:abstractNumId w:val="5"/>
  </w:num>
  <w:num w:numId="239" w16cid:durableId="1325553601">
    <w:abstractNumId w:val="6"/>
  </w:num>
  <w:num w:numId="240" w16cid:durableId="1712221390">
    <w:abstractNumId w:val="7"/>
  </w:num>
  <w:num w:numId="241" w16cid:durableId="1496610616">
    <w:abstractNumId w:val="9"/>
  </w:num>
  <w:num w:numId="242" w16cid:durableId="880095004">
    <w:abstractNumId w:val="0"/>
  </w:num>
  <w:num w:numId="243" w16cid:durableId="1747144149">
    <w:abstractNumId w:val="1"/>
  </w:num>
  <w:num w:numId="244" w16cid:durableId="909850294">
    <w:abstractNumId w:val="2"/>
  </w:num>
  <w:num w:numId="245" w16cid:durableId="874584195">
    <w:abstractNumId w:val="3"/>
  </w:num>
  <w:num w:numId="246" w16cid:durableId="1181580814">
    <w:abstractNumId w:val="8"/>
  </w:num>
  <w:num w:numId="247" w16cid:durableId="81100018">
    <w:abstractNumId w:val="4"/>
  </w:num>
  <w:num w:numId="248" w16cid:durableId="460610493">
    <w:abstractNumId w:val="5"/>
  </w:num>
  <w:num w:numId="249" w16cid:durableId="2073654632">
    <w:abstractNumId w:val="6"/>
  </w:num>
  <w:num w:numId="250" w16cid:durableId="993873250">
    <w:abstractNumId w:val="7"/>
  </w:num>
  <w:num w:numId="251" w16cid:durableId="1495031026">
    <w:abstractNumId w:val="9"/>
  </w:num>
  <w:num w:numId="252" w16cid:durableId="1996102608">
    <w:abstractNumId w:val="0"/>
  </w:num>
  <w:num w:numId="253" w16cid:durableId="441727458">
    <w:abstractNumId w:val="1"/>
  </w:num>
  <w:num w:numId="254" w16cid:durableId="1856918545">
    <w:abstractNumId w:val="2"/>
  </w:num>
  <w:num w:numId="255" w16cid:durableId="381517191">
    <w:abstractNumId w:val="3"/>
  </w:num>
  <w:num w:numId="256" w16cid:durableId="441346869">
    <w:abstractNumId w:val="8"/>
  </w:num>
  <w:num w:numId="257" w16cid:durableId="407045482">
    <w:abstractNumId w:val="4"/>
  </w:num>
  <w:num w:numId="258" w16cid:durableId="1909488228">
    <w:abstractNumId w:val="5"/>
  </w:num>
  <w:num w:numId="259" w16cid:durableId="1990935517">
    <w:abstractNumId w:val="6"/>
  </w:num>
  <w:num w:numId="260" w16cid:durableId="1757434171">
    <w:abstractNumId w:val="7"/>
  </w:num>
  <w:num w:numId="261" w16cid:durableId="248199874">
    <w:abstractNumId w:val="9"/>
  </w:num>
  <w:num w:numId="262" w16cid:durableId="515003503">
    <w:abstractNumId w:val="0"/>
  </w:num>
  <w:num w:numId="263" w16cid:durableId="661544572">
    <w:abstractNumId w:val="1"/>
  </w:num>
  <w:num w:numId="264" w16cid:durableId="1274436970">
    <w:abstractNumId w:val="2"/>
  </w:num>
  <w:num w:numId="265" w16cid:durableId="1434396773">
    <w:abstractNumId w:val="3"/>
  </w:num>
  <w:num w:numId="266" w16cid:durableId="902985580">
    <w:abstractNumId w:val="8"/>
  </w:num>
  <w:num w:numId="267" w16cid:durableId="2039040671">
    <w:abstractNumId w:val="4"/>
  </w:num>
  <w:num w:numId="268" w16cid:durableId="2028479985">
    <w:abstractNumId w:val="5"/>
  </w:num>
  <w:num w:numId="269" w16cid:durableId="1044906188">
    <w:abstractNumId w:val="6"/>
  </w:num>
  <w:num w:numId="270" w16cid:durableId="1289555517">
    <w:abstractNumId w:val="7"/>
  </w:num>
  <w:num w:numId="271" w16cid:durableId="2111662680">
    <w:abstractNumId w:val="9"/>
  </w:num>
  <w:num w:numId="272" w16cid:durableId="678775536">
    <w:abstractNumId w:val="0"/>
  </w:num>
  <w:num w:numId="273" w16cid:durableId="1474565047">
    <w:abstractNumId w:val="1"/>
  </w:num>
  <w:num w:numId="274" w16cid:durableId="1357777794">
    <w:abstractNumId w:val="2"/>
  </w:num>
  <w:num w:numId="275" w16cid:durableId="1460104575">
    <w:abstractNumId w:val="3"/>
  </w:num>
  <w:num w:numId="276" w16cid:durableId="833762369">
    <w:abstractNumId w:val="8"/>
  </w:num>
  <w:num w:numId="277" w16cid:durableId="51655800">
    <w:abstractNumId w:val="4"/>
  </w:num>
  <w:num w:numId="278" w16cid:durableId="667565049">
    <w:abstractNumId w:val="5"/>
  </w:num>
  <w:num w:numId="279" w16cid:durableId="1601454845">
    <w:abstractNumId w:val="6"/>
  </w:num>
  <w:num w:numId="280" w16cid:durableId="1667443277">
    <w:abstractNumId w:val="7"/>
  </w:num>
  <w:num w:numId="281" w16cid:durableId="1049770547">
    <w:abstractNumId w:val="9"/>
  </w:num>
  <w:num w:numId="282" w16cid:durableId="1040085354">
    <w:abstractNumId w:val="0"/>
  </w:num>
  <w:num w:numId="283" w16cid:durableId="410858099">
    <w:abstractNumId w:val="1"/>
  </w:num>
  <w:num w:numId="284" w16cid:durableId="185755079">
    <w:abstractNumId w:val="2"/>
  </w:num>
  <w:num w:numId="285" w16cid:durableId="723678173">
    <w:abstractNumId w:val="3"/>
  </w:num>
  <w:num w:numId="286" w16cid:durableId="438841190">
    <w:abstractNumId w:val="8"/>
  </w:num>
  <w:num w:numId="287" w16cid:durableId="1067263884">
    <w:abstractNumId w:val="4"/>
  </w:num>
  <w:num w:numId="288" w16cid:durableId="840779122">
    <w:abstractNumId w:val="5"/>
  </w:num>
  <w:num w:numId="289" w16cid:durableId="1551385737">
    <w:abstractNumId w:val="6"/>
  </w:num>
  <w:num w:numId="290" w16cid:durableId="456608312">
    <w:abstractNumId w:val="7"/>
  </w:num>
  <w:num w:numId="291" w16cid:durableId="1984701277">
    <w:abstractNumId w:val="9"/>
  </w:num>
  <w:num w:numId="292" w16cid:durableId="1457944796">
    <w:abstractNumId w:val="0"/>
  </w:num>
  <w:num w:numId="293" w16cid:durableId="1380780317">
    <w:abstractNumId w:val="1"/>
  </w:num>
  <w:num w:numId="294" w16cid:durableId="1437796501">
    <w:abstractNumId w:val="2"/>
  </w:num>
  <w:num w:numId="295" w16cid:durableId="1175071739">
    <w:abstractNumId w:val="3"/>
  </w:num>
  <w:num w:numId="296" w16cid:durableId="554200887">
    <w:abstractNumId w:val="8"/>
  </w:num>
  <w:num w:numId="297" w16cid:durableId="1073815680">
    <w:abstractNumId w:val="4"/>
  </w:num>
  <w:num w:numId="298" w16cid:durableId="1294485479">
    <w:abstractNumId w:val="5"/>
  </w:num>
  <w:num w:numId="299" w16cid:durableId="168058260">
    <w:abstractNumId w:val="6"/>
  </w:num>
  <w:num w:numId="300" w16cid:durableId="905922724">
    <w:abstractNumId w:val="7"/>
  </w:num>
  <w:num w:numId="301" w16cid:durableId="1482306058">
    <w:abstractNumId w:val="9"/>
  </w:num>
  <w:num w:numId="302" w16cid:durableId="791442380">
    <w:abstractNumId w:val="10"/>
  </w:num>
  <w:num w:numId="303" w16cid:durableId="11018760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001A2"/>
    <w:rsid w:val="000112B5"/>
    <w:rsid w:val="00057595"/>
    <w:rsid w:val="0018137E"/>
    <w:rsid w:val="001A103C"/>
    <w:rsid w:val="00403CAA"/>
    <w:rsid w:val="0046018F"/>
    <w:rsid w:val="005939A4"/>
    <w:rsid w:val="006001A2"/>
    <w:rsid w:val="00625087"/>
    <w:rsid w:val="0077582D"/>
    <w:rsid w:val="008A18BF"/>
    <w:rsid w:val="00A9195F"/>
    <w:rsid w:val="00B361EC"/>
    <w:rsid w:val="00B51D93"/>
    <w:rsid w:val="00DC6F8E"/>
    <w:rsid w:val="00EA713A"/>
    <w:rsid w:val="00EB73B3"/>
    <w:rsid w:val="00F35D88"/>
    <w:rsid w:val="00F71199"/>
    <w:rsid w:val="00FA51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35A98F"/>
  <w15:docId w15:val="{BC3A8B29-735D-6145-90F2-8DEDE9D8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9A4"/>
    <w:rPr>
      <w:rFonts w:ascii="Arial" w:hAnsi="Arial"/>
    </w:rPr>
  </w:style>
  <w:style w:type="paragraph" w:styleId="Heading1">
    <w:name w:val="heading 1"/>
    <w:basedOn w:val="Normal"/>
    <w:next w:val="BodyText"/>
    <w:uiPriority w:val="9"/>
    <w:qFormat/>
    <w:rsid w:val="0046018F"/>
    <w:pPr>
      <w:keepNext/>
      <w:keepLines/>
      <w:spacing w:before="480" w:after="0" w:line="360" w:lineRule="auto"/>
      <w:jc w:val="both"/>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46018F"/>
    <w:pPr>
      <w:keepNext/>
      <w:keepLines/>
      <w:spacing w:before="200" w:after="0" w:line="360" w:lineRule="auto"/>
      <w:jc w:val="both"/>
      <w:outlineLvl w:val="1"/>
    </w:pPr>
    <w:rPr>
      <w:rFonts w:eastAsiaTheme="majorEastAsia" w:cstheme="majorBidi"/>
      <w:b/>
      <w:bCs/>
      <w:color w:val="000000" w:themeColor="text1"/>
      <w:sz w:val="28"/>
      <w:szCs w:val="28"/>
    </w:rPr>
  </w:style>
  <w:style w:type="paragraph" w:styleId="Heading3">
    <w:name w:val="heading 3"/>
    <w:basedOn w:val="Normal"/>
    <w:next w:val="BodyText"/>
    <w:uiPriority w:val="9"/>
    <w:unhideWhenUsed/>
    <w:qFormat/>
    <w:rsid w:val="000112B5"/>
    <w:pPr>
      <w:keepNext/>
      <w:keepLines/>
      <w:spacing w:before="200" w:after="0"/>
      <w:jc w:val="both"/>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0112B5"/>
    <w:pPr>
      <w:spacing w:before="180" w:after="180" w:line="360" w:lineRule="auto"/>
      <w:jc w:val="both"/>
    </w:pPr>
  </w:style>
  <w:style w:type="paragraph" w:customStyle="1" w:styleId="FirstParagraph">
    <w:name w:val="First Paragraph"/>
    <w:basedOn w:val="BodyText"/>
    <w:next w:val="BodyText"/>
    <w:qFormat/>
    <w:rsid w:val="000112B5"/>
  </w:style>
  <w:style w:type="paragraph" w:customStyle="1" w:styleId="Compact">
    <w:name w:val="Compact"/>
    <w:basedOn w:val="BodyText"/>
    <w:qFormat/>
    <w:pPr>
      <w:spacing w:before="36" w:after="36"/>
    </w:pPr>
  </w:style>
  <w:style w:type="paragraph" w:styleId="Title">
    <w:name w:val="Title"/>
    <w:basedOn w:val="Normal"/>
    <w:next w:val="BodyText"/>
    <w:qFormat/>
    <w:rsid w:val="000112B5"/>
    <w:pPr>
      <w:keepNext/>
      <w:keepLines/>
      <w:spacing w:before="480" w:after="240"/>
      <w:jc w:val="both"/>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rsid w:val="000112B5"/>
    <w:pPr>
      <w:spacing w:before="240"/>
    </w:pPr>
    <w:rPr>
      <w:rFonts w:ascii="Arial" w:hAnsi="Arial"/>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rsid w:val="000112B5"/>
    <w:pPr>
      <w:keepNext/>
      <w:keepLines/>
      <w:spacing w:before="300" w:after="300"/>
      <w:jc w:val="both"/>
    </w:pPr>
    <w:rPr>
      <w:sz w:val="20"/>
      <w:szCs w:val="20"/>
    </w:rPr>
  </w:style>
  <w:style w:type="paragraph" w:styleId="Bibliography">
    <w:name w:val="Bibliography"/>
    <w:basedOn w:val="Normal"/>
    <w:qFormat/>
    <w:rsid w:val="0046018F"/>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A713A"/>
    <w:pPr>
      <w:keepNext/>
    </w:pPr>
    <w:rPr>
      <w:i w:val="0"/>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tyle1">
    <w:name w:val="Style1"/>
    <w:basedOn w:val="Title"/>
    <w:qFormat/>
    <w:rsid w:val="000112B5"/>
    <w:rPr>
      <w:rFonts w:ascii="Arial" w:hAnsi="Arial"/>
    </w:rPr>
  </w:style>
  <w:style w:type="character" w:customStyle="1" w:styleId="BodyTextChar">
    <w:name w:val="Body Text Char"/>
    <w:basedOn w:val="DefaultParagraphFont"/>
    <w:link w:val="BodyText"/>
    <w:rsid w:val="000112B5"/>
    <w:rPr>
      <w:rFonts w:ascii="Arial" w:hAnsi="Arial"/>
    </w:rPr>
  </w:style>
  <w:style w:type="paragraph" w:styleId="Footer">
    <w:name w:val="footer"/>
    <w:basedOn w:val="Normal"/>
    <w:link w:val="FooterChar"/>
    <w:rsid w:val="0077582D"/>
    <w:pPr>
      <w:tabs>
        <w:tab w:val="center" w:pos="4680"/>
        <w:tab w:val="right" w:pos="9360"/>
      </w:tabs>
      <w:spacing w:after="0"/>
    </w:pPr>
  </w:style>
  <w:style w:type="character" w:customStyle="1" w:styleId="FooterChar">
    <w:name w:val="Footer Char"/>
    <w:basedOn w:val="DefaultParagraphFont"/>
    <w:link w:val="Footer"/>
    <w:rsid w:val="0077582D"/>
    <w:rPr>
      <w:rFonts w:ascii="Arial" w:hAnsi="Arial"/>
    </w:rPr>
  </w:style>
  <w:style w:type="character" w:styleId="PageNumber">
    <w:name w:val="page number"/>
    <w:basedOn w:val="DefaultParagraphFont"/>
    <w:rsid w:val="0077582D"/>
  </w:style>
  <w:style w:type="character" w:styleId="LineNumber">
    <w:name w:val="line number"/>
    <w:basedOn w:val="DefaultParagraphFont"/>
    <w:rsid w:val="00403CAA"/>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annepidem.2022.07.007" TargetMode="External"/><Relationship Id="rId18" Type="http://schemas.openxmlformats.org/officeDocument/2006/relationships/hyperlink" Target="https://doi.org/10.1200/JCO.2023.41.16\_suppl.e21194" TargetMode="External"/><Relationship Id="rId26" Type="http://schemas.openxmlformats.org/officeDocument/2006/relationships/hyperlink" Target="https://doi.org/10.1007/s10198-008-0129-y%20" TargetMode="External"/><Relationship Id="rId3" Type="http://schemas.openxmlformats.org/officeDocument/2006/relationships/settings" Target="settings.xml"/><Relationship Id="rId21" Type="http://schemas.openxmlformats.org/officeDocument/2006/relationships/hyperlink" Target="https://doi.org/10.1002/pst.1917" TargetMode="External"/><Relationship Id="rId34" Type="http://schemas.openxmlformats.org/officeDocument/2006/relationships/footer" Target="footer2.xml"/><Relationship Id="rId7" Type="http://schemas.openxmlformats.org/officeDocument/2006/relationships/hyperlink" Target="SWANG1@BWH.HARVARD.EDU" TargetMode="External"/><Relationship Id="rId12" Type="http://schemas.openxmlformats.org/officeDocument/2006/relationships/hyperlink" Target="https://www.fda.gov/media/120060/download?attachment" TargetMode="External"/><Relationship Id="rId17" Type="http://schemas.openxmlformats.org/officeDocument/2006/relationships/hyperlink" Target="https://doi.org/10.1158/1078-0432.CCR-22-0471" TargetMode="External"/><Relationship Id="rId25" Type="http://schemas.openxmlformats.org/officeDocument/2006/relationships/hyperlink" Target="https://github.com/PamelaShaw/Missing-Confounders-Methods"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fda.gov/about-fda/oncology-center-excellence/calibrating-real-world-evidence-studies-oncology-against-randomized-trials-encore" TargetMode="External"/><Relationship Id="rId20" Type="http://schemas.openxmlformats.org/officeDocument/2006/relationships/hyperlink" Target="https://doi.org/10.1016/j.jclinepi.2016.04.014" TargetMode="External"/><Relationship Id="rId29" Type="http://schemas.openxmlformats.org/officeDocument/2006/relationships/hyperlink" Target="https://github.com/janickweberpals/encore.analyti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janickweberpals/encore.analytics/" TargetMode="External"/><Relationship Id="rId24" Type="http://schemas.openxmlformats.org/officeDocument/2006/relationships/hyperlink" Target="https://arxiv.org/abs/2405.10925" TargetMode="External"/><Relationship Id="rId32" Type="http://schemas.openxmlformats.org/officeDocument/2006/relationships/hyperlink" Target="https://api.semanticscholar.org/CorpusID:14961217" TargetMode="External"/><Relationship Id="rId5" Type="http://schemas.openxmlformats.org/officeDocument/2006/relationships/footnotes" Target="footnotes.xml"/><Relationship Id="rId15" Type="http://schemas.openxmlformats.org/officeDocument/2006/relationships/hyperlink" Target="https://doi.org/10.1136/bmjmed-2023-000709" TargetMode="External"/><Relationship Id="rId23" Type="http://schemas.openxmlformats.org/officeDocument/2006/relationships/hyperlink" Target="https://doi.org/10.2147/CLEP.S436131" TargetMode="External"/><Relationship Id="rId28" Type="http://schemas.openxmlformats.org/officeDocument/2006/relationships/hyperlink" Target="https://CRAN.R-project.org/package=survival" TargetMode="External"/><Relationship Id="rId36" Type="http://schemas.openxmlformats.org/officeDocument/2006/relationships/theme" Target="theme/theme1.xml"/><Relationship Id="rId10" Type="http://schemas.openxmlformats.org/officeDocument/2006/relationships/hyperlink" Target="https://janickweberpals.github.io/imputation-ps-workflows/" TargetMode="External"/><Relationship Id="rId19" Type="http://schemas.openxmlformats.org/officeDocument/2006/relationships/hyperlink" Target="https://doi.org/10.1016/j.jval.2022.09.001" TargetMode="External"/><Relationship Id="rId31" Type="http://schemas.openxmlformats.org/officeDocument/2006/relationships/hyperlink" Target="https://github.com/pharmaverse/ggsurvfit" TargetMode="External"/><Relationship Id="rId4" Type="http://schemas.openxmlformats.org/officeDocument/2006/relationships/webSettings" Target="webSettings.xml"/><Relationship Id="rId9" Type="http://schemas.openxmlformats.org/officeDocument/2006/relationships/hyperlink" Target="https://github.com/janickweberpals/encore.analytics/" TargetMode="External"/><Relationship Id="rId14" Type="http://schemas.openxmlformats.org/officeDocument/2006/relationships/hyperlink" Target="https://doi.org/10.1001/jama.2023.4221" TargetMode="External"/><Relationship Id="rId22" Type="http://schemas.openxmlformats.org/officeDocument/2006/relationships/hyperlink" Target="https://keaven.github.io/gsDesign/" TargetMode="External"/><Relationship Id="rId27" Type="http://schemas.openxmlformats.org/officeDocument/2006/relationships/hyperlink" Target="https://doi.org/10.32614/RJ-2021-073" TargetMode="External"/><Relationship Id="rId30" Type="http://schemas.openxmlformats.org/officeDocument/2006/relationships/hyperlink" Target="https://doi.org/10.32614/RJ-2021-053" TargetMode="External"/><Relationship Id="rId35" Type="http://schemas.openxmlformats.org/officeDocument/2006/relationships/fontTable" Target="fontTable.xml"/><Relationship Id="rId8" Type="http://schemas.openxmlformats.org/officeDocument/2006/relationships/hyperlink" Target="https://janickweberpals.github.io/imputation-ps-workfl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27</Pages>
  <Words>8140</Words>
  <Characters>46399</Characters>
  <Application>Microsoft Office Word</Application>
  <DocSecurity>0</DocSecurity>
  <Lines>386</Lines>
  <Paragraphs>108</Paragraphs>
  <ScaleCrop>false</ScaleCrop>
  <Company/>
  <LinksUpToDate>false</LinksUpToDate>
  <CharactersWithSpaces>54431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cp:lastModifiedBy>Janick Weberpals</cp:lastModifiedBy>
  <cp:revision>2</cp:revision>
  <dcterms:created xsi:type="dcterms:W3CDTF">2025-12-07T11:46:00Z</dcterms:created>
  <dcterms:modified xsi:type="dcterms:W3CDTF">2025-12-07T11:57:00Z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