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2024-11-28 19:39:06.619691</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 the Food and Drug Administration (FDA) established a framework to increasingly include and additionally consider real-world evidence (RWE) generated from routine-care health data such as electronic health records (EHR) to evaluate and contextualize the comparative safety and effectiveness of novel cancer therapies.</w:t>
      </w:r>
      <w:r>
        <w:rPr>
          <w:vertAlign w:val="superscript"/>
        </w:rPr>
        <w:t xml:space="preserve">1</w:t>
      </w:r>
      <w:r>
        <w:t xml:space="preserve"> </w:t>
      </w:r>
      <w:r>
        <w:t xml:space="preserve">With 21% of all approvals, oncology was the disease area with the most FDA drug approvals in 2023,[</w:t>
      </w:r>
      <w:r>
        <w:rPr>
          <w:vertAlign w:val="superscript"/>
        </w:rPr>
        <w:t xml:space="preserve">2</w:t>
      </w:r>
      <w:r>
        <w:t xml:space="preserve">] and especially in the field of precision oncology, RWE has a large potential to complement evidence coming from RCTs. Examples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immunological signatures.</w:t>
      </w:r>
    </w:p>
    <w:p>
      <w:pPr>
        <w:pStyle w:val="BodyText"/>
      </w:pPr>
      <w:r>
        <w:t xml:space="preserve">However, the validity and transportability of results derived betwen RWE studies and RCTs can depend on many factors and frequently references limitations include missing data, small sample sizes, data discontinuity</w:t>
      </w:r>
      <w:r>
        <w:rPr>
          <w:vertAlign w:val="superscript"/>
        </w:rPr>
        <w:t xml:space="preserve">3, 4</w:t>
      </w:r>
      <w:r>
        <w:t xml:space="preserve">, rapid changes in guideline treatment patterns and the inability to measure and emulate common eligibility criteria and prognostic factors in RWD.</w:t>
      </w:r>
      <w:r>
        <w:rPr>
          <w:vertAlign w:val="superscript"/>
        </w:rPr>
        <w:t xml:space="preserve">5</w:t>
      </w:r>
      <w:r>
        <w:t xml:space="preserve"> </w:t>
      </w:r>
      <w:r>
        <w:t xml:space="preserve">While there are publsihed examples of emulations of oncology trials</w:t>
      </w:r>
      <w:r>
        <w:rPr>
          <w:vertAlign w:val="superscript"/>
        </w:rPr>
        <w:t xml:space="preserve">5–7</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 with which non-interventional study designs and analysis methods.</w:t>
      </w:r>
    </w:p>
    <w:p>
      <w:pPr>
        <w:pStyle w:val="BodyText"/>
      </w:pPr>
      <w:r>
        <w:t xml:space="preserve">The RCT DUPLICATE initiative</w:t>
      </w:r>
      <w:r>
        <w:rPr>
          <w:vertAlign w:val="superscript"/>
        </w:rPr>
        <w:t xml:space="preserve">8</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9</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10</w:t>
      </w:r>
      <w:r>
        <w:t xml:space="preserve"> </w:t>
      </w:r>
      <w:r>
        <w:t xml:space="preserve">aims to extend this work to the field of oncology which comes with its own unique set of challenges that are not necessarily comparable with previous learnings from other disease areas and which must be systematically explored and understood. Building on a process co-developed with the FDA through RCT DUPLICATE</w:t>
      </w:r>
      <w:r>
        <w:rPr>
          <w:vertAlign w:val="superscript"/>
        </w:rPr>
        <w:t xml:space="preserve">8</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11, 12</w:t>
      </w:r>
      <w:r>
        <w:t xml:space="preserve"> </w:t>
      </w:r>
      <w:r>
        <w:t xml:space="preserve">and conducting extensive sensitivity analyses to assess robustness of findings and trial eligibility criteria.</w:t>
      </w:r>
    </w:p>
    <w:p>
      <w:pPr>
        <w:pStyle w:val="BodyText"/>
      </w:pPr>
      <w:r>
        <w:t xml:space="preserve">The objectives of this project are to develop state-of-the-art methodological approaches and apply those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trial emulation and RCT.</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 and its emulation.</w:t>
      </w:r>
    </w:p>
    <w:p>
      <w:r>
        <w:br w:type="page"/>
      </w:r>
    </w:p>
    <w:bookmarkEnd w:id="22"/>
    <w:bookmarkStart w:id="23" w:name="methods"/>
    <w:p>
      <w:pPr>
        <w:pStyle w:val="Heading1"/>
      </w:pPr>
      <w:r>
        <w:t xml:space="preserve">Methods</w:t>
      </w:r>
    </w:p>
    <w:p>
      <w:pPr>
        <w:pStyle w:val="FirstParagraph"/>
      </w:pPr>
      <w:r>
        <w:rPr>
          <w:b/>
          <w:bCs/>
        </w:rPr>
        <w:t xml:space="preserve">Systematic process for understanding the validity of RWE for oncology submissions</w:t>
      </w:r>
    </w:p>
    <w:p>
      <w:pPr>
        <w:pStyle w:val="BodyText"/>
      </w:pPr>
      <w:r>
        <w:t xml:space="preserve">Trial selection</w:t>
      </w:r>
    </w:p>
    <w:p>
      <w:pPr>
        <w:pStyle w:val="BodyText"/>
      </w:pPr>
      <w:r>
        <w:t xml:space="preserve">Data feasibility</w:t>
      </w:r>
    </w:p>
    <w:p>
      <w:pPr>
        <w:pStyle w:val="BodyText"/>
      </w:pPr>
      <w:r>
        <w:t xml:space="preserve">Protocol development</w:t>
      </w:r>
    </w:p>
    <w:p>
      <w:pPr>
        <w:pStyle w:val="BodyText"/>
      </w:pPr>
      <w:r>
        <w:t xml:space="preserve">Application of the target trial emulation framework to study design and statistical analysis</w:t>
      </w:r>
    </w:p>
    <w:p>
      <w:pPr>
        <w:pStyle w:val="BodyText"/>
      </w:pPr>
      <w:r>
        <w:t xml:space="preserve">…</w:t>
      </w:r>
      <w:r>
        <w:rPr>
          <w:vertAlign w:val="superscript"/>
        </w:rPr>
        <w:t xml:space="preserve">13</w:t>
      </w:r>
    </w:p>
    <w:p>
      <w:pPr>
        <w:pStyle w:val="BodyText"/>
      </w:pPr>
      <w:r>
        <w:t xml:space="preserve">Agreement metrics</w:t>
      </w:r>
    </w:p>
    <w:p>
      <w:r>
        <w:br w:type="page"/>
      </w:r>
    </w:p>
    <w:bookmarkEnd w:id="23"/>
    <w:bookmarkStart w:id="25" w:name="discussion"/>
    <w:p>
      <w:pPr>
        <w:pStyle w:val="Heading1"/>
      </w:pPr>
      <w:r>
        <w:t xml:space="preserve">Discussion</w:t>
      </w:r>
    </w:p>
    <w:p>
      <w:pPr>
        <w:pStyle w:val="FirstParagraph"/>
      </w:pPr>
      <w:r>
        <w:t xml:space="preserve">…</w:t>
      </w:r>
    </w:p>
    <w:bookmarkStart w:id="24" w:name="conclusions"/>
    <w:p>
      <w:pPr>
        <w:pStyle w:val="Heading2"/>
      </w:pPr>
      <w:r>
        <w:t xml:space="preserve">Conclusions</w:t>
      </w:r>
    </w:p>
    <w:p>
      <w:pPr>
        <w:pStyle w:val="FirstParagraph"/>
      </w:pPr>
      <w:r>
        <w:t xml:space="preserve">…</w:t>
      </w:r>
    </w:p>
    <w:p>
      <w:r>
        <w:br w:type="page"/>
      </w:r>
    </w:p>
    <w:bookmarkEnd w:id="24"/>
    <w:bookmarkEnd w:id="25"/>
    <w:bookmarkStart w:id="54" w:name="references"/>
    <w:p>
      <w:pPr>
        <w:pStyle w:val="Heading1"/>
      </w:pPr>
      <w:r>
        <w:t xml:space="preserve">References</w:t>
      </w:r>
    </w:p>
    <w:bookmarkStart w:id="44" w:name="refs"/>
    <w:bookmarkStart w:id="26" w:name="ref-purpura2022role"/>
    <w:p>
      <w:pPr>
        <w:pStyle w:val="Bibliography"/>
      </w:pPr>
      <w:r>
        <w:rPr>
          <w:b/>
          <w:bCs/>
        </w:rPr>
        <w:t xml:space="preserve">1</w:t>
      </w:r>
      <w:r>
        <w:t xml:space="preserve">. Purpura CA, Garry EM, Honig N, et al: The role of real-world evidence in FDA-approved new drug and biologics license applications. Clinical Pharmacology &amp; Therapeutics 111:135–144, 2022</w:t>
      </w:r>
    </w:p>
    <w:bookmarkEnd w:id="26"/>
    <w:bookmarkStart w:id="27" w:name="ref-senior2024fresh"/>
    <w:p>
      <w:pPr>
        <w:pStyle w:val="Bibliography"/>
      </w:pPr>
      <w:r>
        <w:rPr>
          <w:b/>
          <w:bCs/>
        </w:rPr>
        <w:t xml:space="preserve">2</w:t>
      </w:r>
      <w:r>
        <w:t xml:space="preserve">. Senior M: Fresh from the biotech pipeline: Record-breaking FDA approvals. Nature Biotechnology, 2024</w:t>
      </w:r>
    </w:p>
    <w:bookmarkEnd w:id="27"/>
    <w:bookmarkStart w:id="29" w:name="ref-Merola2022"/>
    <w:p>
      <w:pPr>
        <w:pStyle w:val="Bibliography"/>
      </w:pPr>
      <w:r>
        <w:rPr>
          <w:b/>
          <w:bCs/>
        </w:rPr>
        <w:t xml:space="preserve">3</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28">
        <w:r>
          <w:rPr>
            <w:rStyle w:val="Hyperlink"/>
          </w:rPr>
          <w:t xml:space="preserve">http://dx.doi.org/10.1016/j.annepidem.2022.07.007</w:t>
        </w:r>
      </w:hyperlink>
    </w:p>
    <w:bookmarkEnd w:id="29"/>
    <w:bookmarkStart w:id="30" w:name="ref-joshua2022longitudinal"/>
    <w:p>
      <w:pPr>
        <w:pStyle w:val="Bibliography"/>
      </w:pPr>
      <w:r>
        <w:rPr>
          <w:b/>
          <w:bCs/>
        </w:rPr>
        <w:t xml:space="preserve">4</w:t>
      </w:r>
      <w:r>
        <w:t xml:space="preserve">. Joshua Lin K, Jin Y, Gagne J, et al: Longitudinal data discontinuity in electronic health records and consequences for medication effectiveness studies. Clinical Pharmacology &amp; Therapeutics 111:243–251, 2022</w:t>
      </w:r>
    </w:p>
    <w:bookmarkEnd w:id="30"/>
    <w:bookmarkStart w:id="31" w:name="ref-rider2024emulations"/>
    <w:p>
      <w:pPr>
        <w:pStyle w:val="Bibliography"/>
      </w:pPr>
      <w:r>
        <w:rPr>
          <w:b/>
          <w:bCs/>
        </w:rPr>
        <w:t xml:space="preserve">5</w:t>
      </w:r>
      <w:r>
        <w:t xml:space="preserve">. Rider JR, Wasserman A, Slipski L, et al: Emulations of oncology trials using real-world data: A systematic literature review. American journal of epidemiology kwae346, 2024</w:t>
      </w:r>
    </w:p>
    <w:bookmarkEnd w:id="31"/>
    <w:bookmarkStart w:id="32" w:name="ref-merola2023aetion"/>
    <w:p>
      <w:pPr>
        <w:pStyle w:val="Bibliography"/>
      </w:pPr>
      <w:r>
        <w:rPr>
          <w:b/>
          <w:bCs/>
        </w:rPr>
        <w:t xml:space="preserve">6</w:t>
      </w:r>
      <w:r>
        <w:t xml:space="preserve">. Merola D, Campbell U, Gautam N, et al: The aetion coalition to advance real-world evidence through randomized controlled trial emulation initiative: oncology. Clinical Pharmacology &amp; Therapeutics 113:1217–1222, 2023</w:t>
      </w:r>
    </w:p>
    <w:bookmarkEnd w:id="32"/>
    <w:bookmarkStart w:id="33" w:name="ref-merola2024calibrating"/>
    <w:p>
      <w:pPr>
        <w:pStyle w:val="Bibliography"/>
      </w:pPr>
      <w:r>
        <w:rPr>
          <w:b/>
          <w:bCs/>
        </w:rPr>
        <w:t xml:space="preserve">7</w:t>
      </w:r>
      <w:r>
        <w:t xml:space="preserve">. Merola D, Campbell U, Lenis D, et al: Calibrating observational health record data against a randomized trial. JAMA Network Open 7:e2436535–e2436535, 2024</w:t>
      </w:r>
    </w:p>
    <w:bookmarkEnd w:id="33"/>
    <w:bookmarkStart w:id="35" w:name="ref-wang2023emulation"/>
    <w:p>
      <w:pPr>
        <w:pStyle w:val="Bibliography"/>
      </w:pPr>
      <w:r>
        <w:rPr>
          <w:b/>
          <w:bCs/>
        </w:rPr>
        <w:t xml:space="preserve">8</w:t>
      </w:r>
      <w:r>
        <w:t xml:space="preserve">. Wang SV, Schneeweiss S, Franklin JM, et al:</w:t>
      </w:r>
      <w:r>
        <w:t xml:space="preserve"> </w:t>
      </w:r>
      <w:hyperlink r:id="rId34">
        <w:r>
          <w:rPr>
            <w:rStyle w:val="Hyperlink"/>
          </w:rPr>
          <w:t xml:space="preserve">Emulation of randomized clinical trials with nonrandomized database analyses: Results of 32 clinical trials</w:t>
        </w:r>
      </w:hyperlink>
      <w:r>
        <w:t xml:space="preserve">. Jama 329:1376–1385, 2023</w:t>
      </w:r>
    </w:p>
    <w:bookmarkEnd w:id="35"/>
    <w:bookmarkStart w:id="37" w:name="ref-heyard2024design"/>
    <w:p>
      <w:pPr>
        <w:pStyle w:val="Bibliography"/>
      </w:pPr>
      <w:r>
        <w:rPr>
          <w:b/>
          <w:bCs/>
        </w:rPr>
        <w:t xml:space="preserve">9</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36">
        <w:r>
          <w:rPr>
            <w:rStyle w:val="Hyperlink"/>
          </w:rPr>
          <w:t xml:space="preserve">https://doi.org/10.1136/bmjmed-2023-000709</w:t>
        </w:r>
      </w:hyperlink>
    </w:p>
    <w:bookmarkEnd w:id="37"/>
    <w:bookmarkStart w:id="39" w:name="ref-encoreFDA"/>
    <w:p>
      <w:pPr>
        <w:pStyle w:val="Bibliography"/>
      </w:pPr>
      <w:r>
        <w:rPr>
          <w:b/>
          <w:bCs/>
        </w:rPr>
        <w:t xml:space="preserve">10</w:t>
      </w:r>
      <w:r>
        <w:t xml:space="preserve">. Calibrating real-world evidence studies in oncology against randomized trials: ENCORE (last accessed 11/28/2024) [Internet], 2024Available from:</w:t>
      </w:r>
      <w:r>
        <w:t xml:space="preserve"> </w:t>
      </w:r>
      <w:hyperlink r:id="rId38">
        <w:r>
          <w:rPr>
            <w:rStyle w:val="Hyperlink"/>
          </w:rPr>
          <w:t xml:space="preserve">https://www.fda.gov/about-fda/oncology-center-excellence/calibrating-real-world-evidence-studies-oncology-against-randomized-trials-encore</w:t>
        </w:r>
      </w:hyperlink>
    </w:p>
    <w:bookmarkEnd w:id="39"/>
    <w:bookmarkStart w:id="40" w:name="ref-rivera2024oncology"/>
    <w:p>
      <w:pPr>
        <w:pStyle w:val="Bibliography"/>
      </w:pPr>
      <w:r>
        <w:rPr>
          <w:b/>
          <w:bCs/>
        </w:rPr>
        <w:t xml:space="preserve">11</w:t>
      </w:r>
      <w:r>
        <w:t xml:space="preserve">. Rivera DR, Eckert JC, Rodriguez-Watson C, et al: The oncology QCARD initiative: Fostering efficient evaluation of initial real-world data proposals. Pharmacoepidemiology and Drug Safety 33:e5818, 2024</w:t>
      </w:r>
    </w:p>
    <w:bookmarkEnd w:id="40"/>
    <w:bookmarkStart w:id="41" w:name="ref-gatto2022structured"/>
    <w:p>
      <w:pPr>
        <w:pStyle w:val="Bibliography"/>
      </w:pPr>
      <w:r>
        <w:rPr>
          <w:b/>
          <w:bCs/>
        </w:rPr>
        <w:t xml:space="preserve">12</w:t>
      </w:r>
      <w:r>
        <w:t xml:space="preserve">. Gatto NM, Campbell UB, Rubinstein E, et al: The structured process to identify fit-for-purpose data: A data feasibility assessment framework. Clinical Pharmacology &amp; Therapeutics 111:122–134, 2022</w:t>
      </w:r>
    </w:p>
    <w:bookmarkEnd w:id="41"/>
    <w:bookmarkStart w:id="43" w:name="ref-weberpals2024"/>
    <w:p>
      <w:pPr>
        <w:pStyle w:val="Bibliography"/>
      </w:pPr>
      <w:r>
        <w:rPr>
          <w:b/>
          <w:bCs/>
        </w:rPr>
        <w:t xml:space="preserve">13</w:t>
      </w:r>
      <w:r>
        <w:t xml:space="preserve">. Weberpals J, Raman SR, Shaw PA, et al: A principled approach to characterize and analyze partially observed confounder data from electronic health records [Internet]. Clinical Epidemiology 16:329–343, 2024Available from:</w:t>
      </w:r>
      <w:hyperlink r:id="rId42">
        <w:r>
          <w:rPr>
            <w:rStyle w:val="Hyperlink"/>
          </w:rPr>
          <w:t xml:space="preserve"> </w:t>
        </w:r>
        <w:r>
          <w:rPr>
            <w:rStyle w:val="Hyperlink"/>
          </w:rPr>
          <w:t xml:space="preserve">https://www.tandfonline.com/doi/abs/10.2147/CLEP.S436131</w:t>
        </w:r>
        <w:r>
          <w:rPr>
            <w:rStyle w:val="Hyperlink"/>
          </w:rPr>
          <w:t xml:space="preserve"> </w:t>
        </w:r>
      </w:hyperlink>
    </w:p>
    <w:bookmarkEnd w:id="43"/>
    <w:bookmarkEnd w:id="44"/>
    <w:p>
      <w:r>
        <w:br w:type="page"/>
      </w:r>
    </w:p>
    <w:p>
      <w:pPr>
        <w:sectPr/>
      </w:pPr>
    </w:p>
    <w:p>
      <w:pPr>
        <w:sectPr/>
      </w:pPr>
    </w:p>
    <w:bookmarkStart w:id="47"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45" w:name="tbl-criteria"/>
          <w:p>
            <w:pPr>
              <w:jc w:val="center"/>
            </w:pPr>
            <w:pPr>
              <w:jc w:val="start"/>
              <w:spacing w:before="200"/>
              <w:pStyle w:val="ImageCaption"/>
            </w:pPr>
            <w:r>
              <w:t xml:space="preserve">Table 1: Criteria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Criteria</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Definition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Eligible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nature of the investigation or investigational use for which clinical study information is being submitted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(clinical trial): Participants are assigned prospectively to an intervention or interventions according to a protocol to evaluate the effect of the intervention(s) on biomedical or other health related outcomes.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allocation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method by which participants are assigned to arms in a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Randomized: Participants are assigned to intervention groups by chance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Interventional study model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strategy for assigning interventions to participants.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Parallel: Participants are assigned to one of two or more groups in parallel for the duration of the study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Sponsor/source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entity (for example, corporation or agency) that initiates the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Industry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start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estimated date on which the clinical study will be open for recruitment of participants, or the actual date on which the first participant was enrolled.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2011 or later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purpose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main objective of the intervention(s) being evaluated by the clinical trial.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 One or more interventions are being evaluated for treating a disease, syndrome, or condition.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 description of each primary outcome measure (or for observational studies, specific key measurement[s] or observation[s] used to describe patterns of diseases or traits or associations with exposures, risk factors or treatment).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Primary or secondary outcome needs to include overall survival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Overall Recruitment Status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recruitment status for the clinical study as a whole, based upon the status of the individual sites. If at least one facility in a multi-site clinical study has an Individual Site Status of "Recruiting," then the Overall Recruitment Status for the study must be "Recruiting."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Completed: The study has concluded normally; participants are no longer receiving an intervention or being examined (that is, last participant’s last visit has occurred) OR Active, not recruiting: Study is continuing, meaning participants are receiving an intervention or being examined, but new participants are not currently being recruited or enrolled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Feasibility and clinical relevance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Are all key variables available to emulate the clinical trial at hand and is the clinical trial considered clinically relevant?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Trials for which there is reasonable believe that key study parameters can be emulated and there is a high enough clinical relevance (e.g., paradigm-changing trials)</w:t>
                  </w:r>
                </w:p>
              </w:tc>
            </w:tr>
          </w:tbl>
          <w:bookmarkEnd w:id="45"/>
        </w:tc>
      </w:tr>
    </w:tbl>
    <w:tbl>
      <w:tblPr>
        <w:tblStyle w:val="Table"/>
        <w:tblW w:type="pct" w:w="5000"/>
        <w:tblLayout w:type="fixed"/>
        <w:tblLook w:firstRow="0" w:lastRow="0" w:firstColumn="0" w:lastColumn="0" w:noHBand="0" w:noVBand="0" w:val="0000"/>
      </w:tblPr>
      <w:tblGrid>
        <w:gridCol w:w="7920"/>
      </w:tblGrid>
      <w:tr>
        <w:tc>
          <w:tcPr/>
          <w:bookmarkStart w:id="46" w:name="tbl-rcts"/>
          <w:p>
            <w:pPr>
              <w:jc w:val="center"/>
            </w:pPr>
            <w:pPr>
              <w:jc w:val="start"/>
              <w:spacing w:before="200"/>
              <w:pStyle w:val="ImageCaption"/>
            </w:pPr>
            <w:r>
              <w:t xml:space="preserve">Table 2: Tentative list of randomized controlled trials (RCTs) considered for emulation.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NCTID</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Acronym</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Clinical setting</w:t>
                  </w:r>
                </w:p>
              </w:tc>
              <w:tc>
                <w:tcPr>
                  <w:tcBorders>
                    <w:top w:val="single" w:sz="16" w:space="0" w:color="D3D3D3"/>
                    <w:bottom w:val="single" w:sz="16" w:space="0" w:color="D3D3D3"/>
                  </w:tcBorders>
                </w:tcPr>
                <w:p>
                  <w:pPr>
                    <w:spacing w:before="0" w:after="60"/>
                    <w:keepNext/>
                    <w:jc w:val="start"/>
                  </w:pPr>
                  <w:r>
                    <w:rPr>
                      <w:b w:val="true"/>
                      <w:rFonts w:ascii="Calibri" w:hAnsi="Calibri"/>
                      <w:sz w:val="20"/>
                    </w:rPr>
                    <w:t xml:space="preserve">Line of therapy</w:t>
                  </w:r>
                </w:p>
              </w:tc>
              <w:tc>
                <w:tcPr>
                  <w:tcBorders>
                    <w:top w:val="single" w:sz="16" w:space="0" w:color="D3D3D3"/>
                    <w:bottom w:val="single" w:sz="16" w:space="0" w:color="D3D3D3"/>
                    <w:end w:val="single" w:space="0" w:color="D3D3D3"/>
                  </w:tcBorders>
                </w:tcPr>
                <w:p>
                  <w:pPr>
                    <w:spacing w:before="0" w:after="60"/>
                    <w:keepNext/>
                    <w:jc w:val="start"/>
                  </w:pPr>
                  <w:r>
                    <w:rPr>
                      <w:b w:val="true"/>
                      <w:rFonts w:ascii="Calibri" w:hAnsi="Calibri"/>
                      <w:sz w:val="20"/>
                    </w:rPr>
                    <w:t xml:space="preserve">Treatment comparison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Non-small cell lung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NCT02296125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FLAURA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Advanced/metastatic EGFRm+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osimertinib versus erlotinib or gefitinib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NCT01673867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CheckMate057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non-squamous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versus docetaxel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NCT03215706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CheckMate9LA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nivolumab, ipilimumab, chemotherapy versus chemotherapy alone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Breast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PALOMA-2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Advanced postmenopausal ER-positive and HER2-negative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palbociclib, letrozole versus letrozole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NCT02819518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KEYNOTE-355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Locally recurrent inoperable or metastatic triple negative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chemotherapy vs. placebo, chemotherapy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NCT01772472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KATHERINE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HER2-positive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Adjuvant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trastuzumab emtansine versus trastuzumab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Colorectal cancer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NCT04737187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SUNLIGHT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Refractory 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trifluridine, tipiracil, bevacizumab versus trifluridine, tipiracil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NCT01374425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MAVERICC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bevacizumab, mFOLFOX6 versus bevacizumab, FOLFIRI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NCT02563002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KEYNOTE-177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Metastatic microsatellite instability-high (MSI-H) or mismatch repair deficient (dMMR)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pembrolizumab versus standard of care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Multiple Myeloma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NCT01568866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ENDEAVOR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Relapsing or progressing disease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2L/3L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carfilzomib, dexamethasone versus bortezomib,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NCT02252172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Newly diagnosed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daratumumab, lenalidomide, dexamethasone versus lenalidomide, dexamethasone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NCT01239797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ELOQUENT - 2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Relapsed or refractory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elotuzumab, lenalidomide, dexamethasone versus lenalidomide, dexamethasone</w:t>
                  </w:r>
                </w:p>
              </w:tc>
            </w:tr>
          </w:tbl>
          <w:bookmarkEnd w:id="46"/>
        </w:tc>
      </w:tr>
    </w:tbl>
    <w:p>
      <w:r>
        <w:br w:type="page"/>
      </w:r>
    </w:p>
    <w:bookmarkEnd w:id="47"/>
    <w:bookmarkStart w:id="53"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51"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49" name="Picture"/>
                  <a:graphic>
                    <a:graphicData uri="http://schemas.openxmlformats.org/drawingml/2006/picture">
                      <pic:pic>
                        <pic:nvPicPr>
                          <pic:cNvPr descr="../figures/process.pn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bookmarkEnd w:id="51"/>
        </w:tc>
      </w:tr>
    </w:tbl>
    <w:p>
      <w:pPr>
        <w:pStyle w:val="BodyText"/>
      </w:pPr>
      <w:hyperlink r:id="rId52">
        <w:r>
          <w:rPr>
            <w:rStyle w:val="Hyperlink"/>
          </w:rPr>
          <w:t xml:space="preserve">View figure in higher resolution</w:t>
        </w:r>
      </w:hyperlink>
    </w:p>
    <w:p>
      <w:pPr>
        <w:sectPr>
          <w:pgSz w:h="11906" w:w="16838" w:orient="landscape"/>
        </w:sectPr>
      </w:pPr>
    </w:p>
    <w:p>
      <w:pPr>
        <w:sectPr>
          <w:pgSz w:h="11906" w:w="16838" w:orient="landscape"/>
        </w:sectPr>
      </w:pPr>
    </w:p>
    <w:bookmarkEnd w:id="53"/>
    <w:bookmarkEnd w:id="54"/>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hyperlink" Id="rId42"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28" Target="http://dx.doi.org/10.1016/j.annepidem.2022.07.007" TargetMode="External" /><Relationship Type="http://schemas.openxmlformats.org/officeDocument/2006/relationships/hyperlink" Id="rId34" Target="https://doi.org/10.1001/jama.2023.4221" TargetMode="External" /><Relationship Type="http://schemas.openxmlformats.org/officeDocument/2006/relationships/hyperlink" Id="rId36" Target="https://doi.org/10.1136/bmjmed-2023-000709" TargetMode="External" /><Relationship Type="http://schemas.openxmlformats.org/officeDocument/2006/relationships/hyperlink" Id="rId52" Target="https://github.com/janickweberpals/encore-process-manuscript/blob/main/figures/process.png" TargetMode="External" /><Relationship Type="http://schemas.openxmlformats.org/officeDocument/2006/relationships/hyperlink" Id="rId38" Target="https://www.fda.gov/about-fda/oncology-center-excellence/calibrating-real-world-evidence-studies-oncology-against-randomized-trials-encore" TargetMode="External" /></Relationships>
</file>

<file path=word/_rels/footnotes.xml.rels><?xml version="1.0" encoding="UTF-8"?><Relationships xmlns="http://schemas.openxmlformats.org/package/2006/relationships"><Relationship Type="http://schemas.openxmlformats.org/officeDocument/2006/relationships/hyperlink" Id="rId42"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28" Target="http://dx.doi.org/10.1016/j.annepidem.2022.07.007" TargetMode="External" /><Relationship Type="http://schemas.openxmlformats.org/officeDocument/2006/relationships/hyperlink" Id="rId34" Target="https://doi.org/10.1001/jama.2023.4221" TargetMode="External" /><Relationship Type="http://schemas.openxmlformats.org/officeDocument/2006/relationships/hyperlink" Id="rId36" Target="https://doi.org/10.1136/bmjmed-2023-000709" TargetMode="External" /><Relationship Type="http://schemas.openxmlformats.org/officeDocument/2006/relationships/hyperlink" Id="rId52" Target="https://github.com/janickweberpals/encore-process-manuscript/blob/main/figures/process.png" TargetMode="External" /><Relationship Type="http://schemas.openxmlformats.org/officeDocument/2006/relationships/hyperlink" Id="rId38" Target="https://www.fda.gov/about-fda/oncology-center-excellence/calibrating-real-world-evidence-studies-oncology-against-randomized-trials-enc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2024-11-28T19:39:08Z</dcterms:created>
  <dcterms:modified xsi:type="dcterms:W3CDTF">2024-11-28T19:39:08Z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