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5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2024-11-29 10:29:30.268856</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include and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use of real-world data (RWD) for biomarker discovery and label extensions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 with which non-interventional study designs and analysis methods.</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conducting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p>
      <w:r>
        <w:br w:type="page"/>
      </w:r>
    </w:p>
    <w:bookmarkEnd w:id="22"/>
    <w:bookmarkStart w:id="27"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focus of the project is on trials of therapies for the most common cancers and/or cancers for which there has been substantial therapeutic development in recent years. After careful review exchange with clinical and regulatory experts, four cancer indications were identified including lung cancer, breast cancer, colorectal cancer and multiple myeloma. For each cancer we aim to conduct three trial emulations which will be implemented using multiple databases which will be accessible for the scope of this project (i.e. the total number of emulations will equal 12 trials x n databases which are found fit-for-purpose for each trial).</w:t>
      </w:r>
    </w:p>
    <w:p>
      <w:pPr>
        <w:pStyle w:val="BodyText"/>
      </w:pPr>
      <w:r>
        <w:t xml:space="preserve">The trial selection will follow a semi-automated process for which we will document the eligibility criteria and decisions,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in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Primary or secondary endpoint must be overall survival</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While all but the last criteria are highly objective and can be used to filter potential trials in an automated fashion, the last criterion on emulation feasibility and clinical relevance involves extensive human review, a thorough feasibility assessment in context of available databases and discussion with clinical and regulatory experts. The aim is to identify a broad and diverse set of potentially feasible RCTs for which there is reasonable believe that key study parameters can be emulated and there is a high enough clinical relevance for regulatory decision-making (e.g., paradigm-changing trials).</w:t>
      </w:r>
    </w:p>
    <w:bookmarkEnd w:id="23"/>
    <w:bookmarkStart w:id="24" w:name="databases"/>
    <w:p>
      <w:pPr>
        <w:pStyle w:val="Heading2"/>
      </w:pPr>
      <w:r>
        <w:t xml:space="preserve">Databases</w:t>
      </w:r>
    </w:p>
    <w:bookmarkEnd w:id="24"/>
    <w:bookmarkStart w:id="25" w:name="protocol-development"/>
    <w:p>
      <w:pPr>
        <w:pStyle w:val="Heading2"/>
      </w:pPr>
      <w:r>
        <w:t xml:space="preserve">Protocol development</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t xml:space="preserve">…</w:t>
      </w:r>
      <w:r>
        <w:rPr>
          <w:vertAlign w:val="superscript"/>
        </w:rPr>
        <w:t xml:space="preserve">15</w:t>
      </w:r>
    </w:p>
    <w:p>
      <w:pPr>
        <w:pStyle w:val="BodyText"/>
      </w:pPr>
      <w:r>
        <w:t xml:space="preserve">Agreement metrics</w:t>
      </w:r>
    </w:p>
    <w:p>
      <w:r>
        <w:br w:type="page"/>
      </w:r>
    </w:p>
    <w:bookmarkEnd w:id="26"/>
    <w:bookmarkEnd w:id="27"/>
    <w:bookmarkStart w:id="29" w:name="discussion"/>
    <w:p>
      <w:pPr>
        <w:pStyle w:val="Heading1"/>
      </w:pPr>
      <w:r>
        <w:t xml:space="preserve">Discussion</w:t>
      </w:r>
    </w:p>
    <w:p>
      <w:pPr>
        <w:pStyle w:val="FirstParagraph"/>
      </w:pPr>
      <w:r>
        <w:t xml:space="preserve">…</w:t>
      </w:r>
    </w:p>
    <w:bookmarkStart w:id="28" w:name="conclusions"/>
    <w:p>
      <w:pPr>
        <w:pStyle w:val="Heading2"/>
      </w:pPr>
      <w:r>
        <w:t xml:space="preserve">Conclusions</w:t>
      </w:r>
    </w:p>
    <w:p>
      <w:pPr>
        <w:pStyle w:val="FirstParagraph"/>
      </w:pPr>
      <w:r>
        <w:t xml:space="preserve">…</w:t>
      </w:r>
    </w:p>
    <w:p>
      <w:r>
        <w:br w:type="page"/>
      </w:r>
    </w:p>
    <w:bookmarkEnd w:id="28"/>
    <w:bookmarkEnd w:id="29"/>
    <w:bookmarkStart w:id="52" w:name="references"/>
    <w:p>
      <w:pPr>
        <w:pStyle w:val="Heading1"/>
      </w:pPr>
      <w:r>
        <w:t xml:space="preserve">References</w:t>
      </w:r>
    </w:p>
    <w:bookmarkStart w:id="51" w:name="refs"/>
    <w:bookmarkStart w:id="31" w:name="ref-RWEFDA"/>
    <w:p>
      <w:pPr>
        <w:pStyle w:val="Bibliography"/>
      </w:pPr>
      <w:r>
        <w:rPr>
          <w:b/>
          <w:bCs/>
        </w:rPr>
        <w:t xml:space="preserve">1</w:t>
      </w:r>
      <w:r>
        <w:t xml:space="preserve">. Framework for FDA’s real-world evidence program (last accessed 11/28/2024) [Internet], 2018Available from:</w:t>
      </w:r>
      <w:r>
        <w:t xml:space="preserve"> </w:t>
      </w:r>
      <w:hyperlink r:id="rId30">
        <w:r>
          <w:rPr>
            <w:rStyle w:val="Hyperlink"/>
          </w:rPr>
          <w:t xml:space="preserve">https://www.fda.gov/media/120060/download?attachment</w:t>
        </w:r>
      </w:hyperlink>
    </w:p>
    <w:bookmarkEnd w:id="31"/>
    <w:bookmarkStart w:id="32"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2"/>
    <w:bookmarkStart w:id="33" w:name="ref-senior2024fresh"/>
    <w:p>
      <w:pPr>
        <w:pStyle w:val="Bibliography"/>
      </w:pPr>
      <w:r>
        <w:rPr>
          <w:b/>
          <w:bCs/>
        </w:rPr>
        <w:t xml:space="preserve">3</w:t>
      </w:r>
      <w:r>
        <w:t xml:space="preserve">. Senior M: Fresh from the biotech pipeline: Record-breaking FDA approvals. Nature Biotechnology, 2024</w:t>
      </w:r>
    </w:p>
    <w:bookmarkEnd w:id="33"/>
    <w:bookmarkStart w:id="35"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4">
        <w:r>
          <w:rPr>
            <w:rStyle w:val="Hyperlink"/>
          </w:rPr>
          <w:t xml:space="preserve">http://dx.doi.org/10.1016/j.annepidem.2022.07.007</w:t>
        </w:r>
      </w:hyperlink>
    </w:p>
    <w:bookmarkEnd w:id="35"/>
    <w:bookmarkStart w:id="36"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6"/>
    <w:bookmarkStart w:id="37"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7"/>
    <w:bookmarkStart w:id="38"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8"/>
    <w:bookmarkStart w:id="39"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39"/>
    <w:bookmarkStart w:id="41" w:name="ref-wang2023emulation"/>
    <w:p>
      <w:pPr>
        <w:pStyle w:val="Bibliography"/>
      </w:pPr>
      <w:r>
        <w:rPr>
          <w:b/>
          <w:bCs/>
        </w:rPr>
        <w:t xml:space="preserve">9</w:t>
      </w:r>
      <w:r>
        <w:t xml:space="preserve">. Wang SV, Schneeweiss S, Franklin JM, et al:</w:t>
      </w:r>
      <w:r>
        <w:t xml:space="preserve"> </w:t>
      </w:r>
      <w:hyperlink r:id="rId40">
        <w:r>
          <w:rPr>
            <w:rStyle w:val="Hyperlink"/>
          </w:rPr>
          <w:t xml:space="preserve">Emulation of randomized clinical trials with nonrandomized database analyses: Results of 32 clinical trials</w:t>
        </w:r>
      </w:hyperlink>
      <w:r>
        <w:t xml:space="preserve">. Jama 329:1376–1385, 2023</w:t>
      </w:r>
    </w:p>
    <w:bookmarkEnd w:id="41"/>
    <w:bookmarkStart w:id="43"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2">
        <w:r>
          <w:rPr>
            <w:rStyle w:val="Hyperlink"/>
          </w:rPr>
          <w:t xml:space="preserve">https://doi.org/10.1136/bmjmed-2023-000709</w:t>
        </w:r>
      </w:hyperlink>
    </w:p>
    <w:bookmarkEnd w:id="43"/>
    <w:bookmarkStart w:id="45"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4">
        <w:r>
          <w:rPr>
            <w:rStyle w:val="Hyperlink"/>
          </w:rPr>
          <w:t xml:space="preserve">https://www.fda.gov/about-fda/oncology-center-excellence/calibrating-real-world-evidence-studies-oncology-against-randomized-trials-encore</w:t>
        </w:r>
      </w:hyperlink>
    </w:p>
    <w:bookmarkEnd w:id="45"/>
    <w:bookmarkStart w:id="46"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6"/>
    <w:bookmarkStart w:id="47"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7"/>
    <w:bookmarkStart w:id="48"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8"/>
    <w:bookmarkStart w:id="50" w:name="ref-weberpals2024"/>
    <w:p>
      <w:pPr>
        <w:pStyle w:val="Bibliography"/>
      </w:pPr>
      <w:r>
        <w:rPr>
          <w:b/>
          <w:bCs/>
        </w:rPr>
        <w:t xml:space="preserve">15</w:t>
      </w:r>
      <w:r>
        <w:t xml:space="preserve">. Weberpals J, Raman SR, Shaw PA, et al: A principled approach to characterize and analyze partially observed confounder data from electronic health records [Internet]. Clinical Epidemiology 16:329–343, 2024Available from:</w:t>
      </w:r>
      <w:hyperlink r:id="rId49">
        <w:r>
          <w:rPr>
            <w:rStyle w:val="Hyperlink"/>
          </w:rPr>
          <w:t xml:space="preserve"> </w:t>
        </w:r>
        <w:r>
          <w:rPr>
            <w:rStyle w:val="Hyperlink"/>
          </w:rPr>
          <w:t xml:space="preserve">https://www.tandfonline.com/doi/abs/10.2147/CLEP.S436131</w:t>
        </w:r>
        <w:r>
          <w:rPr>
            <w:rStyle w:val="Hyperlink"/>
          </w:rPr>
          <w:t xml:space="preserve"> </w:t>
        </w:r>
      </w:hyperlink>
    </w:p>
    <w:bookmarkEnd w:id="50"/>
    <w:bookmarkEnd w:id="51"/>
    <w:p>
      <w:r>
        <w:br w:type="page"/>
      </w:r>
    </w:p>
    <w:bookmarkEnd w:id="52"/>
    <w:bookmarkStart w:id="61" w:name="tables"/>
    <w:p>
      <w:pPr>
        <w:pStyle w:val="Heading1"/>
      </w:pPr>
      <w:r>
        <w:t xml:space="preserve">Tables</w:t>
      </w:r>
    </w:p>
    <w:p>
      <w:pPr>
        <w:pStyle w:val="SourceCode"/>
      </w:pPr>
      <w:r>
        <w:rPr>
          <w:rStyle w:val="VerbatimChar"/>
        </w:rPr>
        <w:t xml:space="preserve">file:////tmp/Rtmpizd53v/file12f27575885c.html screenshot completed</w:t>
      </w:r>
    </w:p>
    <w:tbl>
      <w:tblPr>
        <w:tblStyle w:val="Table"/>
        <w:tblW w:type="pct" w:w="5000"/>
        <w:tblLayout w:type="fixed"/>
        <w:tblLook w:firstRow="0" w:lastRow="0" w:firstColumn="0" w:lastColumn="0" w:noHBand="0" w:noVBand="0" w:val="0000"/>
      </w:tblPr>
      <w:tblGrid>
        <w:gridCol w:w="7920"/>
      </w:tblGrid>
      <w:tr>
        <w:tc>
          <w:tcPr/>
          <w:bookmarkStart w:id="56"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54" name="Picture"/>
                  <a:graphic>
                    <a:graphicData uri="http://schemas.openxmlformats.org/drawingml/2006/picture">
                      <pic:pic>
                        <pic:nvPicPr>
                          <pic:cNvPr descr="../tables/Table_1_trial_eligibility.png" id="55" name="Picture"/>
                          <pic:cNvPicPr>
                            <a:picLocks noChangeArrowheads="1" noChangeAspect="1"/>
                          </pic:cNvPicPr>
                        </pic:nvPicPr>
                        <pic:blipFill>
                          <a:blip r:embed="rId53"/>
                          <a:stretch>
                            <a:fillRect/>
                          </a:stretch>
                        </pic:blipFill>
                        <pic:spPr bwMode="auto">
                          <a:xfrm>
                            <a:off x="0" y="0"/>
                            <a:ext cx="5943600" cy="5414333"/>
                          </a:xfrm>
                          <a:prstGeom prst="rect">
                            <a:avLst/>
                          </a:prstGeom>
                          <a:noFill/>
                          <a:ln w="9525">
                            <a:noFill/>
                            <a:headEnd/>
                            <a:tailEnd/>
                          </a:ln>
                        </pic:spPr>
                      </pic:pic>
                    </a:graphicData>
                  </a:graphic>
                </wp:inline>
              </w:drawing>
            </w:r>
          </w:p>
          <w:bookmarkEnd w:id="56"/>
        </w:tc>
      </w:tr>
    </w:tbl>
    <w:p>
      <w:pPr>
        <w:pStyle w:val="SourceCode"/>
      </w:pPr>
      <w:r>
        <w:rPr>
          <w:rStyle w:val="VerbatimChar"/>
        </w:rPr>
        <w:t xml:space="preserve">file:////tmp/Rtmpizd53v/file12f2436f4987.html screenshot completed</w:t>
      </w:r>
    </w:p>
    <w:tbl>
      <w:tblPr>
        <w:tblStyle w:val="Table"/>
        <w:tblW w:type="pct" w:w="5000"/>
        <w:tblLayout w:type="fixed"/>
        <w:tblLook w:firstRow="0" w:lastRow="0" w:firstColumn="0" w:lastColumn="0" w:noHBand="0" w:noVBand="0" w:val="0000"/>
      </w:tblPr>
      <w:tblGrid>
        <w:gridCol w:w="7920"/>
      </w:tblGrid>
      <w:tr>
        <w:tc>
          <w:tcPr/>
          <w:bookmarkStart w:id="60"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5834096"/>
                  <wp:effectExtent b="0" l="0" r="0" t="0"/>
                  <wp:docPr descr="" title="" id="58" name="Picture"/>
                  <a:graphic>
                    <a:graphicData uri="http://schemas.openxmlformats.org/drawingml/2006/picture">
                      <pic:pic>
                        <pic:nvPicPr>
                          <pic:cNvPr descr="../tables/Table_2_trial_selection.png" id="59" name="Picture"/>
                          <pic:cNvPicPr>
                            <a:picLocks noChangeArrowheads="1" noChangeAspect="1"/>
                          </pic:cNvPicPr>
                        </pic:nvPicPr>
                        <pic:blipFill>
                          <a:blip r:embed="rId57"/>
                          <a:stretch>
                            <a:fillRect/>
                          </a:stretch>
                        </pic:blipFill>
                        <pic:spPr bwMode="auto">
                          <a:xfrm>
                            <a:off x="0" y="0"/>
                            <a:ext cx="5943600" cy="5834096"/>
                          </a:xfrm>
                          <a:prstGeom prst="rect">
                            <a:avLst/>
                          </a:prstGeom>
                          <a:noFill/>
                          <a:ln w="9525">
                            <a:noFill/>
                            <a:headEnd/>
                            <a:tailEnd/>
                          </a:ln>
                        </pic:spPr>
                      </pic:pic>
                    </a:graphicData>
                  </a:graphic>
                </wp:inline>
              </w:drawing>
            </w:r>
          </w:p>
          <w:bookmarkEnd w:id="60"/>
        </w:tc>
      </w:tr>
    </w:tbl>
    <w:p>
      <w:r>
        <w:br w:type="page"/>
      </w:r>
    </w:p>
    <w:bookmarkEnd w:id="61"/>
    <w:bookmarkStart w:id="67"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65"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63" name="Picture"/>
                  <a:graphic>
                    <a:graphicData uri="http://schemas.openxmlformats.org/drawingml/2006/picture">
                      <pic:pic>
                        <pic:nvPicPr>
                          <pic:cNvPr descr="../figures/process.png" id="64"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bookmarkEnd w:id="65"/>
        </w:tc>
      </w:tr>
    </w:tbl>
    <w:p>
      <w:pPr>
        <w:pStyle w:val="BodyText"/>
      </w:pPr>
      <w:hyperlink r:id="rId66">
        <w:r>
          <w:rPr>
            <w:rStyle w:val="Hyperlink"/>
          </w:rPr>
          <w:t xml:space="preserve">View figure in higher resolution here</w:t>
        </w:r>
      </w:hyperlink>
    </w:p>
    <w:bookmarkEnd w:id="67"/>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66"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49"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66"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2024-11-29T10:29:42Z</dcterms:created>
  <dcterms:modified xsi:type="dcterms:W3CDTF">2024-11-29T10:29:42Z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