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 Process for the Emulation of Comparative Oncology Trials with Real-world Evidence (ENCORE)</w:t>
      </w:r>
    </w:p>
    <w:p>
      <w:pPr>
        <w:pStyle w:val="FirstParagraph"/>
      </w:pPr>
      <w:r>
        <w:rPr>
          <w:b/>
          <w:bCs/>
        </w:rPr>
        <w:t xml:space="preserve">Authors</w:t>
      </w:r>
      <w:r>
        <w:t xml:space="preserve">: Janick Weberpals</w:t>
      </w:r>
      <w:r>
        <w:rPr>
          <w:vertAlign w:val="superscript"/>
        </w:rPr>
        <w:t xml:space="preserve">1</w:t>
      </w:r>
      <w:r>
        <w:t xml:space="preserve">, Donna R. Rivera</w:t>
      </w:r>
      <w:r>
        <w:rPr>
          <w:vertAlign w:val="superscript"/>
        </w:rPr>
        <w:t xml:space="preserve">2</w:t>
      </w:r>
      <w:r>
        <w:t xml:space="preserve">, …, Sebastian Schneeweiss</w:t>
      </w:r>
      <w:r>
        <w:rPr>
          <w:vertAlign w:val="superscript"/>
        </w:rPr>
        <w:t xml:space="preserve">1</w:t>
      </w:r>
      <w:r>
        <w:t xml:space="preserve">, Shirley V. Wang</w:t>
      </w:r>
      <w:r>
        <w:rPr>
          <w:vertAlign w:val="superscript"/>
        </w:rPr>
        <w:t xml:space="preserve">1</w:t>
      </w:r>
    </w:p>
    <w:p>
      <w:pPr>
        <w:pStyle w:val="BodyText"/>
      </w:pPr>
      <w:r>
        <w:rPr>
          <w:u w:val="single"/>
        </w:rPr>
        <w:t xml:space="preserve">Author affiliations:</w:t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 </w:t>
      </w:r>
      <w:r>
        <w:t xml:space="preserve">Division of Pharmacoepidemiology and Pharmacoeconomics, Department of Medicine, Brigham and Women’s Hospital, Harvard Medical School, Boston, MA, USA</w:t>
      </w:r>
    </w:p>
    <w:p>
      <w:pPr>
        <w:pStyle w:val="BodyText"/>
      </w:pPr>
      <w:r>
        <w:rPr>
          <w:vertAlign w:val="superscript"/>
        </w:rPr>
        <w:t xml:space="preserve">2</w:t>
      </w:r>
      <w:r>
        <w:t xml:space="preserve"> </w:t>
      </w:r>
      <w:r>
        <w:t xml:space="preserve">Oncology Center of Excellence, US Food and Drug Administration, Silver Spring, MD, USA</w:t>
      </w:r>
    </w:p>
    <w:p>
      <w:pPr>
        <w:pStyle w:val="BodyText"/>
      </w:pPr>
      <w:r>
        <w:rPr>
          <w:b/>
          <w:bCs/>
          <w:u w:val="single"/>
        </w:rPr>
        <w:t xml:space="preserve">Correspondence:</w:t>
      </w:r>
    </w:p>
    <w:p>
      <w:pPr>
        <w:pStyle w:val="BodyText"/>
      </w:pPr>
      <w:r>
        <w:t xml:space="preserve">Shirley V. Wang, PhD</w:t>
      </w:r>
    </w:p>
    <w:p>
      <w:pPr>
        <w:pStyle w:val="BodyText"/>
      </w:pPr>
      <w:r>
        <w:t xml:space="preserve">Division of Pharmacoepidemiology and Pharmacoeconomics,</w:t>
      </w:r>
    </w:p>
    <w:p>
      <w:pPr>
        <w:pStyle w:val="BodyText"/>
      </w:pPr>
      <w:r>
        <w:t xml:space="preserve">Department of Medicine, Brigham and Women’s Hospital, Harvard Medical School,</w:t>
      </w:r>
    </w:p>
    <w:p>
      <w:pPr>
        <w:pStyle w:val="BodyText"/>
      </w:pPr>
      <w:r>
        <w:t xml:space="preserve">1620 Tremont Street, Suite 3030-R, Boston, MA 02120, USA</w:t>
      </w:r>
    </w:p>
    <w:p>
      <w:pPr>
        <w:pStyle w:val="BodyText"/>
      </w:pPr>
      <w:r>
        <w:t xml:space="preserve">Phone: +1 617-278-0932</w:t>
      </w:r>
    </w:p>
    <w:p>
      <w:pPr>
        <w:pStyle w:val="BodyText"/>
      </w:pPr>
      <w:r>
        <w:t xml:space="preserve">Fax: + 1 617-232-8602</w:t>
      </w:r>
    </w:p>
    <w:p>
      <w:pPr>
        <w:pStyle w:val="BodyText"/>
      </w:pPr>
      <w:r>
        <w:t xml:space="preserve">Email:</w:t>
      </w:r>
      <w:r>
        <w:t xml:space="preserve"> </w:t>
      </w:r>
      <w:hyperlink r:id="rId20">
        <w:r>
          <w:rPr>
            <w:rStyle w:val="Hyperlink"/>
          </w:rPr>
          <w:t xml:space="preserve">SWANG1@BWH.HARVARD.EDU</w:t>
        </w:r>
      </w:hyperlink>
    </w:p>
    <w:p>
      <w:pPr>
        <w:pStyle w:val="BodyText"/>
      </w:pPr>
      <w:r>
        <w:rPr>
          <w:b/>
          <w:bCs/>
          <w:u w:val="single"/>
        </w:rPr>
        <w:t xml:space="preserve">Article type:</w:t>
      </w:r>
      <w:r>
        <w:t xml:space="preserve"> </w:t>
      </w:r>
      <w:r>
        <w:t xml:space="preserve">Review</w:t>
      </w:r>
    </w:p>
    <w:p>
      <w:pPr>
        <w:pStyle w:val="BodyText"/>
      </w:pPr>
      <w:r>
        <w:rPr>
          <w:b/>
          <w:bCs/>
          <w:u w:val="single"/>
        </w:rPr>
        <w:t xml:space="preserve">Word count:</w:t>
      </w:r>
      <w:r>
        <w:t xml:space="preserve"> </w:t>
      </w:r>
      <w:r>
        <w:t xml:space="preserve">xxx words / xxx words</w:t>
      </w:r>
    </w:p>
    <w:p>
      <w:pPr>
        <w:pStyle w:val="BodyText"/>
      </w:pPr>
      <w:r>
        <w:rPr>
          <w:b/>
          <w:bCs/>
          <w:u w:val="single"/>
        </w:rPr>
        <w:t xml:space="preserve">Tables:</w:t>
      </w:r>
      <w:r>
        <w:t xml:space="preserve"> </w:t>
      </w:r>
      <w:r>
        <w:t xml:space="preserve">x</w:t>
      </w:r>
    </w:p>
    <w:p>
      <w:pPr>
        <w:pStyle w:val="BodyText"/>
      </w:pPr>
      <w:r>
        <w:rPr>
          <w:b/>
          <w:bCs/>
          <w:u w:val="single"/>
        </w:rPr>
        <w:t xml:space="preserve">Figures:</w:t>
      </w:r>
      <w:r>
        <w:t xml:space="preserve"> </w:t>
      </w:r>
      <w:r>
        <w:t xml:space="preserve">x</w:t>
      </w:r>
    </w:p>
    <w:p>
      <w:pPr>
        <w:pStyle w:val="BodyText"/>
      </w:pPr>
      <w:r>
        <w:rPr>
          <w:b/>
          <w:bCs/>
          <w:u w:val="single"/>
        </w:rPr>
        <w:t xml:space="preserve">Supplementary material:</w:t>
      </w:r>
      <w:r>
        <w:t xml:space="preserve"> </w:t>
      </w:r>
      <w:r>
        <w:t xml:space="preserve">Supplementary tables and figures</w:t>
      </w:r>
    </w:p>
    <w:p>
      <w:pPr>
        <w:pStyle w:val="BodyText"/>
      </w:pPr>
      <w:r>
        <w:rPr>
          <w:b/>
          <w:bCs/>
          <w:u w:val="single"/>
        </w:rPr>
        <w:t xml:space="preserve">Short running title</w:t>
      </w:r>
      <w:r>
        <w:t xml:space="preserve">: …</w:t>
      </w:r>
    </w:p>
    <w:p>
      <w:pPr>
        <w:pStyle w:val="BodyText"/>
      </w:pPr>
      <w:r>
        <w:rPr>
          <w:b/>
          <w:bCs/>
          <w:u w:val="single"/>
        </w:rPr>
        <w:t xml:space="preserve">Keywords:</w:t>
      </w:r>
      <w:r>
        <w:t xml:space="preserve"> </w:t>
      </w:r>
      <w:r>
        <w:t xml:space="preserve">Oncology, Real-World Evidence, Trial emulation, EHR</w:t>
      </w:r>
    </w:p>
    <w:p>
      <w:pPr>
        <w:pStyle w:val="BodyText"/>
      </w:pPr>
      <w:r>
        <w:rPr>
          <w:b/>
          <w:bCs/>
          <w:u w:val="single"/>
        </w:rPr>
        <w:t xml:space="preserve">Funding Statement:</w:t>
      </w:r>
      <w:r>
        <w:t xml:space="preserve"> </w:t>
      </w:r>
      <w:r>
        <w:t xml:space="preserve">This project was supported by …</w:t>
      </w:r>
    </w:p>
    <w:p>
      <w:pPr>
        <w:pStyle w:val="BodyText"/>
      </w:pPr>
      <w:r>
        <w:rPr>
          <w:b/>
          <w:bCs/>
          <w:u w:val="single"/>
        </w:rPr>
        <w:t xml:space="preserve">Competing Interests Statement:</w:t>
      </w:r>
      <w:r>
        <w:t xml:space="preserve"> </w:t>
      </w:r>
      <w:r>
        <w:t xml:space="preserve">Dr. Weberpals is now an employee of AstraZeneca and owns stocks in AstraZeneca. Dr. Wang has consulted ad hoc for Exponent Inc. and MITRE a federally funded research center for the Centers for Medicare and Medicaid Services on unrelated work. Dr. Schneeweiss is participating in investigator-initiated grants to the Brigham and Women’s Hospital from Boehringer Ingelheim, Takeda, and UCB unrelated to the topic of this study. He owns equity in Aetion Inc., a software manufacturer. He is an advisor to Temedica GmbH, a patient-oriented data generation company. His interests were declared, reviewed, and approved by the Brigham and Women’s Hospital in accordance with their institutional compliance policies.</w:t>
      </w:r>
    </w:p>
    <w:p>
      <w:pPr>
        <w:pStyle w:val="BodyText"/>
      </w:pPr>
      <w:r>
        <w:rPr>
          <w:b/>
          <w:bCs/>
          <w:u w:val="single"/>
        </w:rPr>
        <w:t xml:space="preserve">Data sharing statement:</w:t>
      </w:r>
      <w:r>
        <w:t xml:space="preserve"> </w:t>
      </w:r>
      <w:r>
        <w:t xml:space="preserve">…</w:t>
      </w:r>
    </w:p>
    <w:p>
      <w:pPr>
        <w:pStyle w:val="BodyText"/>
      </w:pPr>
      <w:r>
        <w:rPr>
          <w:b/>
          <w:bCs/>
          <w:u w:val="single"/>
        </w:rPr>
        <w:t xml:space="preserve">Analytic code sharing statement:</w:t>
      </w:r>
      <w:r>
        <w:t xml:space="preserve"> </w:t>
      </w:r>
      <w:r>
        <w:t xml:space="preserve">…</w:t>
      </w:r>
    </w:p>
    <w:p>
      <w:pPr>
        <w:pStyle w:val="BodyText"/>
      </w:pPr>
      <w:r>
        <w:rPr>
          <w:b/>
          <w:bCs/>
          <w:i/>
          <w:iCs/>
          <w:u w:val="single"/>
        </w:rPr>
        <w:t xml:space="preserve">Proposed target journals:</w:t>
      </w:r>
      <w:r>
        <w:t xml:space="preserve"> </w:t>
      </w:r>
      <w:r>
        <w:rPr>
          <w:i/>
          <w:iCs/>
        </w:rPr>
        <w:t xml:space="preserve">JCO CCI =&gt; JAMA Network Open =&gt; CPT</w:t>
      </w:r>
    </w:p>
    <w:p>
      <w:pPr>
        <w:pStyle w:val="BodyText"/>
      </w:pPr>
      <w:r>
        <w:rPr>
          <w:i/>
          <w:iCs/>
        </w:rPr>
        <w:t xml:space="preserve">Manuscript last updated: 2024-11-28 17:40:32.462316</w:t>
      </w:r>
    </w:p>
    <w:p>
      <w:r>
        <w:br w:type="page"/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t xml:space="preserve">xxx words/xxx words</w:t>
      </w:r>
    </w:p>
    <w:p>
      <w:pPr>
        <w:pStyle w:val="BodyText"/>
      </w:pPr>
      <w:r>
        <w:t xml:space="preserve">…</w:t>
      </w:r>
    </w:p>
    <w:p>
      <w:r>
        <w:br w:type="page"/>
      </w:r>
    </w:p>
    <w:bookmarkEnd w:id="21"/>
    <w:bookmarkStart w:id="22" w:name="background"/>
    <w:p>
      <w:pPr>
        <w:pStyle w:val="Heading1"/>
      </w:pPr>
      <w:r>
        <w:t xml:space="preserve">Background</w:t>
      </w:r>
    </w:p>
    <w:p>
      <w:pPr>
        <w:pStyle w:val="FirstParagraph"/>
      </w:pPr>
      <w:r>
        <w:t xml:space="preserve">With 21% of all drug approvals, oncology was the disease area with the most FDA drug approvals in 2023.</w:t>
      </w:r>
      <w:r>
        <w:rPr>
          <w:vertAlign w:val="superscript"/>
        </w:rPr>
        <w:t xml:space="preserve">1</w:t>
      </w:r>
      <w:r>
        <w:t xml:space="preserve"> </w:t>
      </w:r>
      <w:r>
        <w:t xml:space="preserve">Although randomized controlled trials (RCTs) are considered the gold standard, decision-makers increasingly rely on real-world evidence (RWE) generated from routine-care health data such as electronic health records (EHR) to evaluate the comparative safety and effectiveness of novel cancer therapies.</w:t>
      </w:r>
      <w:r>
        <w:rPr>
          <w:b/>
          <w:bCs/>
          <w:vertAlign w:val="superscript"/>
        </w:rPr>
        <w:t xml:space="preserve">purpura2022role?</w:t>
      </w:r>
      <w:r>
        <w:t xml:space="preserve"> </w:t>
      </w:r>
      <w:r>
        <w:t xml:space="preserve">Especially in the field of precision oncology, RWE has many essential use cases and plays a critical role in complementing evidence like in patient populations that are underrepresented in RCTs, to construct external control arms in single-arm trials where active recruitment may not be feasible or in drug/biomarker discovery and label extensions among pan-tumor populations that harbor specific genomic signatures. However,</w:t>
      </w:r>
      <w:r>
        <w:t xml:space="preserve"> </w:t>
      </w:r>
      <w:r>
        <w:rPr>
          <w:u w:val="single"/>
        </w:rPr>
        <w:t xml:space="preserve">to draw causal inferences from such comparisons in non-randomized data, it is pivotal that endpoints and prognostic information can be measured reliably and at scale</w:t>
      </w:r>
      <w:r>
        <w:t xml:space="preserve">, which remains a significant challenge in oncological comparative effectiveness research (CER).</w:t>
      </w:r>
    </w:p>
    <w:p>
      <w:pPr>
        <w:pStyle w:val="BodyText"/>
      </w:pPr>
      <w:r>
        <w:t xml:space="preserve">…</w:t>
      </w:r>
      <w:r>
        <w:rPr>
          <w:vertAlign w:val="superscript"/>
        </w:rPr>
        <w:t xml:space="preserve">2</w:t>
      </w:r>
    </w:p>
    <w:p>
      <w:r>
        <w:br w:type="page"/>
      </w:r>
    </w:p>
    <w:bookmarkEnd w:id="22"/>
    <w:bookmarkStart w:id="23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rPr>
          <w:b/>
          <w:bCs/>
        </w:rPr>
        <w:t xml:space="preserve">Systematic process for understanding the validity of RWE for oncology submissions</w:t>
      </w:r>
    </w:p>
    <w:p>
      <w:r>
        <w:br w:type="page"/>
      </w:r>
    </w:p>
    <w:bookmarkEnd w:id="23"/>
    <w:bookmarkStart w:id="25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…</w:t>
      </w:r>
    </w:p>
    <w:bookmarkStart w:id="24" w:name="conclusions"/>
    <w:p>
      <w:pPr>
        <w:pStyle w:val="Heading2"/>
      </w:pPr>
      <w:r>
        <w:t xml:space="preserve">Conclusions</w:t>
      </w:r>
    </w:p>
    <w:p>
      <w:pPr>
        <w:pStyle w:val="FirstParagraph"/>
      </w:pPr>
      <w:r>
        <w:t xml:space="preserve">…</w:t>
      </w:r>
    </w:p>
    <w:p>
      <w:r>
        <w:br w:type="page"/>
      </w:r>
    </w:p>
    <w:bookmarkEnd w:id="24"/>
    <w:bookmarkEnd w:id="25"/>
    <w:bookmarkStart w:id="39" w:name="references"/>
    <w:p>
      <w:pPr>
        <w:pStyle w:val="Heading1"/>
      </w:pPr>
      <w:r>
        <w:t xml:space="preserve">References</w:t>
      </w:r>
    </w:p>
    <w:bookmarkStart w:id="29" w:name="refs"/>
    <w:bookmarkStart w:id="26" w:name="ref-senior2024fresh"/>
    <w:p>
      <w:pPr>
        <w:pStyle w:val="Bibliography"/>
      </w:pPr>
      <w:r>
        <w:rPr>
          <w:b/>
          <w:bCs/>
        </w:rPr>
        <w:t xml:space="preserve">1</w:t>
      </w:r>
      <w:r>
        <w:t xml:space="preserve">. Senior M: Fresh from the biotech pipeline: Record-breaking FDA approvals. Nature Biotechnology, 2024</w:t>
      </w:r>
    </w:p>
    <w:bookmarkEnd w:id="26"/>
    <w:bookmarkStart w:id="28" w:name="ref-weberpals2024"/>
    <w:p>
      <w:pPr>
        <w:pStyle w:val="Bibliography"/>
      </w:pPr>
      <w:r>
        <w:rPr>
          <w:b/>
          <w:bCs/>
        </w:rPr>
        <w:t xml:space="preserve">2</w:t>
      </w:r>
      <w:r>
        <w:t xml:space="preserve">. Weberpals J, Raman SR, Shaw PA, et al: Smdi: An r package to perform structural missing data investigations on partially observed confounders in real-world evidence studies [Internet]. JAMIA Open 7:ooae008, 2024Available from:</w:t>
      </w:r>
      <w:r>
        <w:t xml:space="preserve"> </w:t>
      </w:r>
      <w:hyperlink r:id="rId27">
        <w:r>
          <w:rPr>
            <w:rStyle w:val="Hyperlink"/>
          </w:rPr>
          <w:t xml:space="preserve">https://doi.org/10.1093/jamiaopen/ooae008</w:t>
        </w:r>
      </w:hyperlink>
    </w:p>
    <w:bookmarkEnd w:id="28"/>
    <w:bookmarkEnd w:id="29"/>
    <w:p>
      <w:r>
        <w:br w:type="page"/>
      </w:r>
    </w:p>
    <w:p>
      <w:pPr>
        <w:sectPr/>
      </w:pPr>
    </w:p>
    <w:p>
      <w:pPr>
        <w:sectPr/>
      </w:pPr>
    </w:p>
    <w:bookmarkStart w:id="32" w:name="tables"/>
    <w:p>
      <w:pPr>
        <w:pStyle w:val="Heading1"/>
      </w:pPr>
      <w:r>
        <w:t xml:space="preserve">Tables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tbl-criteria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Criteria .</w:t>
            </w:r>
          </w:p>
      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<w:tblPr>
              <w:tblCellMar>
                <w:top w:w="0" w:type="dxa"/>
                <w:bottom w:w="0" w:type="dxa"/>
                <w:start w:w="60" w:type="dxa"/>
                <w:end w:w="60" w:type="dxa"/>
              </w:tblCellMar>
              <w:tblW w:type="auto" w:w="0"/>
              <w:tblLook w:firstRow="0" w:lastRow="0" w:firstColumn="0" w:lastColumn="0" w:noHBand="0" w:noVBand="0"/>
              <w:jc w:val="center"/>
            </w:tblPr>
            <w:tr>
              <w:trPr>
                <w:cantSplit/>
                <w:tblHeader/>
              </w:trPr>
              <w:tc>
                <w:tcPr>
                  <w:tcBorders>
                    <w:top w:val="single" w:sz="16" w:space="0" w:color="D3D3D3"/>
                    <w:bottom w:val="single" w:sz="16" w:space="0" w:color="D3D3D3"/>
                    <w:start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Criteria</w:t>
                  </w:r>
                </w:p>
              </w:tc>
              <w:tc>
                <w:tcPr>
                  <w:tcBorders>
                    <w:top w:val="single" w:sz="16" w:space="0" w:color="D3D3D3"/>
                    <w:bottom w:val="single" w:sz="16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Definition</w:t>
                  </w:r>
                </w:p>
              </w:tc>
              <w:tc>
                <w:tcPr>
                  <w:tcBorders>
                    <w:top w:val="single" w:sz="16" w:space="0" w:color="D3D3D3"/>
                    <w:bottom w:val="single" w:sz="16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Eligible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Interventional study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nature of the investigation or investigational use for which clinical study information is being submitted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Interventional (clinical trial): Participants are assigned prospectively to an intervention or interventions according to a protocol to evaluate the effect of the intervention(s) on biomedical or other health related outcomes.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Randomized allocation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method by which participants are assigned to arms in a clinical trial.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Randomized: Participants are assigned to intervention groups by chance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Interventional study model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strategy for assigning interventions to participants.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Parallel: Participants are assigned to one of two or more groups in parallel for the duration of the study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Sponsor/source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entity (for example, corporation or agency) that initiates the study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Industry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Study start date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estimated date on which the clinical study will be open for recruitment of participants, or the actual date on which the first participant was enrolled.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2011 or later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Primary purpose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main objective of the intervention(s) being evaluated by the clinical trial.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Treatment: One or more interventions are being evaluated for treating a disease, syndrome, or condition.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Primary outcome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A description of each primary outcome measure (or for observational studies, specific key measurement[s] or observation[s] used to describe patterns of diseases or traits or associations with exposures, risk factors or treatment).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Primary or secondary outcome needs to include overall survival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Overall Recruitment Status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The recruitment status for the clinical study as a whole, based upon the status of the individual sites. If at least one facility in a multi-site clinical study has an Individual Site Status of "Recruiting," then the Overall Recruitment Status for the study must be "Recruiting."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Completed: The study has concluded normally; participants are no longer receiving an intervention or being examined (that is, last participant’s last visit has occurred) OR Active, not recruiting: Study is continuing, meaning participants are receiving an intervention or being examined, but new participants are not currently being recruited or enrolled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Feasibility and clinical relevance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Are all key variables available to emulate the clinical trial at hand and is the clinical trial considered clinically relevant?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Trials for which there is reasonable believe that key study parameters can be emulated and there is a high enough clinical relevance (e.g., paradigm-changing trials)</w:t>
                  </w:r>
                </w:p>
              </w:tc>
            </w:tr>
          </w:tbl>
          <w:bookmarkEnd w:id="30"/>
        </w:tc>
      </w:tr>
    </w:tbl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tbl-rc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Tentative list of randomized controlled trials (RCTs) considered for emulation.</w:t>
            </w:r>
          </w:p>
      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<w:tblPr>
              <w:tblCellMar>
                <w:top w:w="0" w:type="dxa"/>
                <w:bottom w:w="0" w:type="dxa"/>
                <w:start w:w="60" w:type="dxa"/>
                <w:end w:w="60" w:type="dxa"/>
              </w:tblCellMar>
              <w:tblW w:type="auto" w:w="0"/>
              <w:tblLook w:firstRow="0" w:lastRow="0" w:firstColumn="0" w:lastColumn="0" w:noHBand="0" w:noVBand="0"/>
              <w:jc w:val="center"/>
            </w:tblPr>
            <w:tr>
              <w:trPr>
                <w:cantSplit/>
                <w:tblHeader/>
              </w:trPr>
              <w:tc>
                <w:tcPr>
                  <w:tcBorders>
                    <w:top w:val="single" w:sz="16" w:space="0" w:color="D3D3D3"/>
                    <w:bottom w:val="single" w:sz="16" w:space="0" w:color="D3D3D3"/>
                    <w:start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b w:val="true"/>
                      <w:rFonts w:ascii="Calibri" w:hAnsi="Calibri"/>
                      <w:sz w:val="20"/>
                    </w:rPr>
                    <w:t xml:space="preserve">NCTID</w:t>
                  </w:r>
                </w:p>
              </w:tc>
              <w:tc>
                <w:tcPr>
                  <w:tcBorders>
                    <w:top w:val="single" w:sz="16" w:space="0" w:color="D3D3D3"/>
                    <w:bottom w:val="single" w:sz="16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b w:val="true"/>
                      <w:rFonts w:ascii="Calibri" w:hAnsi="Calibri"/>
                      <w:sz w:val="20"/>
                    </w:rPr>
                    <w:t xml:space="preserve">Acronym</w:t>
                  </w:r>
                </w:p>
              </w:tc>
              <w:tc>
                <w:tcPr>
                  <w:tcBorders>
                    <w:top w:val="single" w:sz="16" w:space="0" w:color="D3D3D3"/>
                    <w:bottom w:val="single" w:sz="16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b w:val="true"/>
                      <w:rFonts w:ascii="Calibri" w:hAnsi="Calibri"/>
                      <w:sz w:val="20"/>
                    </w:rPr>
                    <w:t xml:space="preserve">Clinical setting</w:t>
                  </w:r>
                </w:p>
              </w:tc>
              <w:tc>
                <w:tcPr>
                  <w:tcBorders>
                    <w:top w:val="single" w:sz="16" w:space="0" w:color="D3D3D3"/>
                    <w:bottom w:val="single" w:sz="16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b w:val="true"/>
                      <w:rFonts w:ascii="Calibri" w:hAnsi="Calibri"/>
                      <w:sz w:val="20"/>
                    </w:rPr>
                    <w:t xml:space="preserve">Line of therapy</w:t>
                  </w:r>
                </w:p>
              </w:tc>
              <w:tc>
                <w:tcPr>
                  <w:tcBorders>
                    <w:top w:val="single" w:sz="16" w:space="0" w:color="D3D3D3"/>
                    <w:bottom w:val="single" w:sz="16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b w:val="true"/>
                      <w:rFonts w:ascii="Calibri" w:hAnsi="Calibri"/>
                      <w:sz w:val="20"/>
                    </w:rPr>
                    <w:t xml:space="preserve">Treatment comparison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z="16" w:space="0" w:color="D3D3D3"/>
                    <w:bottom w:val="single" w:sz="16" w:space="0" w:color="D3D3D3"/>
                    <w:start w:val="single" w:space="0" w:color="D3D3D3"/>
                    <w:end w:val="single" w:space="0" w:color="D3D3D3"/>
                  </w:tcBorders>
                  <w:tcMar>
                    <w:top w:w="25" w:type="dxa"/>
                  </w:tcMar>
                  <w:gridSpan w:val="5"/>
                </w:tcPr>
                <w:p>
                  <w:pPr>
                    <w:spacing w:before="0" w:after="60"/>
                    <w:keepNext/>
                  </w:pPr>
                  <w:r>
                    <w:rPr>
                      <w:rFonts w:ascii="Calibri" w:hAnsi="Calibri"/>
                      <w:sz w:val="20"/>
                      <w:b w:val="true"/>
                    </w:rPr>
                    <w:t xml:space="default">Non-small cell lung cancer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NCT02296125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FLAURA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Advanced/metastatic EGFRm+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1L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osimertinib versus erlotinib or gefitinib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NCT01673867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CheckMate057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Metastatic non-squamous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2L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nivolumab versus docetaxel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NCT03215706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CheckMate9LA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Metastatic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1L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nivolumab, ipilimumab, chemotherapy versus chemotherapy alone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z="16" w:space="0" w:color="D3D3D3"/>
                    <w:bottom w:val="single" w:sz="16" w:space="0" w:color="D3D3D3"/>
                    <w:start w:val="single" w:space="0" w:color="D3D3D3"/>
                    <w:end w:val="single" w:space="0" w:color="D3D3D3"/>
                  </w:tcBorders>
                  <w:tcMar>
                    <w:top w:w="25" w:type="dxa"/>
                  </w:tcMar>
                  <w:gridSpan w:val="5"/>
                </w:tcPr>
                <w:p>
                  <w:pPr>
                    <w:spacing w:before="0" w:after="60"/>
                    <w:keepNext/>
                  </w:pPr>
                  <w:r>
                    <w:rPr>
                      <w:rFonts w:ascii="Calibri" w:hAnsi="Calibri"/>
                      <w:sz w:val="20"/>
                      <w:b w:val="true"/>
                    </w:rPr>
                    <w:t xml:space="default">Breast cancer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NCT01740427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PALOMA-2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Advanced postmenopausal ER-positive and HER2-negative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1L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palbociclib, letrozole versus letrozole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NCT02819518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KEYNOTE-355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Locally recurrent inoperable or metastatic triple negative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1L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pembrolizumab, chemotherapy vs. placebo, chemotherapy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NCT01772472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KATHERINE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HER2-positive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Adjuvant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trastuzumab emtansine versus trastuzumab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z="16" w:space="0" w:color="D3D3D3"/>
                    <w:bottom w:val="single" w:sz="16" w:space="0" w:color="D3D3D3"/>
                    <w:start w:val="single" w:space="0" w:color="D3D3D3"/>
                    <w:end w:val="single" w:space="0" w:color="D3D3D3"/>
                  </w:tcBorders>
                  <w:tcMar>
                    <w:top w:w="25" w:type="dxa"/>
                  </w:tcMar>
                  <w:gridSpan w:val="5"/>
                </w:tcPr>
                <w:p>
                  <w:pPr>
                    <w:spacing w:before="0" w:after="60"/>
                    <w:keepNext/>
                  </w:pPr>
                  <w:r>
                    <w:rPr>
                      <w:rFonts w:ascii="Calibri" w:hAnsi="Calibri"/>
                      <w:sz w:val="20"/>
                      <w:b w:val="true"/>
                    </w:rPr>
                    <w:t xml:space="default">Colorectal cancer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NCT04737187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SUNLIGHT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Refractory metastatic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3L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trifluridine, tipiracil, bevacizumab versus trifluridine, tipiracil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NCT01374425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MAVERICC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Metastatic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1L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bevacizumab, mFOLFOX6 versus bevacizumab, FOLFIRI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NCT02563002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KEYNOTE-177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Metastatic microsatellite instability-high (MSI-H) or mismatch repair deficient (dMMR)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2L+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pembrolizumab versus standard of care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z="16" w:space="0" w:color="D3D3D3"/>
                    <w:bottom w:val="single" w:sz="16" w:space="0" w:color="D3D3D3"/>
                    <w:start w:val="single" w:space="0" w:color="D3D3D3"/>
                    <w:end w:val="single" w:space="0" w:color="D3D3D3"/>
                  </w:tcBorders>
                  <w:tcMar>
                    <w:top w:w="25" w:type="dxa"/>
                  </w:tcMar>
                  <w:gridSpan w:val="5"/>
                </w:tcPr>
                <w:p>
                  <w:pPr>
                    <w:spacing w:before="0" w:after="60"/>
                    <w:keepNext/>
                  </w:pPr>
                  <w:r>
                    <w:rPr>
                      <w:rFonts w:ascii="Calibri" w:hAnsi="Calibri"/>
                      <w:sz w:val="20"/>
                      <w:b w:val="true"/>
                    </w:rPr>
                    <w:t xml:space="default">Multiple Myeloma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NCT01568866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ENDEAVOR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Relapsing or progressing disease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2L/3L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carfilzomib, dexamethasone versus bortezomib, dexamethasone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NCT02252172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MAIA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Newly diagnosed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1L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daratumumab, lenalidomide, dexamethasone versus lenalidomide, dexamethasone</w:t>
                  </w:r>
                </w:p>
              </w:tc>
            </w:tr>
            <w:tr>
              <w:trPr>
                <w:cantSplit/>
              </w:trPr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NCT01239797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ELOQUENT - 2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Relapsed or refractory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2L+</w:t>
                  </w:r>
                </w:p>
              </w:tc>
              <w:tc>
                <w:tcPr>
                  <w:tcBorders>
                    <w:top w:val="single" w:space="0" w:color="D3D3D3"/>
                    <w:bottom w:val="single" w:space="0" w:color="D3D3D3"/>
                    <w:start w:val="single" w:space="0" w:color="D3D3D3"/>
                    <w:end w:val="single" w:space="0" w:color="D3D3D3"/>
                  </w:tcBorders>
                </w:tcPr>
                <w:p>
                  <w:pPr>
                    <w:spacing w:before="0" w:after="60"/>
                    <w:keepNext/>
                    <w:jc w:val="start"/>
                  </w:pPr>
                  <w:r>
                    <w:rPr>
                      <w:rFonts w:ascii="Calibri" w:hAnsi="Calibri"/>
                      <w:sz w:val="20"/>
                    </w:rPr>
                    <w:t xml:space="default">elotuzumab, lenalidomide, dexamethasone versus lenalidomide, dexamethasone</w:t>
                  </w:r>
                </w:p>
              </w:tc>
            </w:tr>
          </w:tbl>
          <w:bookmarkEnd w:id="31"/>
        </w:tc>
      </w:tr>
    </w:tbl>
    <w:p>
      <w:r>
        <w:br w:type="page"/>
      </w:r>
    </w:p>
    <w:bookmarkEnd w:id="32"/>
    <w:bookmarkStart w:id="38" w:name="figures"/>
    <w:p>
      <w:pPr>
        <w:pStyle w:val="Heading1"/>
      </w:pPr>
      <w:r>
        <w:t xml:space="preserve">Figures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proces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Systematic process to understand effectiveness claims of oncology trials using real-world evidence.</w:t>
            </w:r>
          </w:p>
          <w:p>
            <w:pPr>
              <w:pStyle w:val="Compact"/>
              <w:jc w:val="center"/>
            </w:pPr>
            <w:r>
              <w:drawing>
                <wp:inline>
                  <wp:extent cx="5943600" cy="3343275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../figures/process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End w:id="36"/>
        </w:tc>
      </w:tr>
    </w:tbl>
    <w:p>
      <w:pPr>
        <w:pStyle w:val="BodyText"/>
      </w:pPr>
      <w:hyperlink r:id="rId37">
        <w:r>
          <w:rPr>
            <w:rStyle w:val="Hyperlink"/>
          </w:rPr>
          <w:t xml:space="preserve">View figure in higher resolution</w:t>
        </w:r>
      </w:hyperlink>
    </w:p>
    <w:p>
      <w:pPr>
        <w:sectPr>
          <w:pgSz w:h="11906" w:w="16838" w:orient="landscape"/>
        </w:sectPr>
      </w:pPr>
    </w:p>
    <w:p>
      <w:pPr>
        <w:sectPr>
          <w:pgSz w:h="11906" w:w="16838" w:orient="landscape"/>
        </w:sectPr>
      </w:pPr>
    </w:p>
    <w:bookmarkEnd w:id="38"/>
    <w:bookmarkEnd w:id="39"/>
    <w:sectPr w:rsidR="001A103C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4390550"/>
      <w:docPartObj>
        <w:docPartGallery w:val="Page Numbers (Bottom of Page)"/>
        <w:docPartUnique/>
      </w:docPartObj>
    </w:sdtPr>
    <w:sdtContent>
      <w:p w14:paraId="54275F87" w14:textId="64A4C5DB" w:rsidR="0077582D" w:rsidRDefault="0077582D" w:rsidP="00F35D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903AAA" w14:textId="77777777" w:rsidR="0077582D" w:rsidRDefault="007758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48864071"/>
      <w:docPartObj>
        <w:docPartGallery w:val="Page Numbers (Bottom of Page)"/>
        <w:docPartUnique/>
      </w:docPartObj>
    </w:sdtPr>
    <w:sdtContent>
      <w:p w14:paraId="61F22856" w14:textId="299BFD7D" w:rsidR="00F35D88" w:rsidRDefault="00F35D88" w:rsidP="00A0661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F062D2F" w14:textId="77777777" w:rsidR="0077582D" w:rsidRDefault="0077582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E21831F6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6BC213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7F4F9D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CF78C6A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3250B37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134CE2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987A130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DDCDC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17871B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D9C85D3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9EAA52F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480006862" w:numId="1">
    <w:abstractNumId w:val="10"/>
  </w:num>
  <w:num w16cid:durableId="1236278885" w:numId="2">
    <w:abstractNumId w:val="0"/>
  </w:num>
  <w:num w16cid:durableId="345210280" w:numId="3">
    <w:abstractNumId w:val="1"/>
  </w:num>
  <w:num w16cid:durableId="1048064764" w:numId="4">
    <w:abstractNumId w:val="2"/>
  </w:num>
  <w:num w16cid:durableId="868958878" w:numId="5">
    <w:abstractNumId w:val="3"/>
  </w:num>
  <w:num w16cid:durableId="919290657" w:numId="6">
    <w:abstractNumId w:val="8"/>
  </w:num>
  <w:num w16cid:durableId="1020815825" w:numId="7">
    <w:abstractNumId w:val="4"/>
  </w:num>
  <w:num w16cid:durableId="671641468" w:numId="8">
    <w:abstractNumId w:val="5"/>
  </w:num>
  <w:num w16cid:durableId="1241326511" w:numId="9">
    <w:abstractNumId w:val="6"/>
  </w:num>
  <w:num w16cid:durableId="1851020006" w:numId="10">
    <w:abstractNumId w:val="7"/>
  </w:num>
  <w:num w16cid:durableId="768307391" w:numId="11">
    <w:abstractNumId w:val="9"/>
  </w:num>
  <w:num w16cid:durableId="718699943" w:numId="12">
    <w:abstractNumId w:val="0"/>
  </w:num>
  <w:num w16cid:durableId="1505706406" w:numId="13">
    <w:abstractNumId w:val="1"/>
  </w:num>
  <w:num w16cid:durableId="193082358" w:numId="14">
    <w:abstractNumId w:val="2"/>
  </w:num>
  <w:num w16cid:durableId="1389845107" w:numId="15">
    <w:abstractNumId w:val="3"/>
  </w:num>
  <w:num w16cid:durableId="261568381" w:numId="16">
    <w:abstractNumId w:val="8"/>
  </w:num>
  <w:num w16cid:durableId="1704473729" w:numId="17">
    <w:abstractNumId w:val="4"/>
  </w:num>
  <w:num w16cid:durableId="1642995731" w:numId="18">
    <w:abstractNumId w:val="5"/>
  </w:num>
  <w:num w16cid:durableId="1530953060" w:numId="19">
    <w:abstractNumId w:val="6"/>
  </w:num>
  <w:num w16cid:durableId="646127511" w:numId="20">
    <w:abstractNumId w:val="7"/>
  </w:num>
  <w:num w16cid:durableId="1456605819" w:numId="21">
    <w:abstractNumId w:val="9"/>
  </w:num>
  <w:num w16cid:durableId="1800220673" w:numId="22">
    <w:abstractNumId w:val="0"/>
  </w:num>
  <w:num w16cid:durableId="1783069476" w:numId="23">
    <w:abstractNumId w:val="1"/>
  </w:num>
  <w:num w16cid:durableId="711730297" w:numId="24">
    <w:abstractNumId w:val="2"/>
  </w:num>
  <w:num w16cid:durableId="415370288" w:numId="25">
    <w:abstractNumId w:val="3"/>
  </w:num>
  <w:num w16cid:durableId="1231429019" w:numId="26">
    <w:abstractNumId w:val="8"/>
  </w:num>
  <w:num w16cid:durableId="200215696" w:numId="27">
    <w:abstractNumId w:val="4"/>
  </w:num>
  <w:num w16cid:durableId="1345748385" w:numId="28">
    <w:abstractNumId w:val="5"/>
  </w:num>
  <w:num w16cid:durableId="494731558" w:numId="29">
    <w:abstractNumId w:val="6"/>
  </w:num>
  <w:num w16cid:durableId="782579775" w:numId="30">
    <w:abstractNumId w:val="7"/>
  </w:num>
  <w:num w16cid:durableId="1420524247" w:numId="31">
    <w:abstractNumId w:val="9"/>
  </w:num>
  <w:num w16cid:durableId="914049076" w:numId="32">
    <w:abstractNumId w:val="0"/>
  </w:num>
  <w:num w16cid:durableId="721102632" w:numId="33">
    <w:abstractNumId w:val="1"/>
  </w:num>
  <w:num w16cid:durableId="1368095045" w:numId="34">
    <w:abstractNumId w:val="2"/>
  </w:num>
  <w:num w16cid:durableId="1230270221" w:numId="35">
    <w:abstractNumId w:val="3"/>
  </w:num>
  <w:num w16cid:durableId="634991563" w:numId="36">
    <w:abstractNumId w:val="8"/>
  </w:num>
  <w:num w16cid:durableId="538124054" w:numId="37">
    <w:abstractNumId w:val="4"/>
  </w:num>
  <w:num w16cid:durableId="1561667473" w:numId="38">
    <w:abstractNumId w:val="5"/>
  </w:num>
  <w:num w16cid:durableId="1557275424" w:numId="39">
    <w:abstractNumId w:val="6"/>
  </w:num>
  <w:num w16cid:durableId="36274134" w:numId="40">
    <w:abstractNumId w:val="7"/>
  </w:num>
  <w:num w16cid:durableId="407969607" w:numId="41">
    <w:abstractNumId w:val="9"/>
  </w:num>
  <w:num w16cid:durableId="724375175" w:numId="42">
    <w:abstractNumId w:val="0"/>
  </w:num>
  <w:num w16cid:durableId="1397360077" w:numId="43">
    <w:abstractNumId w:val="1"/>
  </w:num>
  <w:num w16cid:durableId="1133403510" w:numId="44">
    <w:abstractNumId w:val="2"/>
  </w:num>
  <w:num w16cid:durableId="276063767" w:numId="45">
    <w:abstractNumId w:val="3"/>
  </w:num>
  <w:num w16cid:durableId="744034979" w:numId="46">
    <w:abstractNumId w:val="8"/>
  </w:num>
  <w:num w16cid:durableId="974602314" w:numId="47">
    <w:abstractNumId w:val="4"/>
  </w:num>
  <w:num w16cid:durableId="1658804859" w:numId="48">
    <w:abstractNumId w:val="5"/>
  </w:num>
  <w:num w16cid:durableId="2022970773" w:numId="49">
    <w:abstractNumId w:val="6"/>
  </w:num>
  <w:num w16cid:durableId="39521232" w:numId="50">
    <w:abstractNumId w:val="7"/>
  </w:num>
  <w:num w16cid:durableId="1232698795" w:numId="51">
    <w:abstractNumId w:val="9"/>
  </w:num>
  <w:num w16cid:durableId="1436710502" w:numId="52">
    <w:abstractNumId w:val="0"/>
  </w:num>
  <w:num w16cid:durableId="546651259" w:numId="53">
    <w:abstractNumId w:val="1"/>
  </w:num>
  <w:num w16cid:durableId="1002511583" w:numId="54">
    <w:abstractNumId w:val="2"/>
  </w:num>
  <w:num w16cid:durableId="1305162670" w:numId="55">
    <w:abstractNumId w:val="3"/>
  </w:num>
  <w:num w16cid:durableId="1329555404" w:numId="56">
    <w:abstractNumId w:val="8"/>
  </w:num>
  <w:num w16cid:durableId="668365687" w:numId="57">
    <w:abstractNumId w:val="4"/>
  </w:num>
  <w:num w16cid:durableId="605696585" w:numId="58">
    <w:abstractNumId w:val="5"/>
  </w:num>
  <w:num w16cid:durableId="1067922730" w:numId="59">
    <w:abstractNumId w:val="6"/>
  </w:num>
  <w:num w16cid:durableId="70397357" w:numId="60">
    <w:abstractNumId w:val="7"/>
  </w:num>
  <w:num w16cid:durableId="1587807878" w:numId="61">
    <w:abstractNumId w:val="9"/>
  </w:num>
  <w:num w16cid:durableId="1604268284" w:numId="62">
    <w:abstractNumId w:val="0"/>
  </w:num>
  <w:num w16cid:durableId="765924077" w:numId="63">
    <w:abstractNumId w:val="1"/>
  </w:num>
  <w:num w16cid:durableId="2109082956" w:numId="64">
    <w:abstractNumId w:val="2"/>
  </w:num>
  <w:num w16cid:durableId="687292639" w:numId="65">
    <w:abstractNumId w:val="3"/>
  </w:num>
  <w:num w16cid:durableId="102268851" w:numId="66">
    <w:abstractNumId w:val="8"/>
  </w:num>
  <w:num w16cid:durableId="2016884171" w:numId="67">
    <w:abstractNumId w:val="4"/>
  </w:num>
  <w:num w16cid:durableId="974066668" w:numId="68">
    <w:abstractNumId w:val="5"/>
  </w:num>
  <w:num w16cid:durableId="721950077" w:numId="69">
    <w:abstractNumId w:val="6"/>
  </w:num>
  <w:num w16cid:durableId="1062026472" w:numId="70">
    <w:abstractNumId w:val="7"/>
  </w:num>
  <w:num w16cid:durableId="1622572393" w:numId="71">
    <w:abstractNumId w:val="9"/>
  </w:num>
  <w:num w16cid:durableId="370153603" w:numId="72">
    <w:abstractNumId w:val="0"/>
  </w:num>
  <w:num w16cid:durableId="552158112" w:numId="73">
    <w:abstractNumId w:val="1"/>
  </w:num>
  <w:num w16cid:durableId="2020161499" w:numId="74">
    <w:abstractNumId w:val="2"/>
  </w:num>
  <w:num w16cid:durableId="1833838568" w:numId="75">
    <w:abstractNumId w:val="3"/>
  </w:num>
  <w:num w16cid:durableId="469832481" w:numId="76">
    <w:abstractNumId w:val="8"/>
  </w:num>
  <w:num w16cid:durableId="1905948041" w:numId="77">
    <w:abstractNumId w:val="4"/>
  </w:num>
  <w:num w16cid:durableId="533352492" w:numId="78">
    <w:abstractNumId w:val="5"/>
  </w:num>
  <w:num w16cid:durableId="2038701867" w:numId="79">
    <w:abstractNumId w:val="6"/>
  </w:num>
  <w:num w16cid:durableId="609047573" w:numId="80">
    <w:abstractNumId w:val="7"/>
  </w:num>
  <w:num w16cid:durableId="2051414956" w:numId="81">
    <w:abstractNumId w:val="9"/>
  </w:num>
  <w:num w16cid:durableId="685985903" w:numId="82">
    <w:abstractNumId w:val="0"/>
  </w:num>
  <w:num w16cid:durableId="1541016217" w:numId="83">
    <w:abstractNumId w:val="1"/>
  </w:num>
  <w:num w16cid:durableId="120810478" w:numId="84">
    <w:abstractNumId w:val="2"/>
  </w:num>
  <w:num w16cid:durableId="383602030" w:numId="85">
    <w:abstractNumId w:val="3"/>
  </w:num>
  <w:num w16cid:durableId="740756518" w:numId="86">
    <w:abstractNumId w:val="8"/>
  </w:num>
  <w:num w16cid:durableId="447119095" w:numId="87">
    <w:abstractNumId w:val="4"/>
  </w:num>
  <w:num w16cid:durableId="302663407" w:numId="88">
    <w:abstractNumId w:val="5"/>
  </w:num>
  <w:num w16cid:durableId="1344817957" w:numId="89">
    <w:abstractNumId w:val="6"/>
  </w:num>
  <w:num w16cid:durableId="1345128660" w:numId="90">
    <w:abstractNumId w:val="7"/>
  </w:num>
  <w:num w16cid:durableId="1189181847" w:numId="91">
    <w:abstractNumId w:val="9"/>
  </w:num>
  <w:num w16cid:durableId="377051066" w:numId="92">
    <w:abstractNumId w:val="0"/>
  </w:num>
  <w:num w16cid:durableId="1147432775" w:numId="93">
    <w:abstractNumId w:val="1"/>
  </w:num>
  <w:num w16cid:durableId="1305159388" w:numId="94">
    <w:abstractNumId w:val="2"/>
  </w:num>
  <w:num w16cid:durableId="86123863" w:numId="95">
    <w:abstractNumId w:val="3"/>
  </w:num>
  <w:num w16cid:durableId="1607929796" w:numId="96">
    <w:abstractNumId w:val="8"/>
  </w:num>
  <w:num w16cid:durableId="1562405620" w:numId="97">
    <w:abstractNumId w:val="4"/>
  </w:num>
  <w:num w16cid:durableId="1268855619" w:numId="98">
    <w:abstractNumId w:val="5"/>
  </w:num>
  <w:num w16cid:durableId="79911588" w:numId="99">
    <w:abstractNumId w:val="6"/>
  </w:num>
  <w:num w16cid:durableId="369568832" w:numId="100">
    <w:abstractNumId w:val="7"/>
  </w:num>
  <w:num w16cid:durableId="608898070" w:numId="101">
    <w:abstractNumId w:val="9"/>
  </w:num>
  <w:num w16cid:durableId="254634026" w:numId="102">
    <w:abstractNumId w:val="0"/>
  </w:num>
  <w:num w16cid:durableId="774711772" w:numId="103">
    <w:abstractNumId w:val="1"/>
  </w:num>
  <w:num w16cid:durableId="1203439327" w:numId="104">
    <w:abstractNumId w:val="2"/>
  </w:num>
  <w:num w16cid:durableId="1097553146" w:numId="105">
    <w:abstractNumId w:val="3"/>
  </w:num>
  <w:num w16cid:durableId="519121351" w:numId="106">
    <w:abstractNumId w:val="8"/>
  </w:num>
  <w:num w16cid:durableId="1539394795" w:numId="107">
    <w:abstractNumId w:val="4"/>
  </w:num>
  <w:num w16cid:durableId="1116219842" w:numId="108">
    <w:abstractNumId w:val="5"/>
  </w:num>
  <w:num w16cid:durableId="1024945098" w:numId="109">
    <w:abstractNumId w:val="6"/>
  </w:num>
  <w:num w16cid:durableId="645204197" w:numId="110">
    <w:abstractNumId w:val="7"/>
  </w:num>
  <w:num w16cid:durableId="152526635" w:numId="111">
    <w:abstractNumId w:val="9"/>
  </w:num>
  <w:num w16cid:durableId="885289329" w:numId="112">
    <w:abstractNumId w:val="0"/>
  </w:num>
  <w:num w16cid:durableId="131362506" w:numId="113">
    <w:abstractNumId w:val="1"/>
  </w:num>
  <w:num w16cid:durableId="536234116" w:numId="114">
    <w:abstractNumId w:val="2"/>
  </w:num>
  <w:num w16cid:durableId="1667396297" w:numId="115">
    <w:abstractNumId w:val="3"/>
  </w:num>
  <w:num w16cid:durableId="585383086" w:numId="116">
    <w:abstractNumId w:val="8"/>
  </w:num>
  <w:num w16cid:durableId="290864134" w:numId="117">
    <w:abstractNumId w:val="4"/>
  </w:num>
  <w:num w16cid:durableId="860900412" w:numId="118">
    <w:abstractNumId w:val="5"/>
  </w:num>
  <w:num w16cid:durableId="423494672" w:numId="119">
    <w:abstractNumId w:val="6"/>
  </w:num>
  <w:num w16cid:durableId="2001762187" w:numId="120">
    <w:abstractNumId w:val="7"/>
  </w:num>
  <w:num w16cid:durableId="1853643264" w:numId="121">
    <w:abstractNumId w:val="9"/>
  </w:num>
  <w:num w16cid:durableId="430442124" w:numId="122">
    <w:abstractNumId w:val="0"/>
  </w:num>
  <w:num w16cid:durableId="1292905971" w:numId="123">
    <w:abstractNumId w:val="1"/>
  </w:num>
  <w:num w16cid:durableId="1077441580" w:numId="124">
    <w:abstractNumId w:val="2"/>
  </w:num>
  <w:num w16cid:durableId="611786385" w:numId="125">
    <w:abstractNumId w:val="3"/>
  </w:num>
  <w:num w16cid:durableId="270749163" w:numId="126">
    <w:abstractNumId w:val="8"/>
  </w:num>
  <w:num w16cid:durableId="369693181" w:numId="127">
    <w:abstractNumId w:val="4"/>
  </w:num>
  <w:num w16cid:durableId="355205279" w:numId="128">
    <w:abstractNumId w:val="5"/>
  </w:num>
  <w:num w16cid:durableId="2028870757" w:numId="129">
    <w:abstractNumId w:val="6"/>
  </w:num>
  <w:num w16cid:durableId="1821657341" w:numId="130">
    <w:abstractNumId w:val="7"/>
  </w:num>
  <w:num w16cid:durableId="1571387719" w:numId="131">
    <w:abstractNumId w:val="9"/>
  </w:num>
  <w:num w16cid:durableId="55907428" w:numId="132">
    <w:abstractNumId w:val="0"/>
  </w:num>
  <w:num w16cid:durableId="1663316881" w:numId="133">
    <w:abstractNumId w:val="1"/>
  </w:num>
  <w:num w16cid:durableId="1842697872" w:numId="134">
    <w:abstractNumId w:val="2"/>
  </w:num>
  <w:num w16cid:durableId="521283160" w:numId="135">
    <w:abstractNumId w:val="3"/>
  </w:num>
  <w:num w16cid:durableId="2824120" w:numId="136">
    <w:abstractNumId w:val="8"/>
  </w:num>
  <w:num w16cid:durableId="1869834899" w:numId="137">
    <w:abstractNumId w:val="4"/>
  </w:num>
  <w:num w16cid:durableId="1567033674" w:numId="138">
    <w:abstractNumId w:val="5"/>
  </w:num>
  <w:num w16cid:durableId="997222988" w:numId="139">
    <w:abstractNumId w:val="6"/>
  </w:num>
  <w:num w16cid:durableId="937341" w:numId="140">
    <w:abstractNumId w:val="7"/>
  </w:num>
  <w:num w16cid:durableId="1947805026" w:numId="141">
    <w:abstractNumId w:val="9"/>
  </w:num>
  <w:num w16cid:durableId="1496533202" w:numId="142">
    <w:abstractNumId w:val="0"/>
  </w:num>
  <w:num w16cid:durableId="1781608643" w:numId="143">
    <w:abstractNumId w:val="1"/>
  </w:num>
  <w:num w16cid:durableId="803156873" w:numId="144">
    <w:abstractNumId w:val="2"/>
  </w:num>
  <w:num w16cid:durableId="1499275403" w:numId="145">
    <w:abstractNumId w:val="3"/>
  </w:num>
  <w:num w16cid:durableId="446580885" w:numId="146">
    <w:abstractNumId w:val="8"/>
  </w:num>
  <w:num w16cid:durableId="1348756348" w:numId="147">
    <w:abstractNumId w:val="4"/>
  </w:num>
  <w:num w16cid:durableId="1453590566" w:numId="148">
    <w:abstractNumId w:val="5"/>
  </w:num>
  <w:num w16cid:durableId="1468931875" w:numId="149">
    <w:abstractNumId w:val="6"/>
  </w:num>
  <w:num w16cid:durableId="1509102183" w:numId="150">
    <w:abstractNumId w:val="7"/>
  </w:num>
  <w:num w16cid:durableId="1876652251" w:numId="151">
    <w:abstractNumId w:val="9"/>
  </w:num>
  <w:num w16cid:durableId="852458504" w:numId="152">
    <w:abstractNumId w:val="0"/>
  </w:num>
  <w:num w16cid:durableId="523396769" w:numId="153">
    <w:abstractNumId w:val="1"/>
  </w:num>
  <w:num w16cid:durableId="907153136" w:numId="154">
    <w:abstractNumId w:val="2"/>
  </w:num>
  <w:num w16cid:durableId="926042438" w:numId="155">
    <w:abstractNumId w:val="3"/>
  </w:num>
  <w:num w16cid:durableId="1442919935" w:numId="156">
    <w:abstractNumId w:val="8"/>
  </w:num>
  <w:num w16cid:durableId="1619027493" w:numId="157">
    <w:abstractNumId w:val="4"/>
  </w:num>
  <w:num w16cid:durableId="148793971" w:numId="158">
    <w:abstractNumId w:val="5"/>
  </w:num>
  <w:num w16cid:durableId="541291621" w:numId="159">
    <w:abstractNumId w:val="6"/>
  </w:num>
  <w:num w16cid:durableId="1593659653" w:numId="160">
    <w:abstractNumId w:val="7"/>
  </w:num>
  <w:num w16cid:durableId="1568225260" w:numId="161">
    <w:abstractNumId w:val="9"/>
  </w:num>
  <w:num w16cid:durableId="1200237934" w:numId="162">
    <w:abstractNumId w:val="0"/>
  </w:num>
  <w:num w16cid:durableId="1875344070" w:numId="163">
    <w:abstractNumId w:val="1"/>
  </w:num>
  <w:num w16cid:durableId="388457198" w:numId="164">
    <w:abstractNumId w:val="2"/>
  </w:num>
  <w:num w16cid:durableId="892545592" w:numId="165">
    <w:abstractNumId w:val="3"/>
  </w:num>
  <w:num w16cid:durableId="449327947" w:numId="166">
    <w:abstractNumId w:val="8"/>
  </w:num>
  <w:num w16cid:durableId="974290446" w:numId="167">
    <w:abstractNumId w:val="4"/>
  </w:num>
  <w:num w16cid:durableId="1133251047" w:numId="168">
    <w:abstractNumId w:val="5"/>
  </w:num>
  <w:num w16cid:durableId="1309090062" w:numId="169">
    <w:abstractNumId w:val="6"/>
  </w:num>
  <w:num w16cid:durableId="64107766" w:numId="170">
    <w:abstractNumId w:val="7"/>
  </w:num>
  <w:num w16cid:durableId="2019766087" w:numId="171">
    <w:abstractNumId w:val="9"/>
  </w:num>
  <w:num w16cid:durableId="1938781874" w:numId="172">
    <w:abstractNumId w:val="0"/>
  </w:num>
  <w:num w16cid:durableId="506286924" w:numId="173">
    <w:abstractNumId w:val="1"/>
  </w:num>
  <w:num w16cid:durableId="927538527" w:numId="174">
    <w:abstractNumId w:val="2"/>
  </w:num>
  <w:num w16cid:durableId="604070383" w:numId="175">
    <w:abstractNumId w:val="3"/>
  </w:num>
  <w:num w16cid:durableId="1351033220" w:numId="176">
    <w:abstractNumId w:val="8"/>
  </w:num>
  <w:num w16cid:durableId="935094246" w:numId="177">
    <w:abstractNumId w:val="4"/>
  </w:num>
  <w:num w16cid:durableId="942420248" w:numId="178">
    <w:abstractNumId w:val="5"/>
  </w:num>
  <w:num w16cid:durableId="1085879028" w:numId="179">
    <w:abstractNumId w:val="6"/>
  </w:num>
  <w:num w16cid:durableId="2140603918" w:numId="180">
    <w:abstractNumId w:val="7"/>
  </w:num>
  <w:num w16cid:durableId="1130513091" w:numId="181">
    <w:abstractNumId w:val="9"/>
  </w:num>
  <w:num w16cid:durableId="1800764588" w:numId="182">
    <w:abstractNumId w:val="0"/>
  </w:num>
  <w:num w16cid:durableId="151063775" w:numId="183">
    <w:abstractNumId w:val="1"/>
  </w:num>
  <w:num w16cid:durableId="800876816" w:numId="184">
    <w:abstractNumId w:val="2"/>
  </w:num>
  <w:num w16cid:durableId="373428921" w:numId="185">
    <w:abstractNumId w:val="3"/>
  </w:num>
  <w:num w16cid:durableId="656030024" w:numId="186">
    <w:abstractNumId w:val="8"/>
  </w:num>
  <w:num w16cid:durableId="1830242999" w:numId="187">
    <w:abstractNumId w:val="4"/>
  </w:num>
  <w:num w16cid:durableId="198202259" w:numId="188">
    <w:abstractNumId w:val="5"/>
  </w:num>
  <w:num w16cid:durableId="1660421877" w:numId="189">
    <w:abstractNumId w:val="6"/>
  </w:num>
  <w:num w16cid:durableId="516114567" w:numId="190">
    <w:abstractNumId w:val="7"/>
  </w:num>
  <w:num w16cid:durableId="525991980" w:numId="191">
    <w:abstractNumId w:val="9"/>
  </w:num>
  <w:num w16cid:durableId="3630121" w:numId="192">
    <w:abstractNumId w:val="0"/>
  </w:num>
  <w:num w16cid:durableId="1094203996" w:numId="193">
    <w:abstractNumId w:val="1"/>
  </w:num>
  <w:num w16cid:durableId="552695008" w:numId="194">
    <w:abstractNumId w:val="2"/>
  </w:num>
  <w:num w16cid:durableId="469789231" w:numId="195">
    <w:abstractNumId w:val="3"/>
  </w:num>
  <w:num w16cid:durableId="1040478137" w:numId="196">
    <w:abstractNumId w:val="8"/>
  </w:num>
  <w:num w16cid:durableId="203450541" w:numId="197">
    <w:abstractNumId w:val="4"/>
  </w:num>
  <w:num w16cid:durableId="67701598" w:numId="198">
    <w:abstractNumId w:val="5"/>
  </w:num>
  <w:num w16cid:durableId="699206904" w:numId="199">
    <w:abstractNumId w:val="6"/>
  </w:num>
  <w:num w16cid:durableId="426969593" w:numId="200">
    <w:abstractNumId w:val="7"/>
  </w:num>
  <w:num w16cid:durableId="1628201423" w:numId="201">
    <w:abstractNumId w:val="9"/>
  </w:num>
  <w:num w16cid:durableId="1983726804" w:numId="202">
    <w:abstractNumId w:val="0"/>
  </w:num>
  <w:num w16cid:durableId="2094425511" w:numId="203">
    <w:abstractNumId w:val="1"/>
  </w:num>
  <w:num w16cid:durableId="1342198227" w:numId="204">
    <w:abstractNumId w:val="2"/>
  </w:num>
  <w:num w16cid:durableId="1551921526" w:numId="205">
    <w:abstractNumId w:val="3"/>
  </w:num>
  <w:num w16cid:durableId="249433632" w:numId="206">
    <w:abstractNumId w:val="8"/>
  </w:num>
  <w:num w16cid:durableId="624311891" w:numId="207">
    <w:abstractNumId w:val="4"/>
  </w:num>
  <w:num w16cid:durableId="158084228" w:numId="208">
    <w:abstractNumId w:val="5"/>
  </w:num>
  <w:num w16cid:durableId="402795494" w:numId="209">
    <w:abstractNumId w:val="6"/>
  </w:num>
  <w:num w16cid:durableId="894395251" w:numId="210">
    <w:abstractNumId w:val="7"/>
  </w:num>
  <w:num w16cid:durableId="343478926" w:numId="211">
    <w:abstractNumId w:val="9"/>
  </w:num>
  <w:num w16cid:durableId="1984697040" w:numId="212">
    <w:abstractNumId w:val="0"/>
  </w:num>
  <w:num w16cid:durableId="800265376" w:numId="213">
    <w:abstractNumId w:val="1"/>
  </w:num>
  <w:num w16cid:durableId="1158960609" w:numId="214">
    <w:abstractNumId w:val="2"/>
  </w:num>
  <w:num w16cid:durableId="428307645" w:numId="215">
    <w:abstractNumId w:val="3"/>
  </w:num>
  <w:num w16cid:durableId="1197542873" w:numId="216">
    <w:abstractNumId w:val="8"/>
  </w:num>
  <w:num w16cid:durableId="42484848" w:numId="217">
    <w:abstractNumId w:val="4"/>
  </w:num>
  <w:num w16cid:durableId="282811016" w:numId="218">
    <w:abstractNumId w:val="5"/>
  </w:num>
  <w:num w16cid:durableId="991720226" w:numId="219">
    <w:abstractNumId w:val="6"/>
  </w:num>
  <w:num w16cid:durableId="1746610160" w:numId="220">
    <w:abstractNumId w:val="7"/>
  </w:num>
  <w:num w16cid:durableId="132716895" w:numId="221">
    <w:abstractNumId w:val="9"/>
  </w:num>
  <w:num w16cid:durableId="2145852390" w:numId="222">
    <w:abstractNumId w:val="0"/>
  </w:num>
  <w:num w16cid:durableId="1671060778" w:numId="223">
    <w:abstractNumId w:val="1"/>
  </w:num>
  <w:num w16cid:durableId="90709333" w:numId="224">
    <w:abstractNumId w:val="2"/>
  </w:num>
  <w:num w16cid:durableId="980354524" w:numId="225">
    <w:abstractNumId w:val="3"/>
  </w:num>
  <w:num w16cid:durableId="1829785864" w:numId="226">
    <w:abstractNumId w:val="8"/>
  </w:num>
  <w:num w16cid:durableId="1665279475" w:numId="227">
    <w:abstractNumId w:val="4"/>
  </w:num>
  <w:num w16cid:durableId="1683898309" w:numId="228">
    <w:abstractNumId w:val="5"/>
  </w:num>
  <w:num w16cid:durableId="1837840453" w:numId="229">
    <w:abstractNumId w:val="6"/>
  </w:num>
  <w:num w16cid:durableId="1271162100" w:numId="230">
    <w:abstractNumId w:val="7"/>
  </w:num>
  <w:num w16cid:durableId="386417525" w:numId="231">
    <w:abstractNumId w:val="9"/>
  </w:num>
  <w:num w16cid:durableId="312685786" w:numId="232">
    <w:abstractNumId w:val="0"/>
  </w:num>
  <w:num w16cid:durableId="1709142893" w:numId="233">
    <w:abstractNumId w:val="1"/>
  </w:num>
  <w:num w16cid:durableId="1685011030" w:numId="234">
    <w:abstractNumId w:val="2"/>
  </w:num>
  <w:num w16cid:durableId="1641762845" w:numId="235">
    <w:abstractNumId w:val="3"/>
  </w:num>
  <w:num w16cid:durableId="1588146878" w:numId="236">
    <w:abstractNumId w:val="8"/>
  </w:num>
  <w:num w16cid:durableId="1879588042" w:numId="237">
    <w:abstractNumId w:val="4"/>
  </w:num>
  <w:num w16cid:durableId="1162817546" w:numId="238">
    <w:abstractNumId w:val="5"/>
  </w:num>
  <w:num w16cid:durableId="1325553601" w:numId="239">
    <w:abstractNumId w:val="6"/>
  </w:num>
  <w:num w16cid:durableId="1712221390" w:numId="240">
    <w:abstractNumId w:val="7"/>
  </w:num>
  <w:num w16cid:durableId="1496610616" w:numId="241">
    <w:abstractNumId w:val="9"/>
  </w:num>
  <w:num w16cid:durableId="880095004" w:numId="242">
    <w:abstractNumId w:val="0"/>
  </w:num>
  <w:num w16cid:durableId="1747144149" w:numId="243">
    <w:abstractNumId w:val="1"/>
  </w:num>
  <w:num w16cid:durableId="909850294" w:numId="244">
    <w:abstractNumId w:val="2"/>
  </w:num>
  <w:num w16cid:durableId="874584195" w:numId="245">
    <w:abstractNumId w:val="3"/>
  </w:num>
  <w:num w16cid:durableId="1181580814" w:numId="246">
    <w:abstractNumId w:val="8"/>
  </w:num>
  <w:num w16cid:durableId="81100018" w:numId="247">
    <w:abstractNumId w:val="4"/>
  </w:num>
  <w:num w16cid:durableId="460610493" w:numId="248">
    <w:abstractNumId w:val="5"/>
  </w:num>
  <w:num w16cid:durableId="2073654632" w:numId="249">
    <w:abstractNumId w:val="6"/>
  </w:num>
  <w:num w16cid:durableId="993873250" w:numId="250">
    <w:abstractNumId w:val="7"/>
  </w:num>
  <w:num w16cid:durableId="1495031026" w:numId="251">
    <w:abstractNumId w:val="9"/>
  </w:num>
  <w:num w16cid:durableId="1996102608" w:numId="252">
    <w:abstractNumId w:val="0"/>
  </w:num>
  <w:num w16cid:durableId="441727458" w:numId="253">
    <w:abstractNumId w:val="1"/>
  </w:num>
  <w:num w16cid:durableId="1856918545" w:numId="254">
    <w:abstractNumId w:val="2"/>
  </w:num>
  <w:num w16cid:durableId="381517191" w:numId="255">
    <w:abstractNumId w:val="3"/>
  </w:num>
  <w:num w16cid:durableId="441346869" w:numId="256">
    <w:abstractNumId w:val="8"/>
  </w:num>
  <w:num w16cid:durableId="407045482" w:numId="257">
    <w:abstractNumId w:val="4"/>
  </w:num>
  <w:num w16cid:durableId="1909488228" w:numId="258">
    <w:abstractNumId w:val="5"/>
  </w:num>
  <w:num w16cid:durableId="1990935517" w:numId="259">
    <w:abstractNumId w:val="6"/>
  </w:num>
  <w:num w16cid:durableId="1757434171" w:numId="260">
    <w:abstractNumId w:val="7"/>
  </w:num>
  <w:num w16cid:durableId="248199874" w:numId="261">
    <w:abstractNumId w:val="9"/>
  </w:num>
  <w:num w16cid:durableId="515003503" w:numId="262">
    <w:abstractNumId w:val="0"/>
  </w:num>
  <w:num w16cid:durableId="661544572" w:numId="263">
    <w:abstractNumId w:val="1"/>
  </w:num>
  <w:num w16cid:durableId="1274436970" w:numId="264">
    <w:abstractNumId w:val="2"/>
  </w:num>
  <w:num w16cid:durableId="1434396773" w:numId="265">
    <w:abstractNumId w:val="3"/>
  </w:num>
  <w:num w16cid:durableId="902985580" w:numId="266">
    <w:abstractNumId w:val="8"/>
  </w:num>
  <w:num w16cid:durableId="2039040671" w:numId="267">
    <w:abstractNumId w:val="4"/>
  </w:num>
  <w:num w16cid:durableId="2028479985" w:numId="268">
    <w:abstractNumId w:val="5"/>
  </w:num>
  <w:num w16cid:durableId="1044906188" w:numId="269">
    <w:abstractNumId w:val="6"/>
  </w:num>
  <w:num w16cid:durableId="1289555517" w:numId="270">
    <w:abstractNumId w:val="7"/>
  </w:num>
  <w:num w16cid:durableId="2111662680" w:numId="271">
    <w:abstractNumId w:val="9"/>
  </w:num>
  <w:num w16cid:durableId="678775536" w:numId="272">
    <w:abstractNumId w:val="0"/>
  </w:num>
  <w:num w16cid:durableId="1474565047" w:numId="273">
    <w:abstractNumId w:val="1"/>
  </w:num>
  <w:num w16cid:durableId="1357777794" w:numId="274">
    <w:abstractNumId w:val="2"/>
  </w:num>
  <w:num w16cid:durableId="1460104575" w:numId="275">
    <w:abstractNumId w:val="3"/>
  </w:num>
  <w:num w16cid:durableId="833762369" w:numId="276">
    <w:abstractNumId w:val="8"/>
  </w:num>
  <w:num w16cid:durableId="51655800" w:numId="277">
    <w:abstractNumId w:val="4"/>
  </w:num>
  <w:num w16cid:durableId="667565049" w:numId="278">
    <w:abstractNumId w:val="5"/>
  </w:num>
  <w:num w16cid:durableId="1601454845" w:numId="279">
    <w:abstractNumId w:val="6"/>
  </w:num>
  <w:num w16cid:durableId="1667443277" w:numId="280">
    <w:abstractNumId w:val="7"/>
  </w:num>
  <w:num w16cid:durableId="1049770547" w:numId="281">
    <w:abstractNumId w:val="9"/>
  </w:num>
  <w:num w16cid:durableId="1040085354" w:numId="282">
    <w:abstractNumId w:val="0"/>
  </w:num>
  <w:num w16cid:durableId="410858099" w:numId="283">
    <w:abstractNumId w:val="1"/>
  </w:num>
  <w:num w16cid:durableId="185755079" w:numId="284">
    <w:abstractNumId w:val="2"/>
  </w:num>
  <w:num w16cid:durableId="723678173" w:numId="285">
    <w:abstractNumId w:val="3"/>
  </w:num>
  <w:num w16cid:durableId="438841190" w:numId="286">
    <w:abstractNumId w:val="8"/>
  </w:num>
  <w:num w16cid:durableId="1067263884" w:numId="287">
    <w:abstractNumId w:val="4"/>
  </w:num>
  <w:num w16cid:durableId="840779122" w:numId="288">
    <w:abstractNumId w:val="5"/>
  </w:num>
  <w:num w16cid:durableId="1551385737" w:numId="289">
    <w:abstractNumId w:val="6"/>
  </w:num>
  <w:num w16cid:durableId="456608312" w:numId="290">
    <w:abstractNumId w:val="7"/>
  </w:num>
  <w:num w16cid:durableId="1984701277" w:numId="291">
    <w:abstractNumId w:val="9"/>
  </w:num>
  <w:num w16cid:durableId="1457944796" w:numId="292">
    <w:abstractNumId w:val="0"/>
  </w:num>
  <w:num w16cid:durableId="1380780317" w:numId="293">
    <w:abstractNumId w:val="1"/>
  </w:num>
  <w:num w16cid:durableId="1437796501" w:numId="294">
    <w:abstractNumId w:val="2"/>
  </w:num>
  <w:num w16cid:durableId="1175071739" w:numId="295">
    <w:abstractNumId w:val="3"/>
  </w:num>
  <w:num w16cid:durableId="554200887" w:numId="296">
    <w:abstractNumId w:val="8"/>
  </w:num>
  <w:num w16cid:durableId="1073815680" w:numId="297">
    <w:abstractNumId w:val="4"/>
  </w:num>
  <w:num w16cid:durableId="1294485479" w:numId="298">
    <w:abstractNumId w:val="5"/>
  </w:num>
  <w:num w16cid:durableId="168058260" w:numId="299">
    <w:abstractNumId w:val="6"/>
  </w:num>
  <w:num w16cid:durableId="905922724" w:numId="300">
    <w:abstractNumId w:val="7"/>
  </w:num>
  <w:num w16cid:durableId="1482306058" w:numId="301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72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A2"/>
    <w:rsid w:val="000112B5"/>
    <w:rsid w:val="00057595"/>
    <w:rsid w:val="001A103C"/>
    <w:rsid w:val="0046018F"/>
    <w:rsid w:val="005939A4"/>
    <w:rsid w:val="006001A2"/>
    <w:rsid w:val="00625087"/>
    <w:rsid w:val="0077582D"/>
    <w:rsid w:val="008A18BF"/>
    <w:rsid w:val="00EA713A"/>
    <w:rsid w:val="00EB73B3"/>
    <w:rsid w:val="00F35D88"/>
    <w:rsid w:val="00F7119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939A4"/>
    <w:rPr>
      <w:rFonts w:ascii="Arial" w:hAnsi="Arial"/>
    </w:rPr>
  </w:style>
  <w:style w:styleId="Heading1" w:type="paragraph">
    <w:name w:val="heading 1"/>
    <w:basedOn w:val="Normal"/>
    <w:next w:val="BodyText"/>
    <w:uiPriority w:val="9"/>
    <w:qFormat/>
    <w:rsid w:val="0046018F"/>
    <w:pPr>
      <w:keepNext/>
      <w:keepLines/>
      <w:spacing w:after="0" w:before="480" w:line="360" w:lineRule="auto"/>
      <w:jc w:val="both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46018F"/>
    <w:pPr>
      <w:keepNext/>
      <w:keepLines/>
      <w:spacing w:after="0" w:before="200" w:line="360" w:lineRule="auto"/>
      <w:jc w:val="both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112B5"/>
    <w:pPr>
      <w:keepNext/>
      <w:keepLines/>
      <w:spacing w:after="0" w:before="200"/>
      <w:jc w:val="both"/>
      <w:outlineLvl w:val="2"/>
    </w:pPr>
    <w:rPr>
      <w:rFonts w:cstheme="majorBidi" w:eastAsiaTheme="majorEastAsia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0112B5"/>
    <w:pPr>
      <w:spacing w:after="180" w:before="180" w:line="360" w:lineRule="auto"/>
      <w:jc w:val="both"/>
    </w:pPr>
  </w:style>
  <w:style w:customStyle="1" w:styleId="FirstParagraph" w:type="paragraph">
    <w:name w:val="First Paragraph"/>
    <w:basedOn w:val="BodyText"/>
    <w:next w:val="BodyText"/>
    <w:qFormat/>
    <w:rsid w:val="000112B5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0112B5"/>
    <w:pPr>
      <w:keepNext/>
      <w:keepLines/>
      <w:spacing w:after="240" w:before="480"/>
      <w:jc w:val="both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0112B5"/>
    <w:pPr>
      <w:spacing w:before="240"/>
    </w:pPr>
    <w:rPr>
      <w:rFonts w:ascii="Arial" w:hAnsi="Arial"/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rsid w:val="000112B5"/>
    <w:pPr>
      <w:keepNext/>
      <w:keepLines/>
      <w:spacing w:after="300" w:before="300"/>
      <w:jc w:val="both"/>
    </w:pPr>
    <w:rPr>
      <w:sz w:val="20"/>
      <w:szCs w:val="20"/>
    </w:rPr>
  </w:style>
  <w:style w:styleId="Bibliography" w:type="paragraph">
    <w:name w:val="Bibliography"/>
    <w:basedOn w:val="Normal"/>
    <w:qFormat/>
    <w:rsid w:val="0046018F"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A713A"/>
    <w:pPr>
      <w:keepNext/>
    </w:pPr>
    <w:rPr>
      <w:i w:val="0"/>
    </w:r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tyle1" w:type="paragraph">
    <w:name w:val="Style1"/>
    <w:basedOn w:val="Title"/>
    <w:qFormat/>
    <w:rsid w:val="000112B5"/>
    <w:rPr>
      <w:rFonts w:ascii="Arial" w:hAnsi="Arial"/>
    </w:rPr>
  </w:style>
  <w:style w:customStyle="1" w:styleId="BodyTextChar" w:type="character">
    <w:name w:val="Body Text Char"/>
    <w:basedOn w:val="DefaultParagraphFont"/>
    <w:link w:val="BodyText"/>
    <w:rsid w:val="000112B5"/>
    <w:rPr>
      <w:rFonts w:ascii="Arial" w:hAnsi="Arial"/>
    </w:rPr>
  </w:style>
  <w:style w:styleId="Footer" w:type="paragraph">
    <w:name w:val="footer"/>
    <w:basedOn w:val="Normal"/>
    <w:link w:val="FooterChar"/>
    <w:rsid w:val="0077582D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77582D"/>
    <w:rPr>
      <w:rFonts w:ascii="Arial" w:hAnsi="Arial"/>
    </w:rPr>
  </w:style>
  <w:style w:styleId="PageNumber" w:type="character">
    <w:name w:val="page number"/>
    <w:basedOn w:val="DefaultParagraphFont"/>
    <w:rsid w:val="0077582D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33" Target="media/rId33.png" /><Relationship Type="http://schemas.openxmlformats.org/officeDocument/2006/relationships/hyperlink" Id="rId37" Target="" TargetMode="External" /><Relationship Type="http://schemas.openxmlformats.org/officeDocument/2006/relationships/hyperlink" Id="rId20" Target="SWANG1@BWH.HARVARD.EDU" TargetMode="External" /><Relationship Type="http://schemas.openxmlformats.org/officeDocument/2006/relationships/hyperlink" Id="rId27" Target="https://doi.org/10.1093/jamiaopen/ooae00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" TargetMode="External" /><Relationship Type="http://schemas.openxmlformats.org/officeDocument/2006/relationships/hyperlink" Id="rId20" Target="SWANG1@BWH.HARVARD.EDU" TargetMode="External" /><Relationship Type="http://schemas.openxmlformats.org/officeDocument/2006/relationships/hyperlink" Id="rId27" Target="https://doi.org/10.1093/jamiaopen/ooae00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Process for the Emulation of Comparative Oncology Trials with Real-world Evidence (ENCORE)</dc:title>
  <dc:creator/>
  <cp:keywords/>
  <dcterms:created xsi:type="dcterms:W3CDTF">2024-11-28T17:40:34Z</dcterms:created>
  <dcterms:modified xsi:type="dcterms:W3CDTF">2024-11-28T17:40:34Z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journal-of-clinical-oncology.csl</vt:lpwstr>
  </property>
  <property fmtid="{D5CDD505-2E9C-101B-9397-08002B2CF9AE}" pid="5" name="editor">
    <vt:lpwstr>visual</vt:lpwstr>
  </property>
  <property fmtid="{D5CDD505-2E9C-101B-9397-08002B2CF9AE}" pid="6" name="fig-cap-location">
    <vt:lpwstr>top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bl-cap-location">
    <vt:lpwstr>top</vt:lpwstr>
  </property>
  <property fmtid="{D5CDD505-2E9C-101B-9397-08002B2CF9AE}" pid="12" name="toc-title">
    <vt:lpwstr>Table of contents</vt:lpwstr>
  </property>
</Properties>
</file>