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70.png" ContentType="image/png"/>
  <Override PartName="/word/media/rId74.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2024-12-04 14:17:57.270359</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bookmarkEnd w:id="22"/>
    <w:bookmarkStart w:id="28"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treatment guidelines among studied cancer indications have undergone significant changes in recent years. Due to the rapid adoption of new breakthrough therapies in routine care, it is unlikely to find patients who may be still treated with outdated treatment regimens in the real-world. In parallel, trial results should have also not been published too recently in order to allow for enough data and follow-up time accrual in databases used for this project. An further focus is on trials that have reported overall survival (OS) as one of the pre-specified endpoints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w:t>
      </w:r>
      <w:r>
        <w:rPr>
          <w:vertAlign w:val="superscript"/>
        </w:rPr>
        <w:t xml:space="preserve">19</w:t>
      </w:r>
      <w:r>
        <w:t xml:space="preserve">,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r>
        <w:t xml:space="preserve"> </w:t>
      </w:r>
      <w:r>
        <w:t xml:space="preserve">Lastly, trial candidates are ranked and shortlisted into primary and runner-up candidates based on their clinical and regulatory relevance.</w:t>
      </w:r>
    </w:p>
    <w:p>
      <w:pPr>
        <w:pStyle w:val="BodyText"/>
      </w:pPr>
      <w:r>
        <w:t xml:space="preserve">A list of tentative, shortlisted primary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genetic or immunological signatures) can be emulated using RWD. If ongoing feasibility assessments indicate that these trials cannot be emulated with high enough confidence, runner-up candidates will be considered instead.</w:t>
      </w:r>
    </w:p>
    <w:bookmarkEnd w:id="23"/>
    <w:bookmarkStart w:id="24" w:name="databases"/>
    <w:p>
      <w:pPr>
        <w:pStyle w:val="Heading2"/>
      </w:pPr>
      <w:r>
        <w:t xml:space="preserve">Databases</w:t>
      </w:r>
    </w:p>
    <w:p>
      <w:pPr>
        <w:pStyle w:val="FirstParagraph"/>
      </w:pPr>
      <w:r>
        <w:t xml:space="preserve">The ENCORE project will utilize data from a total four different oncology-specific electronic health records (EHR)-derived data sources: ConcertAI, COTA, Flatiron Health, McKesson/Ontada. All available databases draw from a comprehensive national sample of patients with cancer in the US with detailed EHR-derived information on the information necessary to study medication effectiveness in oncology. For ENCORE, not all databases will be available for each cancer indication and the names of the databases will be blinded and referred to as ENCORE DataBase (EDB) 1, 2, 3 and 4 for the final reporting of results. If more than one database is considered fit-for-purpose for a respective trial emulation, the best possible analytic model will be employed for each database separately and final treatment effect estimates will be pooled using a meta-analytic approach.</w:t>
      </w:r>
    </w:p>
    <w:bookmarkEnd w:id="24"/>
    <w:bookmarkStart w:id="25" w:name="protocol-development"/>
    <w:p>
      <w:pPr>
        <w:pStyle w:val="Heading2"/>
      </w:pPr>
      <w:r>
        <w:t xml:space="preserve">Protocol development</w:t>
      </w:r>
    </w:p>
    <w:p>
      <w:pPr>
        <w:pStyle w:val="FirstParagraph"/>
      </w:pPr>
      <w:r>
        <w:t xml:space="preserve">For each shortlisted and selected RCT, a detailed protocol, pre-specifying key elements of the trial emulation, will be developed following the HARPER protocol template</w:t>
      </w:r>
      <w:r>
        <w:rPr>
          <w:vertAlign w:val="superscript"/>
        </w:rPr>
        <w:t xml:space="preserve">21</w:t>
      </w:r>
      <w:r>
        <w:t xml:space="preserve"> </w:t>
      </w:r>
      <w:r>
        <w:t xml:space="preserve">and registered on ClinicalTrials.gov. Following the target trial emulation framework, we will provide an explicit statement and rationale on how each element will be emulated including database selection, covariate measurement, operationalization of key eligibility criteria, study design, data analysis and causal contrasts of interest.</w:t>
      </w:r>
      <w:r>
        <w:rPr>
          <w:vertAlign w:val="superscript"/>
        </w:rPr>
        <w:t xml:space="preserve">22, 23</w:t>
      </w:r>
      <w:r>
        <w:t xml:space="preserve"> </w:t>
      </w:r>
      <w:r>
        <w:t xml:space="preserve">Since it is common that oncology RCTs update OS estimates periodically based on accrued follow-up time, the protocol will give a brief summary of each emulated RCT and specify which target OS estimates will be used to compare agreement metrics to. All eligibility criteria will be extracted based on publicly available protocols and statistical analysis plans of the selcted RCT. According to the</w:t>
      </w:r>
      <w:r>
        <w:t xml:space="preserve"> </w:t>
      </w:r>
      <w:r>
        <w:rPr>
          <w:i/>
          <w:iCs/>
        </w:rPr>
        <w:t xml:space="preserve">Structured Process to Identify Fit-For-Purpose Data</w:t>
      </w:r>
      <w:r>
        <w:t xml:space="preserve"> </w:t>
      </w:r>
      <w:r>
        <w:t xml:space="preserve">(SPIFD) framework</w:t>
      </w:r>
      <w:r>
        <w:rPr>
          <w:vertAlign w:val="superscript"/>
        </w:rPr>
        <w:t xml:space="preserve">13</w:t>
      </w:r>
      <w:r>
        <w:t xml:space="preserve">, tables will outline how eligibility criteria will be measured and operationalized and a color-coded heatmap will indicate the level of confidence on how well each criterion can be emulated in each selected database. As there are general eligibility criteria in oncology trials which either won’t be possible to emulate (e.g., physician-assessed survival prognosis of xy months) or that are clinically not relevant for the emulation of the trial (e.g., male patients should be willing to use barrier contraception), the study team will decide on key eligibility criteria for the emulation of the trial. We will additionally provide a definition on how exposure and outcomes are defined and ascertained in each respective database. For the considered databases, the OS endpoint is a composite that is derived from different sources like EHR flags, social security death index, obituary and other linkages. Given that not all relevant sources that provide mortality data are synchronized and updated uniformly, sensitivity analyses with more conservative (i.e., earlier) censoring dates will be considered for each trial emulation to mitigate the potential impact of ghost-time bias.</w:t>
      </w:r>
      <w:r>
        <w:rPr>
          <w:vertAlign w:val="superscript"/>
        </w:rPr>
        <w:t xml:space="preserve">24</w:t>
      </w:r>
      <w:r>
        <w:t xml:space="preserve"> </w:t>
      </w:r>
      <w:r>
        <w:t xml:space="preserve">Each final protocol draft will be reviewed by a clinical and FDA regulatory expert panel before registration on ClinicalTrials.gov.</w:t>
      </w:r>
    </w:p>
    <w:p>
      <w:pPr>
        <w:pStyle w:val="BodyText"/>
      </w:pPr>
      <w:r>
        <w:t xml:space="preserve">Critical aspects when emulating oncology trials are the choice and estimation of the approriate estimand of interest.</w:t>
      </w:r>
      <w:r>
        <w:rPr>
          <w:vertAlign w:val="superscript"/>
        </w:rPr>
        <w:t xml:space="preserve">25</w:t>
      </w:r>
      <w:r>
        <w:t xml:space="preserve"> </w:t>
      </w:r>
      <w:r>
        <w:t xml:space="preserve">Particularly when emulating pivotal trials of paradigm-changing treatments, multiple aspects need to be considered such as the contemporaneity of the (historical) control cohort, the adoption rate of the novel intervention in routine care, the magnitude of the clinical treatment benefit and the rate in which (particularly patients in the control arm) discontinue or cross-over to the interventional treatment, which could lastly bias emulated treatment effects towards the null. To that end, comprehensive diagnostics will be performed to contextualize these parameters and (if reported) draw comparisons to the emulated trial.</w:t>
      </w:r>
    </w:p>
    <w:bookmarkEnd w:id="25"/>
    <w:bookmarkStart w:id="26" w:name="gn-and-statistical-analysis"/>
    <w:p>
      <w:pPr>
        <w:pStyle w:val="Heading2"/>
      </w:pPr>
      <w:r>
        <w:t xml:space="preserve">gn and statistical analysis</w:t>
      </w:r>
    </w:p>
    <w:p>
      <w:pPr>
        <w:pStyle w:val="FirstParagraph"/>
      </w:pPr>
      <w:r>
        <w:rPr>
          <w:vertAlign w:val="superscript"/>
        </w:rPr>
        <w:t xml:space="preserve">26</w:t>
      </w:r>
    </w:p>
    <w:bookmarkEnd w:id="26"/>
    <w:bookmarkStart w:id="27" w:name="agreement-metrics"/>
    <w:p>
      <w:pPr>
        <w:pStyle w:val="Heading2"/>
      </w:pPr>
      <w:r>
        <w:t xml:space="preserve">Agreement metrics</w:t>
      </w:r>
    </w:p>
    <w:p>
      <w:r>
        <w:br w:type="page"/>
      </w:r>
    </w:p>
    <w:bookmarkEnd w:id="27"/>
    <w:bookmarkEnd w:id="28"/>
    <w:bookmarkStart w:id="30" w:name="discussion"/>
    <w:p>
      <w:pPr>
        <w:pStyle w:val="Heading1"/>
      </w:pPr>
      <w:r>
        <w:t xml:space="preserve">Discussion</w:t>
      </w:r>
    </w:p>
    <w:p>
      <w:pPr>
        <w:pStyle w:val="FirstParagraph"/>
      </w:pPr>
      <w:r>
        <w:t xml:space="preserve">…</w:t>
      </w:r>
    </w:p>
    <w:bookmarkStart w:id="29" w:name="conclusions"/>
    <w:p>
      <w:pPr>
        <w:pStyle w:val="Heading2"/>
      </w:pPr>
      <w:r>
        <w:t xml:space="preserve">Conclusions</w:t>
      </w:r>
    </w:p>
    <w:p>
      <w:pPr>
        <w:pStyle w:val="FirstParagraph"/>
      </w:pPr>
      <w:r>
        <w:t xml:space="preserve">…</w:t>
      </w:r>
    </w:p>
    <w:p>
      <w:r>
        <w:br w:type="page"/>
      </w:r>
    </w:p>
    <w:bookmarkEnd w:id="29"/>
    <w:bookmarkEnd w:id="30"/>
    <w:bookmarkStart w:id="69" w:name="references"/>
    <w:p>
      <w:pPr>
        <w:pStyle w:val="Heading1"/>
      </w:pPr>
      <w:r>
        <w:t xml:space="preserve">References</w:t>
      </w:r>
    </w:p>
    <w:bookmarkStart w:id="68" w:name="refs"/>
    <w:bookmarkStart w:id="32" w:name="ref-RWEFDA"/>
    <w:p>
      <w:pPr>
        <w:pStyle w:val="Bibliography"/>
      </w:pPr>
      <w:r>
        <w:rPr>
          <w:b/>
          <w:bCs/>
        </w:rPr>
        <w:t xml:space="preserve">1</w:t>
      </w:r>
      <w:r>
        <w:t xml:space="preserve">. Framework for FDA’s real-world evidence program (last accessed 11/28/2024) [Internet], 2018Available from:</w:t>
      </w:r>
      <w:r>
        <w:t xml:space="preserve"> </w:t>
      </w:r>
      <w:hyperlink r:id="rId31">
        <w:r>
          <w:rPr>
            <w:rStyle w:val="Hyperlink"/>
          </w:rPr>
          <w:t xml:space="preserve">https://www.fda.gov/media/120060/download?attachment</w:t>
        </w:r>
      </w:hyperlink>
    </w:p>
    <w:bookmarkEnd w:id="32"/>
    <w:bookmarkStart w:id="33"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3"/>
    <w:bookmarkStart w:id="34" w:name="ref-senior2024fresh"/>
    <w:p>
      <w:pPr>
        <w:pStyle w:val="Bibliography"/>
      </w:pPr>
      <w:r>
        <w:rPr>
          <w:b/>
          <w:bCs/>
        </w:rPr>
        <w:t xml:space="preserve">3</w:t>
      </w:r>
      <w:r>
        <w:t xml:space="preserve">. Senior M: Fresh from the biotech pipeline: Record-breaking FDA approvals. Nature Biotechnology, 2024</w:t>
      </w:r>
    </w:p>
    <w:bookmarkEnd w:id="34"/>
    <w:bookmarkStart w:id="36"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5">
        <w:r>
          <w:rPr>
            <w:rStyle w:val="Hyperlink"/>
          </w:rPr>
          <w:t xml:space="preserve">http://dx.doi.org/10.1016/j.annepidem.2022.07.007</w:t>
        </w:r>
      </w:hyperlink>
    </w:p>
    <w:bookmarkEnd w:id="36"/>
    <w:bookmarkStart w:id="37"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7"/>
    <w:bookmarkStart w:id="38"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8"/>
    <w:bookmarkStart w:id="39"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9"/>
    <w:bookmarkStart w:id="40"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40"/>
    <w:bookmarkStart w:id="42" w:name="ref-wang2023emulation"/>
    <w:p>
      <w:pPr>
        <w:pStyle w:val="Bibliography"/>
      </w:pPr>
      <w:r>
        <w:rPr>
          <w:b/>
          <w:bCs/>
        </w:rPr>
        <w:t xml:space="preserve">9</w:t>
      </w:r>
      <w:r>
        <w:t xml:space="preserve">. Wang SV, Schneeweiss S, Franklin JM, et al:</w:t>
      </w:r>
      <w:r>
        <w:t xml:space="preserve"> </w:t>
      </w:r>
      <w:hyperlink r:id="rId41">
        <w:r>
          <w:rPr>
            <w:rStyle w:val="Hyperlink"/>
          </w:rPr>
          <w:t xml:space="preserve">Emulation of randomized clinical trials with nonrandomized database analyses: Results of 32 clinical trials</w:t>
        </w:r>
      </w:hyperlink>
      <w:r>
        <w:t xml:space="preserve">. Jama 329:1376–1385, 2023</w:t>
      </w:r>
    </w:p>
    <w:bookmarkEnd w:id="42"/>
    <w:bookmarkStart w:id="44"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3">
        <w:r>
          <w:rPr>
            <w:rStyle w:val="Hyperlink"/>
          </w:rPr>
          <w:t xml:space="preserve">https://doi.org/10.1136/bmjmed-2023-000709</w:t>
        </w:r>
      </w:hyperlink>
    </w:p>
    <w:bookmarkEnd w:id="44"/>
    <w:bookmarkStart w:id="46"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5">
        <w:r>
          <w:rPr>
            <w:rStyle w:val="Hyperlink"/>
          </w:rPr>
          <w:t xml:space="preserve">https://www.fda.gov/about-fda/oncology-center-excellence/calibrating-real-world-evidence-studies-oncology-against-randomized-trials-encore</w:t>
        </w:r>
      </w:hyperlink>
    </w:p>
    <w:bookmarkEnd w:id="46"/>
    <w:bookmarkStart w:id="47"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7"/>
    <w:bookmarkStart w:id="48"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8"/>
    <w:bookmarkStart w:id="49"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9"/>
    <w:bookmarkStart w:id="50"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50"/>
    <w:bookmarkStart w:id="52"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1">
        <w:r>
          <w:rPr>
            <w:rStyle w:val="Hyperlink"/>
          </w:rPr>
          <w:t xml:space="preserve">https://doi.org/10.1158/1078-0432.CCR-22-0471</w:t>
        </w:r>
      </w:hyperlink>
    </w:p>
    <w:bookmarkEnd w:id="52"/>
    <w:bookmarkStart w:id="53"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3"/>
    <w:bookmarkStart w:id="55"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4">
        <w:r>
          <w:rPr>
            <w:rStyle w:val="Hyperlink"/>
          </w:rPr>
          <w:t xml:space="preserve">https://ascopubs.org/doi/abs/10.1200/JCO.2023.41.16_suppl.e21194</w:t>
        </w:r>
      </w:hyperlink>
    </w:p>
    <w:bookmarkEnd w:id="55"/>
    <w:bookmarkStart w:id="56"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6"/>
    <w:bookmarkStart w:id="57"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7"/>
    <w:bookmarkStart w:id="59" w:name="ref-wang2022harmonized"/>
    <w:p>
      <w:pPr>
        <w:pStyle w:val="Bibliography"/>
      </w:pPr>
      <w:r>
        <w:rPr>
          <w:b/>
          <w:bCs/>
        </w:rPr>
        <w:t xml:space="preserve">21</w:t>
      </w:r>
      <w:r>
        <w:t xml:space="preserve">. Wang SV, Pottegård A, Crown W, et al: HARmonized protocol template to enhance reproducibility of hypothesis evaluating real-world evidence studies on treatment effects: A good practices report of a joint ISPE/ISPOR task force [Internet]. Value in Health 25:1663–1672, 2022Available from:</w:t>
      </w:r>
      <w:r>
        <w:t xml:space="preserve"> </w:t>
      </w:r>
      <w:hyperlink r:id="rId58">
        <w:r>
          <w:rPr>
            <w:rStyle w:val="Hyperlink"/>
          </w:rPr>
          <w:t xml:space="preserve">https://doi.org/10.1016/j.jval.2022.09.001</w:t>
        </w:r>
      </w:hyperlink>
    </w:p>
    <w:bookmarkEnd w:id="59"/>
    <w:bookmarkStart w:id="60" w:name="ref-hernan2022target"/>
    <w:p>
      <w:pPr>
        <w:pStyle w:val="Bibliography"/>
      </w:pPr>
      <w:r>
        <w:rPr>
          <w:b/>
          <w:bCs/>
        </w:rPr>
        <w:t xml:space="preserve">22</w:t>
      </w:r>
      <w:r>
        <w:t xml:space="preserve">. Hernán MA, Wang W, Leaf DE: Target trial emulation: A framework for causal inference from observational data. Jama 328:2446–2447, 2022</w:t>
      </w:r>
    </w:p>
    <w:bookmarkEnd w:id="60"/>
    <w:bookmarkStart w:id="62" w:name="ref-hernan2016specifying"/>
    <w:p>
      <w:pPr>
        <w:pStyle w:val="Bibliography"/>
      </w:pPr>
      <w:r>
        <w:rPr>
          <w:b/>
          <w:bCs/>
        </w:rPr>
        <w:t xml:space="preserve">23</w:t>
      </w:r>
      <w:r>
        <w:t xml:space="preserve">. Hernán MA, Sauer BC, Hernández-Dı́az S, et al:</w:t>
      </w:r>
      <w:r>
        <w:t xml:space="preserve"> </w:t>
      </w:r>
      <w:hyperlink r:id="rId61">
        <w:r>
          <w:rPr>
            <w:rStyle w:val="Hyperlink"/>
          </w:rPr>
          <w:t xml:space="preserve">Specifying a target trial prevents immortal time bias and other self-inflicted injuries in observational analyses</w:t>
        </w:r>
      </w:hyperlink>
      <w:r>
        <w:t xml:space="preserve">. Journal of clinical epidemiology 79:70–75, 2016</w:t>
      </w:r>
    </w:p>
    <w:bookmarkEnd w:id="62"/>
    <w:bookmarkStart w:id="63" w:name="ref-meyer2020open"/>
    <w:p>
      <w:pPr>
        <w:pStyle w:val="Bibliography"/>
      </w:pPr>
      <w:r>
        <w:rPr>
          <w:b/>
          <w:bCs/>
        </w:rPr>
        <w:t xml:space="preserve">24</w:t>
      </w:r>
      <w:r>
        <w:t xml:space="preserve">. Meyer A-M, Davies J, Taylor M, et al: Open cohorts and ghost-time bias in real world data, in PHARMACOEPIDEMIOLOGY AND DRUG SAFETY. WILEY 111 RIVER ST, HOBOKEN 07030-5774, NJ USA, 2020, pp 426–426</w:t>
      </w:r>
    </w:p>
    <w:bookmarkEnd w:id="63"/>
    <w:bookmarkStart w:id="65" w:name="ref-rufibach2018"/>
    <w:p>
      <w:pPr>
        <w:pStyle w:val="Bibliography"/>
      </w:pPr>
      <w:r>
        <w:rPr>
          <w:b/>
          <w:bCs/>
        </w:rPr>
        <w:t xml:space="preserve">25</w:t>
      </w:r>
      <w:r>
        <w:t xml:space="preserve">. Rufibach K: Treatment effect quantification for time</w:t>
      </w:r>
      <w:r>
        <w:t xml:space="preserve">-</w:t>
      </w:r>
      <w:r>
        <w:t xml:space="preserve">to</w:t>
      </w:r>
      <w:r>
        <w:t xml:space="preserve">-</w:t>
      </w:r>
      <w:r>
        <w:t xml:space="preserve">event endpoints</w:t>
      </w:r>
      <w:r>
        <w:t xml:space="preserve">Estimands, analysis strategies, and beyond [Internet]. Pharmaceutical Statistics 18:145–165, 2018Available from:</w:t>
      </w:r>
      <w:r>
        <w:t xml:space="preserve"> </w:t>
      </w:r>
      <w:hyperlink r:id="rId64">
        <w:r>
          <w:rPr>
            <w:rStyle w:val="Hyperlink"/>
          </w:rPr>
          <w:t xml:space="preserve">http://dx.doi.org/10.1002/pst.1917</w:t>
        </w:r>
      </w:hyperlink>
    </w:p>
    <w:bookmarkEnd w:id="65"/>
    <w:bookmarkStart w:id="67" w:name="ref-weberpals2024"/>
    <w:p>
      <w:pPr>
        <w:pStyle w:val="Bibliography"/>
      </w:pPr>
      <w:r>
        <w:rPr>
          <w:b/>
          <w:bCs/>
        </w:rPr>
        <w:t xml:space="preserve">26</w:t>
      </w:r>
      <w:r>
        <w:t xml:space="preserve">. Weberpals J, Raman SR, Shaw PA, et al: A principled approach to characterize and analyze partially observed confounder data from electronic health records [Internet]. Clinical Epidemiology 16:329–343, 2024Available from:</w:t>
      </w:r>
      <w:hyperlink r:id="rId66">
        <w:r>
          <w:rPr>
            <w:rStyle w:val="Hyperlink"/>
          </w:rPr>
          <w:t xml:space="preserve"> </w:t>
        </w:r>
        <w:r>
          <w:rPr>
            <w:rStyle w:val="Hyperlink"/>
          </w:rPr>
          <w:t xml:space="preserve">https://www.tandfonline.com/doi/abs/10.2147/CLEP.S436131</w:t>
        </w:r>
        <w:r>
          <w:rPr>
            <w:rStyle w:val="Hyperlink"/>
          </w:rPr>
          <w:t xml:space="preserve"> </w:t>
        </w:r>
      </w:hyperlink>
    </w:p>
    <w:bookmarkEnd w:id="67"/>
    <w:bookmarkEnd w:id="68"/>
    <w:p>
      <w:r>
        <w:br w:type="page"/>
      </w:r>
    </w:p>
    <w:bookmarkEnd w:id="69"/>
    <w:bookmarkStart w:id="78" w:name="tables"/>
    <w:p>
      <w:pPr>
        <w:pStyle w:val="Heading1"/>
      </w:pPr>
      <w:r>
        <w:t xml:space="preserve">Tables</w:t>
      </w:r>
    </w:p>
    <w:p>
      <w:pPr>
        <w:pStyle w:val="SourceCode"/>
      </w:pPr>
      <w:r>
        <w:rPr>
          <w:rStyle w:val="VerbatimChar"/>
        </w:rPr>
        <w:t xml:space="preserve">file:////tmp/RtmpB5BxHp/file14035ddbc37d.html screenshot completed</w:t>
      </w:r>
    </w:p>
    <w:tbl>
      <w:tblPr>
        <w:tblStyle w:val="Table"/>
        <w:tblW w:type="pct" w:w="5000"/>
        <w:tblLayout w:type="fixed"/>
        <w:tblLook w:firstRow="0" w:lastRow="0" w:firstColumn="0" w:lastColumn="0" w:noHBand="0" w:noVBand="0" w:val="0000"/>
      </w:tblPr>
      <w:tblGrid>
        <w:gridCol w:w="7920"/>
      </w:tblGrid>
      <w:tr>
        <w:tc>
          <w:tcPr/>
          <w:bookmarkStart w:id="73"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71" name="Picture"/>
                  <a:graphic>
                    <a:graphicData uri="http://schemas.openxmlformats.org/drawingml/2006/picture">
                      <pic:pic>
                        <pic:nvPicPr>
                          <pic:cNvPr descr="../tables/Table_1_trial_eligibility.png" id="72" name="Picture"/>
                          <pic:cNvPicPr>
                            <a:picLocks noChangeArrowheads="1" noChangeAspect="1"/>
                          </pic:cNvPicPr>
                        </pic:nvPicPr>
                        <pic:blipFill>
                          <a:blip r:embed="rId70"/>
                          <a:stretch>
                            <a:fillRect/>
                          </a:stretch>
                        </pic:blipFill>
                        <pic:spPr bwMode="auto">
                          <a:xfrm>
                            <a:off x="0" y="0"/>
                            <a:ext cx="5943600" cy="5414333"/>
                          </a:xfrm>
                          <a:prstGeom prst="rect">
                            <a:avLst/>
                          </a:prstGeom>
                          <a:noFill/>
                          <a:ln w="9525">
                            <a:noFill/>
                            <a:headEnd/>
                            <a:tailEnd/>
                          </a:ln>
                        </pic:spPr>
                      </pic:pic>
                    </a:graphicData>
                  </a:graphic>
                </wp:inline>
              </w:drawing>
            </w:r>
          </w:p>
          <w:bookmarkEnd w:id="73"/>
        </w:tc>
      </w:tr>
    </w:tbl>
    <w:p>
      <w:r>
        <w:br w:type="page"/>
      </w:r>
    </w:p>
    <w:p>
      <w:pPr>
        <w:pStyle w:val="SourceCode"/>
      </w:pPr>
      <w:r>
        <w:rPr>
          <w:rStyle w:val="VerbatimChar"/>
        </w:rPr>
        <w:t xml:space="preserve">file:////tmp/RtmpB5BxHp/file14037a81daa2.html screenshot completed</w:t>
      </w:r>
    </w:p>
    <w:tbl>
      <w:tblPr>
        <w:tblStyle w:val="Table"/>
        <w:tblW w:type="pct" w:w="5000"/>
        <w:tblLayout w:type="fixed"/>
        <w:tblLook w:firstRow="0" w:lastRow="0" w:firstColumn="0" w:lastColumn="0" w:noHBand="0" w:noVBand="0" w:val="0000"/>
      </w:tblPr>
      <w:tblGrid>
        <w:gridCol w:w="7920"/>
      </w:tblGrid>
      <w:tr>
        <w:tc>
          <w:tcPr/>
          <w:bookmarkStart w:id="77"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6065270"/>
                  <wp:effectExtent b="0" l="0" r="0" t="0"/>
                  <wp:docPr descr="" title="" id="75" name="Picture"/>
                  <a:graphic>
                    <a:graphicData uri="http://schemas.openxmlformats.org/drawingml/2006/picture">
                      <pic:pic>
                        <pic:nvPicPr>
                          <pic:cNvPr descr="../tables/Table_2_trial_selection.png" id="76" name="Picture"/>
                          <pic:cNvPicPr>
                            <a:picLocks noChangeArrowheads="1" noChangeAspect="1"/>
                          </pic:cNvPicPr>
                        </pic:nvPicPr>
                        <pic:blipFill>
                          <a:blip r:embed="rId74"/>
                          <a:stretch>
                            <a:fillRect/>
                          </a:stretch>
                        </pic:blipFill>
                        <pic:spPr bwMode="auto">
                          <a:xfrm>
                            <a:off x="0" y="0"/>
                            <a:ext cx="5943600" cy="6065270"/>
                          </a:xfrm>
                          <a:prstGeom prst="rect">
                            <a:avLst/>
                          </a:prstGeom>
                          <a:noFill/>
                          <a:ln w="9525">
                            <a:noFill/>
                            <a:headEnd/>
                            <a:tailEnd/>
                          </a:ln>
                        </pic:spPr>
                      </pic:pic>
                    </a:graphicData>
                  </a:graphic>
                </wp:inline>
              </w:drawing>
            </w:r>
          </w:p>
          <w:bookmarkEnd w:id="77"/>
        </w:tc>
      </w:tr>
    </w:tbl>
    <w:p>
      <w:r>
        <w:br w:type="page"/>
      </w:r>
    </w:p>
    <w:bookmarkEnd w:id="78"/>
    <w:bookmarkStart w:id="88"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82"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80" name="Picture"/>
                  <a:graphic>
                    <a:graphicData uri="http://schemas.openxmlformats.org/drawingml/2006/picture">
                      <pic:pic>
                        <pic:nvPicPr>
                          <pic:cNvPr descr="../figures/process.png" id="81"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bookmarkEnd w:id="82"/>
        </w:tc>
      </w:tr>
    </w:tbl>
    <w:p>
      <w:pPr>
        <w:pStyle w:val="BodyText"/>
      </w:pPr>
      <w:hyperlink r:id="rId83">
        <w:r>
          <w:rPr>
            <w:rStyle w:val="Hyperlink"/>
          </w:rPr>
          <w:t xml:space="preserve">View figure in higher resolution here</w:t>
        </w:r>
      </w:hyperlink>
    </w:p>
    <w:p>
      <w:r>
        <w:br w:type="page"/>
      </w:r>
    </w:p>
    <w:p>
      <w:pPr>
        <w:pStyle w:val="SourceCode"/>
      </w:pPr>
      <w:r>
        <w:rPr>
          <w:rStyle w:val="VerbatimChar"/>
        </w:rPr>
        <w:t xml:space="preserve">Warning in get_plot_component(plot, "guide-box"): Multiple components found;</w:t>
      </w:r>
      <w:r>
        <w:br/>
      </w:r>
      <w:r>
        <w:rPr>
          <w:rStyle w:val="VerbatimChar"/>
        </w:rPr>
        <w:t xml:space="preserve">returning the first one. To return all, use `return_all = TRUE`.</w:t>
      </w:r>
    </w:p>
    <w:p>
      <w:pPr>
        <w:pStyle w:val="SourceCode"/>
      </w:pPr>
      <w:r>
        <w:rPr>
          <w:rStyle w:val="VerbatimChar"/>
        </w:rPr>
        <w:t xml:space="preserve">Saving 5 x 7 in image</w:t>
      </w:r>
    </w:p>
    <w:tbl>
      <w:tblPr>
        <w:tblStyle w:val="Table"/>
        <w:tblW w:type="pct" w:w="5000"/>
        <w:tblLayout w:type="fixed"/>
        <w:tblLook w:firstRow="0" w:lastRow="0" w:firstColumn="0" w:lastColumn="0" w:noHBand="0" w:noVBand="0" w:val="0000"/>
      </w:tblPr>
      <w:tblGrid>
        <w:gridCol w:w="7920"/>
      </w:tblGrid>
      <w:tr>
        <w:tc>
          <w:tcPr/>
          <w:bookmarkStart w:id="87" w:name="fig-initiators"/>
          <w:p>
            <w:pPr>
              <w:jc w:val="center"/>
            </w:pPr>
            <w:pPr>
              <w:jc w:val="start"/>
              <w:spacing w:before="200"/>
              <w:pStyle w:val="ImageCaption"/>
            </w:pPr>
            <w:r>
              <w:t xml:space="preserve">Figure 2: Descriptive drug utilization analyses.</w:t>
            </w:r>
          </w:p>
          <w:p>
            <w:pPr>
              <w:pStyle w:val="Compact"/>
              <w:jc w:val="center"/>
            </w:pPr>
            <w:r>
              <w:drawing>
                <wp:inline>
                  <wp:extent cx="4577722" cy="6407666"/>
                  <wp:effectExtent b="0" l="0" r="0" t="0"/>
                  <wp:docPr descr="" title="" id="85" name="Picture"/>
                  <a:graphic>
                    <a:graphicData uri="http://schemas.openxmlformats.org/drawingml/2006/picture">
                      <pic:pic>
                        <pic:nvPicPr>
                          <pic:cNvPr descr="Figure_2_utlization.png" id="86" name="Picture"/>
                          <pic:cNvPicPr>
                            <a:picLocks noChangeArrowheads="1" noChangeAspect="1"/>
                          </pic:cNvPicPr>
                        </pic:nvPicPr>
                        <pic:blipFill>
                          <a:blip r:embed="rId84"/>
                          <a:stretch>
                            <a:fillRect/>
                          </a:stretch>
                        </pic:blipFill>
                        <pic:spPr bwMode="auto">
                          <a:xfrm>
                            <a:off x="0" y="0"/>
                            <a:ext cx="4577722" cy="6407666"/>
                          </a:xfrm>
                          <a:prstGeom prst="rect">
                            <a:avLst/>
                          </a:prstGeom>
                          <a:noFill/>
                          <a:ln w="9525">
                            <a:noFill/>
                            <a:headEnd/>
                            <a:tailEnd/>
                          </a:ln>
                        </pic:spPr>
                      </pic:pic>
                    </a:graphicData>
                  </a:graphic>
                </wp:inline>
              </w:drawing>
            </w:r>
          </w:p>
          <w:bookmarkEnd w:id="87"/>
        </w:tc>
      </w:tr>
    </w:tbl>
    <w:bookmarkEnd w:id="88"/>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hyperlink" Id="rId6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4" Target="http://dx.doi.org/10.1002/pst.1917"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3"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6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4" Target="http://dx.doi.org/10.1002/pst.1917"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3"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2024-12-04T14:18:20Z</dcterms:created>
  <dcterms:modified xsi:type="dcterms:W3CDTF">2024-12-04T14:18:20Z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messages">
    <vt:lpwstr>False</vt:lpwstr>
  </property>
  <property fmtid="{D5CDD505-2E9C-101B-9397-08002B2CF9AE}" pid="12" name="tbl-cap-location">
    <vt:lpwstr>top</vt:lpwstr>
  </property>
  <property fmtid="{D5CDD505-2E9C-101B-9397-08002B2CF9AE}" pid="13" name="toc-title">
    <vt:lpwstr>Table of contents</vt:lpwstr>
  </property>
  <property fmtid="{D5CDD505-2E9C-101B-9397-08002B2CF9AE}" pid="14" name="warnings">
    <vt:lpwstr>False</vt:lpwstr>
  </property>
</Properties>
</file>