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94.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3,033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meaningful real-world evidence (RWE) studies. Many advances have been made in the documentation and reporting of study protocols and results, but the version control and sharing of analytic code in RWE is not as established yet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workflows to facilitate reproducible analyses. We further discuss and showcase how these tools can be used to track changes, collaborate, disseminate and archive RWE studies through dedicated project repositories maintaining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real-world evidence (RWE) studies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 steps is still significantly lacking, especially when analyses are implemented via line coding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code is rather the rule than the exception, this practice is not as common in the (pharmaco-) 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12</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https://gitlab.com/USERNAME/rwe_study.gitlab.io.git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14</w:t>
      </w:r>
      <w:r>
        <w:t xml:space="preserve"> </w:t>
      </w:r>
      <w:r>
        <w:t xml:space="preserve">or propensity score matching</w:t>
      </w:r>
      <w:r>
        <w:rPr>
          <w:vertAlign w:val="superscript"/>
        </w:rPr>
        <w:t xml:space="preserve">15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16,17</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18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19</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amount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12</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acquanited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20</w:t>
      </w:r>
      <w:r>
        <w:t xml:space="preserve"> </w:t>
      </w:r>
      <w:r>
        <w:t xml:space="preserve">which makes shared code interoperable even without direct access to the raw data. Finally, code sharing can enable researchers to learn from each other, build trust</w:t>
      </w:r>
      <w:r>
        <w:rPr>
          <w:vertAlign w:val="superscript"/>
        </w:rPr>
        <w:t xml:space="preserve">21</w:t>
      </w:r>
      <w:r>
        <w:t xml:space="preserve">, expedite the uptake of novel methodologies and knowledge exchange and decrease unneccesary redundancies through sharing of code libraries, functions and algorithms.</w:t>
      </w:r>
    </w:p>
    <w:p>
      <w:r>
        <w:br w:type="page"/>
      </w:r>
    </w:p>
    <w:bookmarkEnd w:id="50"/>
    <w:bookmarkStart w:id="93" w:name="references"/>
    <w:p>
      <w:pPr>
        <w:pStyle w:val="Heading1"/>
      </w:pPr>
      <w:r>
        <w:t xml:space="preserve">References</w:t>
      </w:r>
    </w:p>
    <w:bookmarkStart w:id="92" w:name="refs"/>
    <w:bookmarkStart w:id="52"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1">
        <w:r>
          <w:rPr>
            <w:rStyle w:val="Hyperlink"/>
          </w:rPr>
          <w:t xml:space="preserve">10.1136/bmj.m4856</w:t>
        </w:r>
      </w:hyperlink>
      <w:r>
        <w:t xml:space="preserve">.</w:t>
      </w:r>
    </w:p>
    <w:bookmarkEnd w:id="52"/>
    <w:bookmarkStart w:id="54"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53">
        <w:r>
          <w:rPr>
            <w:rStyle w:val="Hyperlink"/>
          </w:rPr>
          <w:t xml:space="preserve">10.7326/m18-3079</w:t>
        </w:r>
      </w:hyperlink>
      <w:r>
        <w:t xml:space="preserve">.</w:t>
      </w:r>
    </w:p>
    <w:bookmarkEnd w:id="54"/>
    <w:bookmarkStart w:id="56"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55">
        <w:r>
          <w:rPr>
            <w:rStyle w:val="Hyperlink"/>
          </w:rPr>
          <w:t xml:space="preserve">10.1002/pds.4297</w:t>
        </w:r>
      </w:hyperlink>
      <w:r>
        <w:t xml:space="preserve">.</w:t>
      </w:r>
    </w:p>
    <w:bookmarkEnd w:id="56"/>
    <w:bookmarkStart w:id="58"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57">
        <w:r>
          <w:rPr>
            <w:rStyle w:val="Hyperlink"/>
          </w:rPr>
          <w:t xml:space="preserve">10.1002/pds.5507</w:t>
        </w:r>
      </w:hyperlink>
      <w:r>
        <w:t xml:space="preserve">.</w:t>
      </w:r>
    </w:p>
    <w:bookmarkEnd w:id="58"/>
    <w:bookmarkStart w:id="60"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59">
        <w:r>
          <w:rPr>
            <w:rStyle w:val="Hyperlink"/>
          </w:rPr>
          <w:t xml:space="preserve">https://www.R-project.org/</w:t>
        </w:r>
      </w:hyperlink>
      <w:r>
        <w:t xml:space="preserve">.</w:t>
      </w:r>
    </w:p>
    <w:bookmarkEnd w:id="60"/>
    <w:bookmarkStart w:id="62"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1">
        <w:r>
          <w:rPr>
            <w:rStyle w:val="Hyperlink"/>
          </w:rPr>
          <w:t xml:space="preserve">10.1093/jamia/ocx120</w:t>
        </w:r>
      </w:hyperlink>
      <w:r>
        <w:t xml:space="preserve">.</w:t>
      </w:r>
    </w:p>
    <w:bookmarkEnd w:id="62"/>
    <w:bookmarkStart w:id="64"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63">
        <w:r>
          <w:rPr>
            <w:rStyle w:val="Hyperlink"/>
          </w:rPr>
          <w:t xml:space="preserve">10.1038/s41467-021-25974-w</w:t>
        </w:r>
      </w:hyperlink>
      <w:r>
        <w:t xml:space="preserve">.</w:t>
      </w:r>
    </w:p>
    <w:bookmarkEnd w:id="64"/>
    <w:bookmarkStart w:id="66"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65">
        <w:r>
          <w:rPr>
            <w:rStyle w:val="Hyperlink"/>
          </w:rPr>
          <w:t xml:space="preserve">10.1371/journal.pone.0205898</w:t>
        </w:r>
      </w:hyperlink>
      <w:r>
        <w:t xml:space="preserve">.</w:t>
      </w:r>
    </w:p>
    <w:bookmarkEnd w:id="66"/>
    <w:bookmarkStart w:id="68"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67">
        <w:r>
          <w:rPr>
            <w:rStyle w:val="Hyperlink"/>
          </w:rPr>
          <w:t xml:space="preserve">10.1093/jamia/ocz007</w:t>
        </w:r>
      </w:hyperlink>
      <w:r>
        <w:t xml:space="preserve">.</w:t>
      </w:r>
    </w:p>
    <w:bookmarkEnd w:id="68"/>
    <w:bookmarkStart w:id="70"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69">
        <w:r>
          <w:rPr>
            <w:rStyle w:val="Hyperlink"/>
          </w:rPr>
          <w:t xml:space="preserve">10.1093/aje/kwad040</w:t>
        </w:r>
      </w:hyperlink>
      <w:r>
        <w:t xml:space="preserve">.</w:t>
      </w:r>
    </w:p>
    <w:bookmarkEnd w:id="70"/>
    <w:bookmarkStart w:id="72"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71">
        <w:r>
          <w:rPr>
            <w:rStyle w:val="Hyperlink"/>
          </w:rPr>
          <w:t xml:space="preserve">10.1186/1751-0473-8-7</w:t>
        </w:r>
      </w:hyperlink>
      <w:r>
        <w:t xml:space="preserve">.</w:t>
      </w:r>
    </w:p>
    <w:bookmarkEnd w:id="72"/>
    <w:bookmarkStart w:id="74"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73">
        <w:r>
          <w:rPr>
            <w:rStyle w:val="Hyperlink"/>
          </w:rPr>
          <w:t xml:space="preserve">10.1371/journal.pcbi.1004668</w:t>
        </w:r>
      </w:hyperlink>
      <w:r>
        <w:t xml:space="preserve">.</w:t>
      </w:r>
    </w:p>
    <w:bookmarkEnd w:id="74"/>
    <w:bookmarkStart w:id="75"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75"/>
    <w:bookmarkStart w:id="77" w:name="ref-tidyverse"/>
    <w:p>
      <w:pPr>
        <w:pStyle w:val="Bibliography"/>
      </w:pPr>
      <w:r>
        <w:t xml:space="preserve">14.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76">
        <w:r>
          <w:rPr>
            <w:rStyle w:val="Hyperlink"/>
          </w:rPr>
          <w:t xml:space="preserve">10.21105/joss.01686</w:t>
        </w:r>
      </w:hyperlink>
      <w:r>
        <w:t xml:space="preserve">.</w:t>
      </w:r>
    </w:p>
    <w:bookmarkEnd w:id="77"/>
    <w:bookmarkStart w:id="79" w:name="ref-MatchIt"/>
    <w:p>
      <w:pPr>
        <w:pStyle w:val="Bibliography"/>
      </w:pPr>
      <w:r>
        <w:t xml:space="preserve">15.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78">
        <w:r>
          <w:rPr>
            <w:rStyle w:val="Hyperlink"/>
          </w:rPr>
          <w:t xml:space="preserve">10.18637/jss.v042.i08</w:t>
        </w:r>
      </w:hyperlink>
      <w:r>
        <w:t xml:space="preserve">.</w:t>
      </w:r>
    </w:p>
    <w:bookmarkEnd w:id="79"/>
    <w:bookmarkStart w:id="81" w:name="ref-boettiger2017a"/>
    <w:p>
      <w:pPr>
        <w:pStyle w:val="Bibliography"/>
      </w:pPr>
      <w:r>
        <w:t xml:space="preserve">16.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80">
        <w:r>
          <w:rPr>
            <w:rStyle w:val="Hyperlink"/>
          </w:rPr>
          <w:t xml:space="preserve">10.32614/rj-2017-065</w:t>
        </w:r>
      </w:hyperlink>
      <w:r>
        <w:t xml:space="preserve">.</w:t>
      </w:r>
    </w:p>
    <w:bookmarkEnd w:id="81"/>
    <w:bookmarkStart w:id="83" w:name="ref-nüst2020"/>
    <w:p>
      <w:pPr>
        <w:pStyle w:val="Bibliography"/>
      </w:pPr>
      <w:r>
        <w:t xml:space="preserve">17.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82">
        <w:r>
          <w:rPr>
            <w:rStyle w:val="Hyperlink"/>
          </w:rPr>
          <w:t xml:space="preserve">10.32614/rj-2020-007</w:t>
        </w:r>
      </w:hyperlink>
      <w:r>
        <w:t xml:space="preserve">.</w:t>
      </w:r>
    </w:p>
    <w:bookmarkEnd w:id="83"/>
    <w:bookmarkStart w:id="85" w:name="ref-renv"/>
    <w:p>
      <w:pPr>
        <w:pStyle w:val="Bibliography"/>
      </w:pPr>
      <w:r>
        <w:t xml:space="preserve">18.</w:t>
      </w:r>
      <w:r>
        <w:t xml:space="preserve"> </w:t>
      </w:r>
      <w:r>
        <w:t xml:space="preserve">	</w:t>
      </w:r>
      <w:r>
        <w:t xml:space="preserve">Ushey K. Renv: Project environments. 2022. Available at:</w:t>
      </w:r>
      <w:r>
        <w:t xml:space="preserve"> </w:t>
      </w:r>
      <w:hyperlink r:id="rId84">
        <w:r>
          <w:rPr>
            <w:rStyle w:val="Hyperlink"/>
          </w:rPr>
          <w:t xml:space="preserve">https://CRAN.R-project.org/package=renv</w:t>
        </w:r>
      </w:hyperlink>
      <w:r>
        <w:t xml:space="preserve">.</w:t>
      </w:r>
    </w:p>
    <w:bookmarkEnd w:id="85"/>
    <w:bookmarkStart w:id="87" w:name="ref-here"/>
    <w:p>
      <w:pPr>
        <w:pStyle w:val="Bibliography"/>
      </w:pPr>
      <w:r>
        <w:t xml:space="preserve">19.</w:t>
      </w:r>
      <w:r>
        <w:t xml:space="preserve"> </w:t>
      </w:r>
      <w:r>
        <w:t xml:space="preserve">	</w:t>
      </w:r>
      <w:r>
        <w:t xml:space="preserve">Müller K. Here: A simpler way to find your files. 2020. Available at:</w:t>
      </w:r>
      <w:r>
        <w:t xml:space="preserve"> </w:t>
      </w:r>
      <w:hyperlink r:id="rId86">
        <w:r>
          <w:rPr>
            <w:rStyle w:val="Hyperlink"/>
          </w:rPr>
          <w:t xml:space="preserve">https://CRAN.R-project.org/package=here</w:t>
        </w:r>
      </w:hyperlink>
      <w:r>
        <w:t xml:space="preserve">.</w:t>
      </w:r>
    </w:p>
    <w:bookmarkEnd w:id="87"/>
    <w:bookmarkStart w:id="89" w:name="ref-ohdsi2019book"/>
    <w:p>
      <w:pPr>
        <w:pStyle w:val="Bibliography"/>
      </w:pPr>
      <w:r>
        <w:t xml:space="preserve">20.</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88">
        <w:r>
          <w:rPr>
            <w:rStyle w:val="Hyperlink"/>
          </w:rPr>
          <w:t xml:space="preserve">https://ohdsi.github.io/TheBookOfOhdsi/</w:t>
        </w:r>
      </w:hyperlink>
      <w:r>
        <w:t xml:space="preserve">.</w:t>
      </w:r>
    </w:p>
    <w:bookmarkEnd w:id="89"/>
    <w:bookmarkStart w:id="91" w:name="ref-orsini2020"/>
    <w:p>
      <w:pPr>
        <w:pStyle w:val="Bibliography"/>
      </w:pPr>
      <w:r>
        <w:t xml:space="preserve">21.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w:t>
      </w:r>
      <w:r>
        <w:t xml:space="preserve">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90">
        <w:r>
          <w:rPr>
            <w:rStyle w:val="Hyperlink"/>
          </w:rPr>
          <w:t xml:space="preserve">10.1002/pds.5079</w:t>
        </w:r>
      </w:hyperlink>
      <w:r>
        <w:t xml:space="preserve">.</w:t>
      </w:r>
    </w:p>
    <w:bookmarkEnd w:id="91"/>
    <w:bookmarkEnd w:id="92"/>
    <w:p>
      <w:r>
        <w:br w:type="page"/>
      </w:r>
    </w:p>
    <w:bookmarkEnd w:id="93"/>
    <w:bookmarkStart w:id="11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97" w:name="fig-RStudio-gui"/>
          <w:p>
            <w:pPr>
              <w:jc w:val="center"/>
            </w:pPr>
            <w:r>
              <w:drawing>
                <wp:inline>
                  <wp:extent cx="2971800" cy="7102415"/>
                  <wp:effectExtent b="0" l="0" r="0" t="0"/>
                  <wp:docPr descr="" title="" id="95" name="Picture"/>
                  <a:graphic>
                    <a:graphicData uri="http://schemas.openxmlformats.org/drawingml/2006/picture">
                      <pic:pic>
                        <pic:nvPicPr>
                          <pic:cNvPr descr="../figures/Figure_1_RStudio_init.png" id="96" name="Picture"/>
                          <pic:cNvPicPr>
                            <a:picLocks noChangeArrowheads="1" noChangeAspect="1"/>
                          </pic:cNvPicPr>
                        </pic:nvPicPr>
                        <pic:blipFill>
                          <a:blip r:embed="rId94"/>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97"/>
        </w:tc>
      </w:tr>
    </w:tbl>
    <w:p>
      <w:r>
        <w:br w:type="page"/>
      </w:r>
    </w:p>
    <w:tbl>
      <w:tblPr>
        <w:tblStyle w:val="Table"/>
        <w:tblW w:type="pct" w:w="5000"/>
        <w:tblLook w:firstRow="0" w:lastRow="0" w:firstColumn="0" w:lastColumn="0" w:noHBand="0" w:noVBand="0" w:val="0000"/>
        <w:jc w:val="start"/>
      </w:tblPr>
      <w:tblGrid>
        <w:gridCol w:w="7920"/>
      </w:tblGrid>
      <w:tr>
        <w:tc>
          <w:tcPr/>
          <w:bookmarkStart w:id="101" w:name="fig-structure"/>
          <w:p>
            <w:pPr>
              <w:jc w:val="center"/>
            </w:pPr>
            <w:r>
              <w:drawing>
                <wp:inline>
                  <wp:extent cx="3566160" cy="5823377"/>
                  <wp:effectExtent b="0" l="0" r="0" t="0"/>
                  <wp:docPr descr="" title="" id="99" name="Picture"/>
                  <a:graphic>
                    <a:graphicData uri="http://schemas.openxmlformats.org/drawingml/2006/picture">
                      <pic:pic>
                        <pic:nvPicPr>
                          <pic:cNvPr descr="../figures/Figure_2_repo_structure.png" id="100" name="Picture"/>
                          <pic:cNvPicPr>
                            <a:picLocks noChangeArrowheads="1" noChangeAspect="1"/>
                          </pic:cNvPicPr>
                        </pic:nvPicPr>
                        <pic:blipFill>
                          <a:blip r:embed="rId98"/>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101"/>
        </w:tc>
      </w:tr>
    </w:tbl>
    <w:p>
      <w:r>
        <w:br w:type="page"/>
      </w:r>
    </w:p>
    <w:tbl>
      <w:tblPr>
        <w:tblStyle w:val="Table"/>
        <w:tblW w:type="pct" w:w="5000"/>
        <w:tblLook w:firstRow="0" w:lastRow="0" w:firstColumn="0" w:lastColumn="0" w:noHBand="0" w:noVBand="0" w:val="0000"/>
        <w:jc w:val="start"/>
      </w:tblPr>
      <w:tblGrid>
        <w:gridCol w:w="7920"/>
      </w:tblGrid>
      <w:tr>
        <w:tc>
          <w:tcPr/>
          <w:bookmarkStart w:id="105" w:name="fig-workflow"/>
          <w:p>
            <w:pPr>
              <w:jc w:val="center"/>
            </w:pPr>
            <w:r>
              <w:drawing>
                <wp:inline>
                  <wp:extent cx="5943600" cy="4301154"/>
                  <wp:effectExtent b="0" l="0" r="0" t="0"/>
                  <wp:docPr descr="" title="" id="103" name="Picture"/>
                  <a:graphic>
                    <a:graphicData uri="http://schemas.openxmlformats.org/drawingml/2006/picture">
                      <pic:pic>
                        <pic:nvPicPr>
                          <pic:cNvPr descr="../figures/Figure_3_workflow.png" id="104" name="Picture"/>
                          <pic:cNvPicPr>
                            <a:picLocks noChangeArrowheads="1" noChangeAspect="1"/>
                          </pic:cNvPicPr>
                        </pic:nvPicPr>
                        <pic:blipFill>
                          <a:blip r:embed="rId102"/>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05"/>
        </w:tc>
      </w:tr>
    </w:tbl>
    <w:p>
      <w:r>
        <w:br w:type="page"/>
      </w:r>
    </w:p>
    <w:tbl>
      <w:tblPr>
        <w:tblStyle w:val="Table"/>
        <w:tblW w:type="pct" w:w="5000"/>
        <w:tblLook w:firstRow="0" w:lastRow="0" w:firstColumn="0" w:lastColumn="0" w:noHBand="0" w:noVBand="0" w:val="0000"/>
        <w:jc w:val="start"/>
      </w:tblPr>
      <w:tblGrid>
        <w:gridCol w:w="7920"/>
      </w:tblGrid>
      <w:tr>
        <w:tc>
          <w:tcPr/>
          <w:bookmarkStart w:id="109" w:name="fig-stage-commit-RStudio-gui"/>
          <w:p>
            <w:pPr>
              <w:jc w:val="center"/>
            </w:pPr>
            <w:r>
              <w:drawing>
                <wp:inline>
                  <wp:extent cx="5943600" cy="3043123"/>
                  <wp:effectExtent b="0" l="0" r="0" t="0"/>
                  <wp:docPr descr="" title="" id="107" name="Picture"/>
                  <a:graphic>
                    <a:graphicData uri="http://schemas.openxmlformats.org/drawingml/2006/picture">
                      <pic:pic>
                        <pic:nvPicPr>
                          <pic:cNvPr descr="../figures/Figure_4_stage_commit.png" id="108" name="Picture"/>
                          <pic:cNvPicPr>
                            <a:picLocks noChangeArrowheads="1" noChangeAspect="1"/>
                          </pic:cNvPicPr>
                        </pic:nvPicPr>
                        <pic:blipFill>
                          <a:blip r:embed="rId106"/>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09"/>
        </w:tc>
      </w:tr>
    </w:tbl>
    <w:p>
      <w:r>
        <w:br w:type="page"/>
      </w:r>
    </w:p>
    <w:tbl>
      <w:tblPr>
        <w:tblStyle w:val="Table"/>
        <w:tblW w:type="pct" w:w="5000"/>
        <w:tblLook w:firstRow="0" w:lastRow="0" w:firstColumn="0" w:lastColumn="0" w:noHBand="0" w:noVBand="0" w:val="0000"/>
        <w:jc w:val="start"/>
      </w:tblPr>
      <w:tblGrid>
        <w:gridCol w:w="7920"/>
      </w:tblGrid>
      <w:tr>
        <w:tc>
          <w:tcPr/>
          <w:bookmarkStart w:id="113" w:name="fig-collaborate"/>
          <w:p>
            <w:pPr>
              <w:jc w:val="center"/>
            </w:pPr>
            <w:r>
              <w:drawing>
                <wp:inline>
                  <wp:extent cx="5943600" cy="3343275"/>
                  <wp:effectExtent b="0" l="0" r="0" t="0"/>
                  <wp:docPr descr="" title="" id="111" name="Picture"/>
                  <a:graphic>
                    <a:graphicData uri="http://schemas.openxmlformats.org/drawingml/2006/picture">
                      <pic:pic>
                        <pic:nvPicPr>
                          <pic:cNvPr descr="../figures/Figure_5_collaboration.png" id="112"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13"/>
        </w:tc>
      </w:tr>
    </w:tbl>
    <w:p>
      <w:r>
        <w:br w:type="page"/>
      </w:r>
    </w:p>
    <w:tbl>
      <w:tblPr>
        <w:tblStyle w:val="Table"/>
        <w:tblW w:type="pct" w:w="5000"/>
        <w:tblLook w:firstRow="0" w:lastRow="0" w:firstColumn="0" w:lastColumn="0" w:noHBand="0" w:noVBand="0" w:val="0000"/>
        <w:jc w:val="start"/>
      </w:tblPr>
      <w:tblGrid>
        <w:gridCol w:w="7920"/>
      </w:tblGrid>
      <w:tr>
        <w:tc>
          <w:tcPr/>
          <w:bookmarkStart w:id="117" w:name="fig-GitHub-gui_changes"/>
          <w:p>
            <w:pPr>
              <w:jc w:val="center"/>
            </w:pPr>
            <w:r>
              <w:drawing>
                <wp:inline>
                  <wp:extent cx="6240780" cy="4820770"/>
                  <wp:effectExtent b="0" l="0" r="0" t="0"/>
                  <wp:docPr descr="" title="" id="115" name="Picture"/>
                  <a:graphic>
                    <a:graphicData uri="http://schemas.openxmlformats.org/drawingml/2006/picture">
                      <pic:pic>
                        <pic:nvPicPr>
                          <pic:cNvPr descr="../figures/Figure_6_commit_GitHub_gui.png" id="116" name="Picture"/>
                          <pic:cNvPicPr>
                            <a:picLocks noChangeArrowheads="1" noChangeAspect="1"/>
                          </pic:cNvPicPr>
                        </pic:nvPicPr>
                        <pic:blipFill>
                          <a:blip r:embed="rId114"/>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hash and message), a side-by-side comparison of the previous (upper left) and modified (upper right) version of the figure and the corresponding changes made to the R code (bottom).</w:t>
            </w:r>
          </w:p>
          <w:bookmarkEnd w:id="117"/>
        </w:tc>
      </w:tr>
    </w:tbl>
    <w:bookmarkEnd w:id="11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25" Target="media/rId25.png" /><Relationship Type="http://schemas.openxmlformats.org/officeDocument/2006/relationships/hyperlink" Id="rId86" Target="https://CRAN.R-project.org/package=here" TargetMode="External"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0"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8"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here" TargetMode="External"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0"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8"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2023-06-30T13:05:29Z</dcterms:created>
  <dcterms:modified xsi:type="dcterms:W3CDTF">2023-06-30T13:05:29Z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