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3"/>
    <w:bookmarkStart w:id="24"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especially when analyses are implemented via line coding in statistical programming languages like R</w:t>
      </w:r>
      <w:r>
        <w:rPr>
          <w:vertAlign w:val="superscript"/>
        </w:rPr>
        <w:t xml:space="preserve">9</w:t>
      </w:r>
      <w:r>
        <w:t xml:space="preserve">, SAS or Python. Although in other quantitative disciplines such as computational biology</w:t>
      </w:r>
      <w:r>
        <w:rPr>
          <w:vertAlign w:val="superscript"/>
        </w:rPr>
        <w:t xml:space="preserve">10–13</w:t>
      </w:r>
      <w:r>
        <w:t xml:space="preserve"> </w:t>
      </w:r>
      <w:r>
        <w:t xml:space="preserve">or health informatics</w:t>
      </w:r>
      <w:r>
        <w:rPr>
          <w:vertAlign w:val="superscript"/>
        </w:rPr>
        <w:t xml:space="preserve">14</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15</w:t>
      </w:r>
      <w:r>
        <w:t xml:space="preserve"> </w:t>
      </w:r>
      <w:r>
        <w:t xml:space="preserve">become increasingly used for clinical trial reporting and regulatory submissions</w:t>
      </w:r>
      <w:r>
        <w:rPr>
          <w:vertAlign w:val="superscript"/>
        </w:rPr>
        <w:t xml:space="preserve">16</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17</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18</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19</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20</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20</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7">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21</w:t>
      </w:r>
      <w:r>
        <w:t xml:space="preserve"> </w:t>
      </w:r>
      <w:r>
        <w:t xml:space="preserve">to initiate a new project (see instructions in the template repository under the provided link).</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22</w:t>
      </w:r>
      <w:r>
        <w:t xml:space="preserve"> </w:t>
      </w:r>
      <w:r>
        <w:t xml:space="preserve">or propensity score matching</w:t>
      </w:r>
      <w:r>
        <w:rPr>
          <w:vertAlign w:val="superscript"/>
        </w:rPr>
        <w:t xml:space="preserve">23</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24,25</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26</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27</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collaborator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"protocol"</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19</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very first commit or, more preferably, not storing them in the project directory in the first place.</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28</w:t>
      </w:r>
      <w:r>
        <w:t xml:space="preserve">, Sentinel</w:t>
      </w:r>
      <w:r>
        <w:rPr>
          <w:vertAlign w:val="superscript"/>
        </w:rPr>
        <w:t xml:space="preserve">29</w:t>
      </w:r>
      <w:r>
        <w:t xml:space="preserve"> </w:t>
      </w:r>
      <w:r>
        <w:t xml:space="preserve">and PCORnet</w:t>
      </w:r>
      <w:r>
        <w:rPr>
          <w:vertAlign w:val="superscript"/>
        </w:rPr>
        <w:t xml:space="preserve">30</w:t>
      </w:r>
      <w:r>
        <w:t xml:space="preserve">, which makes shared code interoperable even without direct access to the same data source. Finally, code sharing can enable researchers to learn from each other, build trust</w:t>
      </w:r>
      <w:r>
        <w:rPr>
          <w:vertAlign w:val="superscript"/>
        </w:rPr>
        <w:t xml:space="preserve">31</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32</w:t>
      </w:r>
      <w:r>
        <w:t xml:space="preserve">, funding agencies</w:t>
      </w:r>
      <w:r>
        <w:rPr>
          <w:vertAlign w:val="superscript"/>
        </w:rPr>
        <w:t xml:space="preserve">33,34</w:t>
      </w:r>
      <w:r>
        <w:t xml:space="preserve"> </w:t>
      </w:r>
      <w:r>
        <w:t xml:space="preserve">and HTA bodies</w:t>
      </w:r>
      <w:r>
        <w:rPr>
          <w:vertAlign w:val="superscript"/>
        </w:rPr>
        <w:t xml:space="preserve">35</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0"/>
    <w:bookmarkStart w:id="121" w:name="references"/>
    <w:p>
      <w:pPr>
        <w:pStyle w:val="Heading1"/>
      </w:pPr>
      <w:r>
        <w:t xml:space="preserve">References</w:t>
      </w:r>
    </w:p>
    <w:bookmarkStart w:id="120" w:name="refs"/>
    <w:bookmarkStart w:id="52"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1">
        <w:r>
          <w:rPr>
            <w:rStyle w:val="Hyperlink"/>
          </w:rPr>
          <w:t xml:space="preserve">https://www.fda.gov/downloads/ScienceResearch/SpecialTopics/RealWorldEvidence/UCM627769.pdf</w:t>
        </w:r>
      </w:hyperlink>
      <w:r>
        <w:t xml:space="preserve">.</w:t>
      </w:r>
    </w:p>
    <w:bookmarkEnd w:id="52"/>
    <w:bookmarkStart w:id="54"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3">
        <w:r>
          <w:rPr>
            <w:rStyle w:val="Hyperlink"/>
          </w:rPr>
          <w:t xml:space="preserve">10.1002/cpt.59</w:t>
        </w:r>
      </w:hyperlink>
      <w:r>
        <w:t xml:space="preserve">.</w:t>
      </w:r>
    </w:p>
    <w:bookmarkEnd w:id="54"/>
    <w:bookmarkStart w:id="56"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5">
        <w:r>
          <w:rPr>
            <w:rStyle w:val="Hyperlink"/>
          </w:rPr>
          <w:t xml:space="preserve">https://cioms.ch/wp-content/uploads/2020/03/CIOMS-WG-XIII_6June2023_Draft-report-for-comment-1.pdfA</w:t>
        </w:r>
      </w:hyperlink>
      <w:r>
        <w:t xml:space="preserve">.</w:t>
      </w:r>
    </w:p>
    <w:bookmarkEnd w:id="56"/>
    <w:bookmarkStart w:id="58"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7">
        <w:r>
          <w:rPr>
            <w:rStyle w:val="Hyperlink"/>
          </w:rPr>
          <w:t xml:space="preserve">10.1016/j.jval.2016.12.003</w:t>
        </w:r>
      </w:hyperlink>
      <w:r>
        <w:t xml:space="preserve">.</w:t>
      </w:r>
    </w:p>
    <w:bookmarkEnd w:id="58"/>
    <w:bookmarkStart w:id="60"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9">
        <w:r>
          <w:rPr>
            <w:rStyle w:val="Hyperlink"/>
          </w:rPr>
          <w:t xml:space="preserve">10.1136/bmj.m4856</w:t>
        </w:r>
      </w:hyperlink>
      <w:r>
        <w:t xml:space="preserve">.</w:t>
      </w:r>
    </w:p>
    <w:bookmarkEnd w:id="60"/>
    <w:bookmarkStart w:id="62"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1">
        <w:r>
          <w:rPr>
            <w:rStyle w:val="Hyperlink"/>
          </w:rPr>
          <w:t xml:space="preserve">10.7326/m18-3079</w:t>
        </w:r>
      </w:hyperlink>
      <w:r>
        <w:t xml:space="preserve">.</w:t>
      </w:r>
    </w:p>
    <w:bookmarkEnd w:id="62"/>
    <w:bookmarkStart w:id="64"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3">
        <w:r>
          <w:rPr>
            <w:rStyle w:val="Hyperlink"/>
          </w:rPr>
          <w:t xml:space="preserve">10.1002/pds.4297</w:t>
        </w:r>
      </w:hyperlink>
      <w:r>
        <w:t xml:space="preserve">.</w:t>
      </w:r>
    </w:p>
    <w:bookmarkEnd w:id="64"/>
    <w:bookmarkStart w:id="66"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5">
        <w:r>
          <w:rPr>
            <w:rStyle w:val="Hyperlink"/>
          </w:rPr>
          <w:t xml:space="preserve">10.1002/pds.5507</w:t>
        </w:r>
      </w:hyperlink>
      <w:r>
        <w:t xml:space="preserve">.</w:t>
      </w:r>
    </w:p>
    <w:bookmarkEnd w:id="66"/>
    <w:bookmarkStart w:id="68" w:name="ref-RCore2023"/>
    <w:p>
      <w:pPr>
        <w:pStyle w:val="Bibliography"/>
      </w:pPr>
      <w:r>
        <w:t xml:space="preserve">9.</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67">
        <w:r>
          <w:rPr>
            <w:rStyle w:val="Hyperlink"/>
          </w:rPr>
          <w:t xml:space="preserve">https://www.R-project.org/</w:t>
        </w:r>
      </w:hyperlink>
      <w:r>
        <w:t xml:space="preserve">.</w:t>
      </w:r>
    </w:p>
    <w:bookmarkEnd w:id="68"/>
    <w:bookmarkStart w:id="70" w:name="ref-almugbel2017"/>
    <w:p>
      <w:pPr>
        <w:pStyle w:val="Bibliography"/>
      </w:pPr>
      <w:r>
        <w:t xml:space="preserve">10.</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11.</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12.</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13.</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14.</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15.</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16.</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17.</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18.</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19.</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20.</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GitFork"/>
    <w:p>
      <w:pPr>
        <w:pStyle w:val="Bibliography"/>
      </w:pPr>
      <w:r>
        <w:t xml:space="preserve">21.</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0">
        <w:r>
          <w:rPr>
            <w:rStyle w:val="Hyperlink"/>
          </w:rPr>
          <w:t xml:space="preserve">https://docs.github.com/en/get-started/quickstart/fork-a-repo</w:t>
        </w:r>
      </w:hyperlink>
      <w:r>
        <w:t xml:space="preserve">.</w:t>
      </w:r>
    </w:p>
    <w:bookmarkEnd w:id="91"/>
    <w:bookmarkStart w:id="93" w:name="ref-tidyverse"/>
    <w:p>
      <w:pPr>
        <w:pStyle w:val="Bibliography"/>
      </w:pPr>
      <w:r>
        <w:t xml:space="preserve">22.</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92">
        <w:r>
          <w:rPr>
            <w:rStyle w:val="Hyperlink"/>
          </w:rPr>
          <w:t xml:space="preserve">10.21105/joss.01686</w:t>
        </w:r>
      </w:hyperlink>
      <w:r>
        <w:t xml:space="preserve">.</w:t>
      </w:r>
    </w:p>
    <w:bookmarkEnd w:id="93"/>
    <w:bookmarkStart w:id="95" w:name="ref-MatchIt"/>
    <w:p>
      <w:pPr>
        <w:pStyle w:val="Bibliography"/>
      </w:pPr>
      <w:r>
        <w:t xml:space="preserve">23.</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94">
        <w:r>
          <w:rPr>
            <w:rStyle w:val="Hyperlink"/>
          </w:rPr>
          <w:t xml:space="preserve">10.18637/jss.v042.i08</w:t>
        </w:r>
      </w:hyperlink>
      <w:r>
        <w:t xml:space="preserve">.</w:t>
      </w:r>
    </w:p>
    <w:bookmarkEnd w:id="95"/>
    <w:bookmarkStart w:id="97" w:name="ref-boettiger2017a"/>
    <w:p>
      <w:pPr>
        <w:pStyle w:val="Bibliography"/>
      </w:pPr>
      <w:r>
        <w:t xml:space="preserve">24.</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96">
        <w:r>
          <w:rPr>
            <w:rStyle w:val="Hyperlink"/>
          </w:rPr>
          <w:t xml:space="preserve">10.32614/rj-2017-065</w:t>
        </w:r>
      </w:hyperlink>
      <w:r>
        <w:t xml:space="preserve">.</w:t>
      </w:r>
    </w:p>
    <w:bookmarkEnd w:id="97"/>
    <w:bookmarkStart w:id="99" w:name="ref-nüst2020"/>
    <w:p>
      <w:pPr>
        <w:pStyle w:val="Bibliography"/>
      </w:pPr>
      <w:r>
        <w:t xml:space="preserve">25.</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98">
        <w:r>
          <w:rPr>
            <w:rStyle w:val="Hyperlink"/>
          </w:rPr>
          <w:t xml:space="preserve">10.32614/rj-2020-007</w:t>
        </w:r>
      </w:hyperlink>
      <w:r>
        <w:t xml:space="preserve">.</w:t>
      </w:r>
    </w:p>
    <w:bookmarkEnd w:id="99"/>
    <w:bookmarkStart w:id="101" w:name="ref-renv"/>
    <w:p>
      <w:pPr>
        <w:pStyle w:val="Bibliography"/>
      </w:pPr>
      <w:r>
        <w:t xml:space="preserve">26.</w:t>
      </w:r>
      <w:r>
        <w:t xml:space="preserve"> </w:t>
      </w:r>
      <w:r>
        <w:t xml:space="preserve">	</w:t>
      </w:r>
      <w:r>
        <w:t xml:space="preserve">Ushey K. Renv: Project environments. 2022. Available at:</w:t>
      </w:r>
      <w:r>
        <w:t xml:space="preserve"> </w:t>
      </w:r>
      <w:hyperlink r:id="rId100">
        <w:r>
          <w:rPr>
            <w:rStyle w:val="Hyperlink"/>
          </w:rPr>
          <w:t xml:space="preserve">https://CRAN.R-project.org/package=renv</w:t>
        </w:r>
      </w:hyperlink>
      <w:r>
        <w:t xml:space="preserve">.</w:t>
      </w:r>
    </w:p>
    <w:bookmarkEnd w:id="101"/>
    <w:bookmarkStart w:id="103" w:name="ref-here"/>
    <w:p>
      <w:pPr>
        <w:pStyle w:val="Bibliography"/>
      </w:pPr>
      <w:r>
        <w:t xml:space="preserve">27.</w:t>
      </w:r>
      <w:r>
        <w:t xml:space="preserve"> </w:t>
      </w:r>
      <w:r>
        <w:t xml:space="preserve">	</w:t>
      </w:r>
      <w:r>
        <w:t xml:space="preserve">Müller K. Here: A simpler way to find your files. 2020. Available at:</w:t>
      </w:r>
      <w:r>
        <w:t xml:space="preserve"> </w:t>
      </w:r>
      <w:hyperlink r:id="rId102">
        <w:r>
          <w:rPr>
            <w:rStyle w:val="Hyperlink"/>
          </w:rPr>
          <w:t xml:space="preserve">https://CRAN.R-project.org/package=here</w:t>
        </w:r>
      </w:hyperlink>
      <w:r>
        <w:t xml:space="preserve">.</w:t>
      </w:r>
    </w:p>
    <w:bookmarkEnd w:id="103"/>
    <w:bookmarkStart w:id="105" w:name="ref-ohdsi2019book"/>
    <w:p>
      <w:pPr>
        <w:pStyle w:val="Bibliography"/>
      </w:pPr>
      <w:r>
        <w:t xml:space="preserve">28.</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4">
        <w:r>
          <w:rPr>
            <w:rStyle w:val="Hyperlink"/>
          </w:rPr>
          <w:t xml:space="preserve">https://ohdsi.github.io/TheBookOfOhdsi/</w:t>
        </w:r>
      </w:hyperlink>
      <w:r>
        <w:t xml:space="preserve">.</w:t>
      </w:r>
    </w:p>
    <w:bookmarkEnd w:id="105"/>
    <w:bookmarkStart w:id="107" w:name="ref-brown2020"/>
    <w:p>
      <w:pPr>
        <w:pStyle w:val="Bibliography"/>
      </w:pPr>
      <w:r>
        <w:t xml:space="preserve">29.</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6">
        <w:r>
          <w:rPr>
            <w:rStyle w:val="Hyperlink"/>
          </w:rPr>
          <w:t xml:space="preserve">10.1093/jamia/ocaa028</w:t>
        </w:r>
      </w:hyperlink>
      <w:r>
        <w:t xml:space="preserve">.</w:t>
      </w:r>
    </w:p>
    <w:bookmarkEnd w:id="107"/>
    <w:bookmarkStart w:id="109" w:name="ref-fleurence2014"/>
    <w:p>
      <w:pPr>
        <w:pStyle w:val="Bibliography"/>
      </w:pPr>
      <w:r>
        <w:t xml:space="preserve">30.</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8">
        <w:r>
          <w:rPr>
            <w:rStyle w:val="Hyperlink"/>
          </w:rPr>
          <w:t xml:space="preserve">10.1136/amiajnl-2014-002747</w:t>
        </w:r>
      </w:hyperlink>
      <w:r>
        <w:t xml:space="preserve">.</w:t>
      </w:r>
    </w:p>
    <w:bookmarkEnd w:id="109"/>
    <w:bookmarkStart w:id="111" w:name="ref-orsini2020"/>
    <w:p>
      <w:pPr>
        <w:pStyle w:val="Bibliography"/>
      </w:pPr>
      <w:r>
        <w:t xml:space="preserve">31.</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0">
        <w:r>
          <w:rPr>
            <w:rStyle w:val="Hyperlink"/>
          </w:rPr>
          <w:t xml:space="preserve">10.1002/pds.5079</w:t>
        </w:r>
      </w:hyperlink>
      <w:r>
        <w:t xml:space="preserve">.</w:t>
      </w:r>
    </w:p>
    <w:bookmarkEnd w:id="111"/>
    <w:bookmarkStart w:id="113" w:name="ref-fdaRWE2021"/>
    <w:p>
      <w:pPr>
        <w:pStyle w:val="Bibliography"/>
      </w:pPr>
      <w:r>
        <w:t xml:space="preserve">32.</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2">
        <w:r>
          <w:rPr>
            <w:rStyle w:val="Hyperlink"/>
          </w:rPr>
          <w:t xml:space="preserve">https://www.fda.gov/regulatory-information/search-fda-guidance-documents/considerations-use-real-world-data-and-real-world-evidence-support-regulatory-decision-making-drug</w:t>
        </w:r>
      </w:hyperlink>
      <w:r>
        <w:t xml:space="preserve">.</w:t>
      </w:r>
    </w:p>
    <w:bookmarkEnd w:id="113"/>
    <w:bookmarkStart w:id="115" w:name="ref-NIH2023"/>
    <w:p>
      <w:pPr>
        <w:pStyle w:val="Bibliography"/>
      </w:pPr>
      <w:r>
        <w:t xml:space="preserve">33.</w:t>
      </w:r>
      <w:r>
        <w:t xml:space="preserve"> </w:t>
      </w:r>
      <w:r>
        <w:t xml:space="preserve">	</w:t>
      </w:r>
      <w:r>
        <w:t xml:space="preserve">National Institute of Health (NIH). NIH data management plan policy.). Jan 2023. Accessed 7/03/2023. Available at:</w:t>
      </w:r>
      <w:r>
        <w:t xml:space="preserve"> </w:t>
      </w:r>
      <w:hyperlink r:id="rId114">
        <w:r>
          <w:rPr>
            <w:rStyle w:val="Hyperlink"/>
          </w:rPr>
          <w:t xml:space="preserve">https://sharing.nih.gov/data-management-and-sharing-policy/planning-and-budgeting-for-data-management-and-sharing/writing-a-data-management-and-sharing-plan#after</w:t>
        </w:r>
      </w:hyperlink>
      <w:r>
        <w:t xml:space="preserve">.</w:t>
      </w:r>
    </w:p>
    <w:bookmarkEnd w:id="115"/>
    <w:bookmarkStart w:id="117" w:name="ref-PCORI2023"/>
    <w:p>
      <w:pPr>
        <w:pStyle w:val="Bibliography"/>
      </w:pPr>
      <w:r>
        <w:t xml:space="preserve">34.</w:t>
      </w:r>
      <w:r>
        <w:t xml:space="preserve"> </w:t>
      </w:r>
      <w:r>
        <w:t xml:space="preserve">	</w:t>
      </w:r>
      <w:r>
        <w:t xml:space="preserve">Patient-Centered Outcomes Research Institute (PCORI). Policy for data management and data sharing. Accessed 7/03/2023. Available at:</w:t>
      </w:r>
      <w:r>
        <w:t xml:space="preserve"> </w:t>
      </w:r>
      <w:hyperlink r:id="rId116">
        <w:r>
          <w:rPr>
            <w:rStyle w:val="Hyperlink"/>
          </w:rPr>
          <w:t xml:space="preserve">https://www.pcori.org/about/governance/policy-data-management-and-data-sharing</w:t>
        </w:r>
      </w:hyperlink>
      <w:r>
        <w:t xml:space="preserve">.</w:t>
      </w:r>
    </w:p>
    <w:bookmarkEnd w:id="117"/>
    <w:bookmarkStart w:id="119" w:name="ref-kent2021"/>
    <w:p>
      <w:pPr>
        <w:pStyle w:val="Bibliography"/>
      </w:pPr>
      <w:r>
        <w:t xml:space="preserve">35.</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18">
        <w:r>
          <w:rPr>
            <w:rStyle w:val="Hyperlink"/>
          </w:rPr>
          <w:t xml:space="preserve">10.2217/cer-2021-0108</w:t>
        </w:r>
      </w:hyperlink>
      <w:r>
        <w:t xml:space="preserve">.</w:t>
      </w:r>
    </w:p>
    <w:bookmarkEnd w:id="119"/>
    <w:bookmarkEnd w:id="120"/>
    <w:p>
      <w:r>
        <w:br w:type="page"/>
      </w:r>
    </w:p>
    <w:bookmarkEnd w:id="121"/>
    <w:bookmarkStart w:id="14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5" w:name="fig-RStudio-gui"/>
          <w:p>
            <w:pPr>
              <w:jc w:val="center"/>
            </w:pPr>
            <w:r>
              <w:drawing>
                <wp:inline>
                  <wp:extent cx="2971800" cy="7102415"/>
                  <wp:effectExtent b="0" l="0" r="0" t="0"/>
                  <wp:docPr descr="" title="" id="123" name="Picture"/>
                  <a:graphic>
                    <a:graphicData uri="http://schemas.openxmlformats.org/drawingml/2006/picture">
                      <pic:pic>
                        <pic:nvPicPr>
                          <pic:cNvPr descr="../figures/Figure_1_RStudio_init.png" id="124" name="Picture"/>
                          <pic:cNvPicPr>
                            <a:picLocks noChangeArrowheads="1" noChangeAspect="1"/>
                          </pic:cNvPicPr>
                        </pic:nvPicPr>
                        <pic:blipFill>
                          <a:blip r:embed="rId12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5"/>
        </w:tc>
      </w:tr>
    </w:tbl>
    <w:p>
      <w:r>
        <w:br w:type="page"/>
      </w:r>
    </w:p>
    <w:tbl>
      <w:tblPr>
        <w:tblStyle w:val="Table"/>
        <w:tblW w:type="pct" w:w="5000"/>
        <w:tblLook w:firstRow="0" w:lastRow="0" w:firstColumn="0" w:lastColumn="0" w:noHBand="0" w:noVBand="0" w:val="0000"/>
        <w:jc w:val="start"/>
      </w:tblPr>
      <w:tblGrid>
        <w:gridCol w:w="7920"/>
      </w:tblGrid>
      <w:tr>
        <w:tc>
          <w:tcPr/>
          <w:bookmarkStart w:id="129" w:name="fig-structure"/>
          <w:p>
            <w:pPr>
              <w:jc w:val="center"/>
            </w:pPr>
            <w:r>
              <w:drawing>
                <wp:inline>
                  <wp:extent cx="3566160" cy="7360720"/>
                  <wp:effectExtent b="0" l="0" r="0" t="0"/>
                  <wp:docPr descr="" title="" id="127" name="Picture"/>
                  <a:graphic>
                    <a:graphicData uri="http://schemas.openxmlformats.org/drawingml/2006/picture">
                      <pic:pic>
                        <pic:nvPicPr>
                          <pic:cNvPr descr="../figures/Figure_2_repo_structure.png" id="128" name="Picture"/>
                          <pic:cNvPicPr>
                            <a:picLocks noChangeArrowheads="1" noChangeAspect="1"/>
                          </pic:cNvPicPr>
                        </pic:nvPicPr>
                        <pic:blipFill>
                          <a:blip r:embed="rId126"/>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workflow"/>
          <w:p>
            <w:pPr>
              <w:jc w:val="center"/>
            </w:pPr>
            <w:r>
              <w:drawing>
                <wp:inline>
                  <wp:extent cx="5943600" cy="4301154"/>
                  <wp:effectExtent b="0" l="0" r="0" t="0"/>
                  <wp:docPr descr="" title="" id="131" name="Picture"/>
                  <a:graphic>
                    <a:graphicData uri="http://schemas.openxmlformats.org/drawingml/2006/picture">
                      <pic:pic>
                        <pic:nvPicPr>
                          <pic:cNvPr descr="../figures/Figure_3_workflow.png" id="132" name="Picture"/>
                          <pic:cNvPicPr>
                            <a:picLocks noChangeArrowheads="1" noChangeAspect="1"/>
                          </pic:cNvPicPr>
                        </pic:nvPicPr>
                        <pic:blipFill>
                          <a:blip r:embed="rId130"/>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stage-commit-RStudio-gui"/>
          <w:p>
            <w:pPr>
              <w:jc w:val="center"/>
            </w:pPr>
            <w:r>
              <w:drawing>
                <wp:inline>
                  <wp:extent cx="5943600" cy="3043123"/>
                  <wp:effectExtent b="0" l="0" r="0" t="0"/>
                  <wp:docPr descr="" title="" id="135" name="Picture"/>
                  <a:graphic>
                    <a:graphicData uri="http://schemas.openxmlformats.org/drawingml/2006/picture">
                      <pic:pic>
                        <pic:nvPicPr>
                          <pic:cNvPr descr="../figures/Figure_4_stage_commit.png" id="136" name="Picture"/>
                          <pic:cNvPicPr>
                            <a:picLocks noChangeArrowheads="1" noChangeAspect="1"/>
                          </pic:cNvPicPr>
                        </pic:nvPicPr>
                        <pic:blipFill>
                          <a:blip r:embed="rId13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collaborate"/>
          <w:p>
            <w:pPr>
              <w:jc w:val="center"/>
            </w:pPr>
            <w:r>
              <w:drawing>
                <wp:inline>
                  <wp:extent cx="5943600" cy="3343275"/>
                  <wp:effectExtent b="0" l="0" r="0" t="0"/>
                  <wp:docPr descr="" title="" id="139" name="Picture"/>
                  <a:graphic>
                    <a:graphicData uri="http://schemas.openxmlformats.org/drawingml/2006/picture">
                      <pic:pic>
                        <pic:nvPicPr>
                          <pic:cNvPr descr="../figures/Figure_5_collaboration.png" id="140" name="Picture"/>
                          <pic:cNvPicPr>
                            <a:picLocks noChangeArrowheads="1" noChangeAspect="1"/>
                          </pic:cNvPicPr>
                        </pic:nvPicPr>
                        <pic:blipFill>
                          <a:blip r:embed="rId13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GitHub-gui_changes"/>
          <w:p>
            <w:pPr>
              <w:jc w:val="center"/>
            </w:pPr>
            <w:r>
              <w:drawing>
                <wp:inline>
                  <wp:extent cx="5943600" cy="4591210"/>
                  <wp:effectExtent b="0" l="0" r="0" t="0"/>
                  <wp:docPr descr="" title="" id="143" name="Picture"/>
                  <a:graphic>
                    <a:graphicData uri="http://schemas.openxmlformats.org/drawingml/2006/picture">
                      <pic:pic>
                        <pic:nvPicPr>
                          <pic:cNvPr descr="../figures/Figure_6_commit_GitHub_gui.png" id="144" name="Picture"/>
                          <pic:cNvPicPr>
                            <a:picLocks noChangeArrowheads="1" noChangeAspect="1"/>
                          </pic:cNvPicPr>
                        </pic:nvPicPr>
                        <pic:blipFill>
                          <a:blip r:embed="rId142"/>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w:t>
            </w:r>
          </w:p>
          <w:bookmarkEnd w:id="145"/>
        </w:tc>
      </w:tr>
    </w:tbl>
    <w:bookmarkEnd w:id="14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25" Target="media/rId25.png" /><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2023-07-12T18:20:02Z</dcterms:created>
  <dcterms:modified xsi:type="dcterms:W3CDTF">2023-07-12T18:20:02Z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