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4,293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and Shirley Wang report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w:t>
      </w:r>
      <w:r>
        <w:t xml:space="preserve">or</w:t>
      </w:r>
      <w:r>
        <w:t xml:space="preserve"> </w:t>
      </w:r>
      <w:hyperlink r:id="rId23">
        <w:r>
          <w:rPr>
            <w:rStyle w:val="Hyperlink"/>
          </w:rPr>
          <w:t xml:space="preserve">https://github.com/janickweberpals/fair-epi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4" w:name="abstract"/>
    <w:p>
      <w:pPr>
        <w:pStyle w:val="Heading1"/>
      </w:pPr>
      <w:r>
        <w:t xml:space="preserve">Abstract</w:t>
      </w:r>
    </w:p>
    <w:p>
      <w:pPr>
        <w:pStyle w:val="FirstParagraph"/>
      </w:pPr>
      <w:r>
        <w:t xml:space="preserve">Transparency and reproducibility are major prerequisites for conducting meaningful real-world evidence (RWE) studies that are fit for decision-making. Many advances have been made in the documentation and reporting of study protocols and results, but the principles for version control and sharing of analytic code in RWE are not yet as established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study workflows to facilitate reproducible analyses. We further discuss and showcase how these tools can be used to track changes, collaborate, disseminate and archive RWE studies through dedicated project repositories that maintain a complete audit trail of all relevant study documents.</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KEY POINTS</w:t>
            </w:r>
          </w:p>
        </w:tc>
      </w:tr>
      <w:tr>
        <w:trPr>
          <w:cantSplit/>
        </w:trPr>
        <w:tc>
          <w:tcPr>
            <w:tcMar>
              <w:top w:w="108" w:type="dxa"/>
              <w:bottom w:w="108" w:type="dxa"/>
            </w:tcMar>
          </w:tcPr>
          <w:p>
            <w:pPr>
              <w:numPr>
                <w:ilvl w:val="0"/>
                <w:numId w:val="1001"/>
              </w:numPr>
            </w:pPr>
            <w:r>
              <w:t xml:space="preserve">Transparency and reproducibility are major prerequisites for conducting meaningful real-world evidence (RWE) studies that are fit for decision-making.</w:t>
            </w:r>
          </w:p>
          <w:p>
            <w:pPr>
              <w:numPr>
                <w:ilvl w:val="0"/>
                <w:numId w:val="1001"/>
              </w:numPr>
            </w:pPr>
            <w:r>
              <w:t xml:space="preserve">Regulators, funding agencies and HTA bodies have increasing expectations regarding the provenance, audit trial and sharing of study documents including analytic code as a prerequisite for impactful and credible RWE studies.</w:t>
            </w:r>
          </w:p>
          <w:p>
            <w:pPr>
              <w:numPr>
                <w:ilvl w:val="0"/>
                <w:numId w:val="1001"/>
              </w:numPr>
            </w:pPr>
            <w:r>
              <w:t xml:space="preserve">Version control systems (VCS) for analytic code like Git, GitHub and GitLab have unique advantages for making analytic code and other relevant RWE study documents Findable, Accessible, Interoperable and Reproducible (FAIR).</w:t>
            </w:r>
          </w:p>
          <w:p>
            <w:pPr>
              <w:numPr>
                <w:ilvl w:val="0"/>
                <w:numId w:val="1001"/>
              </w:numPr>
            </w:pPr>
            <w:r>
              <w:t xml:space="preserve">In this manuscript, we discuss and demonstrate how VCS can be used to track changes over the course of a RWE project, collaborate, disseminate and archive analytic code and provide a technical step-by-step tutorial for the practical implementation of reproducible workflows using Git.</w:t>
            </w:r>
          </w:p>
          <w:p>
            <w:pPr>
              <w:numPr>
                <w:ilvl w:val="0"/>
                <w:numId w:val="1001"/>
              </w:numPr>
            </w:pPr>
            <w:r>
              <w:t xml:space="preserve">Given the trend towards open source tools for clinical trial reporting and regulatory submissions, this tutorial addresses a timely topic and aims to encourage new and experienced pharmacoepidemiologists to integrate VCS in their daily work and embrace the advantages of FAIR analytic code sharing.</w:t>
            </w:r>
          </w:p>
        </w:tc>
      </w:tr>
    </w:tbl>
    <w:p>
      <w:r>
        <w:br w:type="page"/>
      </w:r>
    </w:p>
    <w:bookmarkEnd w:id="24"/>
    <w:bookmarkStart w:id="25" w:name="introduction"/>
    <w:p>
      <w:pPr>
        <w:pStyle w:val="Heading1"/>
      </w:pPr>
      <w:r>
        <w:t xml:space="preserve">1. Introduction</w:t>
      </w:r>
    </w:p>
    <w:p>
      <w:pPr>
        <w:pStyle w:val="FirstParagraph"/>
      </w:pPr>
      <w:r>
        <w:t xml:space="preserve">Real-world evidence (RWE) studies that make secondary use of routinely collected health data captured in electronic health records and claims are increasingly being used to inform drug development, regulatory and coverage decisions, as well as clinical practice.</w:t>
      </w:r>
      <w:r>
        <w:rPr>
          <w:vertAlign w:val="superscript"/>
        </w:rPr>
        <w:t xml:space="preserve">1–4</w:t>
      </w:r>
      <w:r>
        <w:t xml:space="preserve"> </w:t>
      </w:r>
      <w:r>
        <w:t xml:space="preserve">Considering the impact that RWE studies can have on patient healthcare, transparent and reproducible conduct of RWE studies is critically important.</w:t>
      </w:r>
    </w:p>
    <w:p>
      <w:pPr>
        <w:pStyle w:val="BodyText"/>
      </w:pPr>
      <w:r>
        <w:t xml:space="preserve">While many advances have been made in the documentation and reporting of study protocols and results</w:t>
      </w:r>
      <w:r>
        <w:rPr>
          <w:vertAlign w:val="superscript"/>
        </w:rPr>
        <w:t xml:space="preserve">5–8</w:t>
      </w:r>
      <w:r>
        <w:t xml:space="preserve">, guidance on transparency regarding the actual implementation and analytic steps is still significantly lacking. Although in other quantitative disciplines such as computational biology</w:t>
      </w:r>
      <w:r>
        <w:rPr>
          <w:vertAlign w:val="superscript"/>
        </w:rPr>
        <w:t xml:space="preserve">9–12</w:t>
      </w:r>
      <w:r>
        <w:t xml:space="preserve"> </w:t>
      </w:r>
      <w:r>
        <w:t xml:space="preserve">or health informatics</w:t>
      </w:r>
      <w:r>
        <w:rPr>
          <w:vertAlign w:val="superscript"/>
        </w:rPr>
        <w:t xml:space="preserve">13</w:t>
      </w:r>
      <w:r>
        <w:t xml:space="preserve">, the sharing of code is rather the rule than the exception, this practice is not as common in the (pharmaco-) epidemiological community. As open source tools like R packages and Shiny dashboards</w:t>
      </w:r>
      <w:r>
        <w:rPr>
          <w:vertAlign w:val="superscript"/>
        </w:rPr>
        <w:t xml:space="preserve">14</w:t>
      </w:r>
      <w:r>
        <w:t xml:space="preserve"> </w:t>
      </w:r>
      <w:r>
        <w:t xml:space="preserve">become increasingly used for clinical trial reporting and regulatory submissions</w:t>
      </w:r>
      <w:r>
        <w:rPr>
          <w:vertAlign w:val="superscript"/>
        </w:rPr>
        <w:t xml:space="preserve">15</w:t>
      </w:r>
      <w:r>
        <w:t xml:space="preserve">, the adoption of version control and code sharing practices is a crucial and timely topic for the field of RWE.</w:t>
      </w:r>
    </w:p>
    <w:p>
      <w:pPr>
        <w:pStyle w:val="BodyText"/>
      </w:pPr>
      <w:r>
        <w:t xml:space="preserve">Version control systems (VCS), such as</w:t>
      </w:r>
      <w:r>
        <w:t xml:space="preserve"> </w:t>
      </w:r>
      <w:r>
        <w:rPr>
          <w:iCs/>
          <w:i/>
        </w:rPr>
        <w:t xml:space="preserve">Git</w:t>
      </w:r>
      <w:r>
        <w:t xml:space="preserve">, provide powerful tools to keep track of the versioning of important files and documents such as protocols, analytic code, tables and figures. Thereby, VCS can extend the principles of</w:t>
      </w:r>
      <w:r>
        <w:t xml:space="preserve"> </w:t>
      </w:r>
      <w:r>
        <w:rPr>
          <w:iCs/>
          <w:i/>
        </w:rPr>
        <w:t xml:space="preserve">FAIR</w:t>
      </w:r>
      <w:r>
        <w:t xml:space="preserve"> </w:t>
      </w:r>
      <w:r>
        <w:rPr>
          <w:iCs/>
          <w:i/>
        </w:rPr>
        <w:t xml:space="preserve">data</w:t>
      </w:r>
      <w:r>
        <w:rPr>
          <w:vertAlign w:val="superscript"/>
        </w:rPr>
        <w:t xml:space="preserve">16</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changes to all documents.</w:t>
      </w:r>
      <w:r>
        <w:rPr>
          <w:vertAlign w:val="superscript"/>
        </w:rPr>
        <w:t xml:space="preserve">17</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policy and practice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18</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reproducibility using the R open-source programming language, although the basic principles are applicable to any major coding language.</w:t>
      </w:r>
    </w:p>
    <w:p>
      <w:r>
        <w:br w:type="page"/>
      </w:r>
    </w:p>
    <w:bookmarkEnd w:id="25"/>
    <w:bookmarkStart w:id="29"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19</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and hence can be seen as a</w:t>
      </w:r>
      <w:r>
        <w:t xml:space="preserve"> </w:t>
      </w:r>
      <w:r>
        <w:t xml:space="preserve">“</w:t>
      </w:r>
      <w:r>
        <w:rPr>
          <w:iCs/>
          <w:i/>
        </w:rPr>
        <w:t xml:space="preserve">time machine</w:t>
      </w:r>
      <w:r>
        <w:t xml:space="preserve">”</w:t>
      </w:r>
      <w:r>
        <w:t xml:space="preserve"> </w:t>
      </w:r>
      <w:r>
        <w:t xml:space="preserve">that enables researchers and developers to compare code and repositories across different versions over time. For our purposes, a repository can be thought of as an isolated project directory which includes all necessary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tip.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2"/>
              </w:numPr>
            </w:pPr>
            <w:r>
              <w:t xml:space="preserve">Is an open-source software and distributed version control system</w:t>
            </w:r>
          </w:p>
          <w:p>
            <w:pPr>
              <w:numPr>
                <w:ilvl w:val="0"/>
                <w:numId w:val="1002"/>
              </w:numPr>
            </w:pPr>
            <w:r>
              <w:t xml:space="preserve">Generally operated through command line tools, graphical user interfaces are available</w:t>
            </w:r>
          </w:p>
          <w:p>
            <w:pPr>
              <w:numPr>
                <w:ilvl w:val="0"/>
                <w:numId w:val="1002"/>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3"/>
              </w:numPr>
            </w:pPr>
            <w:r>
              <w:t xml:space="preserve">Web-based services, usually provided by a commercial entity</w:t>
            </w:r>
          </w:p>
          <w:p>
            <w:pPr>
              <w:numPr>
                <w:ilvl w:val="0"/>
                <w:numId w:val="1003"/>
              </w:numPr>
            </w:pPr>
            <w:r>
              <w:t xml:space="preserve">Usually free for basic functions, paid services for more advanced features</w:t>
            </w:r>
          </w:p>
          <w:p>
            <w:pPr>
              <w:numPr>
                <w:ilvl w:val="0"/>
                <w:numId w:val="1003"/>
              </w:numPr>
            </w:pPr>
            <w:r>
              <w:t xml:space="preserve">Needed to collaborate on shared repositories and dissemination of code</w:t>
            </w:r>
          </w:p>
          <w:p>
            <w:pPr>
              <w:numPr>
                <w:ilvl w:val="0"/>
                <w:numId w:val="1003"/>
              </w:numPr>
            </w:pPr>
            <w:r>
              <w:t xml:space="preserve">Offer a graphical user interface and other functionalities that complement basic Git functions</w:t>
            </w:r>
          </w:p>
        </w:tc>
      </w:tr>
    </w:tbl>
    <w:p>
      <w:pPr>
        <w:pStyle w:val="FirstParagraph"/>
      </w:pPr>
      <w:r>
        <w:t xml:space="preserve">These remote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9"/>
    <w:bookmarkStart w:id="50"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the RStudio integrated development environment (IDE) GUI (</w:t>
      </w:r>
      <w:hyperlink r:id="rId30">
        <w:r>
          <w:rPr>
            <w:rStyle w:val="Hyperlink"/>
          </w:rPr>
          <w:t xml:space="preserve">https://posit.co/download/rstudio-desktop/</w:t>
        </w:r>
      </w:hyperlink>
      <w:r>
        <w:t xml:space="preserve">) and GitHub (</w:t>
      </w:r>
      <w:hyperlink r:id="rId31">
        <w:r>
          <w:rPr>
            <w:rStyle w:val="Hyperlink"/>
          </w:rPr>
          <w:t xml:space="preserve">https://github.com/</w:t>
        </w:r>
      </w:hyperlink>
      <w:r>
        <w:t xml:space="preserve">) as a remote repository, although the general concepts are fairly similar and easily transferable to other programming languages and remote repository platforms,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19</w:t>
      </w:r>
      <w:r>
        <w:t xml:space="preserve"> </w:t>
      </w:r>
    </w:p>
    <w:bookmarkStart w:id="33"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2">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CommentTok"/>
        </w:rPr>
        <w:t xml:space="preserve"># check installed git version</w:t>
      </w:r>
      <w:r>
        <w:br/>
      </w:r>
      <w:r>
        <w:rPr>
          <w:rStyle w:val="FunctionTok"/>
        </w:rPr>
        <w:t xml:space="preserve">git</w:t>
      </w:r>
      <w:r>
        <w:rPr>
          <w:rStyle w:val="NormalTok"/>
        </w:rPr>
        <w:t xml:space="preserve"> </w:t>
      </w:r>
      <w:r>
        <w:rPr>
          <w:rStyle w:val="AttributeTok"/>
        </w:rPr>
        <w:t xml:space="preserve">--version</w:t>
      </w:r>
    </w:p>
    <w:bookmarkEnd w:id="33"/>
    <w:bookmarkStart w:id="34" w:name="configuration-and-first-time-use"/>
    <w:p>
      <w:pPr>
        <w:pStyle w:val="Heading2"/>
      </w:pPr>
      <w:r>
        <w:t xml:space="preserve">3.2 Configuration and first-time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CommentTok"/>
        </w:rPr>
        <w:t xml:space="preserve"># global configuration of name and email address</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4"/>
    <w:bookmarkStart w:id="37" w:name="Xe9a37a48facf2863a9e00dc8b89c4ec70e700c8"/>
    <w:p>
      <w:pPr>
        <w:pStyle w:val="Heading2"/>
      </w:pPr>
      <w:r>
        <w:t xml:space="preserve">3.3 Initialization of a new Git-controlled repository</w:t>
      </w:r>
    </w:p>
    <w:bookmarkStart w:id="35"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CommentTok"/>
        </w:rPr>
        <w:t xml:space="preserve"># create and navigate to study directory</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CommentTok"/>
        </w:rPr>
        <w:t xml:space="preserve"># initialize git tracking</w:t>
      </w:r>
      <w:r>
        <w:br/>
      </w: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5"/>
    <w:bookmarkStart w:id="36"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3.5.2</w:t>
        </w:r>
      </w:hyperlink>
      <w:r>
        <w:t xml:space="preserve"> </w:t>
      </w:r>
      <w:r>
        <w:t xml:space="preserve">and</w:t>
      </w:r>
      <w:r>
        <w:t xml:space="preserve"> </w:t>
      </w:r>
      <w:hyperlink w:anchor="sec-security">
        <w:r>
          <w:rPr>
            <w:rStyle w:val="Hyperlink"/>
          </w:rPr>
          <w:t xml:space="preserve">Section 3.9</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CommentTok"/>
        </w:rPr>
        <w:t xml:space="preserve"># create and navigate to study directory and clone </w:t>
      </w:r>
      <w:r>
        <w:br/>
      </w:r>
      <w:r>
        <w:rPr>
          <w:rStyle w:val="CommentTok"/>
        </w:rPr>
        <w:t xml:space="preserve"># the git repository which was already created on GitHub</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p>
      <w:pPr>
        <w:pStyle w:val="BodyText"/>
      </w:pPr>
      <w:r>
        <w:t xml:space="preserve">In case a user wants to join or contribute to an already existing project,</w:t>
      </w:r>
      <w:r>
        <w:t xml:space="preserve"> </w:t>
      </w:r>
      <w:r>
        <w:rPr>
          <w:rStyle w:val="VerbatimChar"/>
        </w:rPr>
        <w:t xml:space="preserve">git clone</w:t>
      </w:r>
      <w:r>
        <w:t xml:space="preserve"> </w:t>
      </w:r>
      <w:r>
        <w:t xml:space="preserve">works the same way with the only difference that the repository already contains some files and is not empty.</w:t>
      </w:r>
    </w:p>
    <w:bookmarkEnd w:id="36"/>
    <w:bookmarkEnd w:id="37"/>
    <w:bookmarkStart w:id="40" w:name="sec-repository-structure"/>
    <w:p>
      <w:pPr>
        <w:pStyle w:val="Heading2"/>
      </w:pPr>
      <w:r>
        <w:t xml:space="preserve">3.4 Repository structure, README file and licenses</w:t>
      </w:r>
    </w:p>
    <w:p>
      <w:pPr>
        <w:pStyle w:val="FirstParagraph"/>
      </w:pPr>
      <w:r>
        <w:t xml:space="preserve">At this step, we now can populate the repository and start working on study-relevant files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w:t>
      </w:r>
    </w:p>
    <w:p>
      <w:pPr>
        <w:pStyle w:val="BodyText"/>
      </w:pPr>
      <w:r>
        <w:t xml:space="preserve">All relevant metadata, instructions and information about a project should be documented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afterwards by creating a text file with the name</w:t>
      </w:r>
      <w:r>
        <w:t xml:space="preserve"> </w:t>
      </w:r>
      <w:r>
        <w:rPr>
          <w:rStyle w:val="VerbatimChar"/>
        </w:rPr>
        <w:t xml:space="preserve">README.md</w:t>
      </w:r>
      <w:r>
        <w:t xml:space="preserve"> </w:t>
      </w:r>
      <w:r>
        <w:t xml:space="preserve">in the root directory of the repository. Essential information to include contain a brief summary about the project’s background and objectives, instructions on how to install software or manage computation environments and dependencies, important files and the organization of the repository, contribution guidelines, contact information and the project’s license to outline the terms under which others can use, modify, and distribute the project. Especially for open-source software projects choosing a suitable license is critical for which GitHub provides helpful guidance and information under</w:t>
      </w:r>
      <w:r>
        <w:t xml:space="preserve"> </w:t>
      </w:r>
      <w:hyperlink r:id="rId38">
        <w:r>
          <w:rPr>
            <w:rStyle w:val="Hyperlink"/>
          </w:rPr>
          <w:t xml:space="preserve">https://choosealicense.com/</w:t>
        </w:r>
      </w:hyperlink>
      <w:r>
        <w:t xml:space="preserve">.</w:t>
      </w:r>
    </w:p>
    <w:p>
      <w:pPr>
        <w:pStyle w:val="BodyText"/>
      </w:pPr>
      <w:r>
        <w:t xml:space="preserve">A special aspect about real-world data, such as administrative insurance claims and electronic health records, is that these data are typically not collected for the primary purposes of doing research but rather for reasons of billing or clinical documentation. Hence, being transparent about the data provenance, pre-processing steps and operationalization of exposures, outcomes and covariates is of critical importance</w:t>
      </w:r>
      <w:r>
        <w:rPr>
          <w:vertAlign w:val="superscript"/>
        </w:rPr>
        <w:t xml:space="preserve">20</w:t>
      </w:r>
      <w:r>
        <w:t xml:space="preserve"> </w:t>
      </w:r>
      <w:r>
        <w:t xml:space="preserve">and should be part of the repository’s metadata. This can come in form of codebooks, data dictionaries, literate programming scripts (e.g., Quarto) or other applicable documentation files. Developing reproducible and well documented functions or packages as well as inline commenting of programming code can further enhance the transparency and readability of analytic code.</w:t>
      </w:r>
      <w:r>
        <w:rPr>
          <w:vertAlign w:val="superscript"/>
        </w:rPr>
        <w:t xml:space="preserve">21</w:t>
      </w:r>
    </w:p>
    <w:p>
      <w:pPr>
        <w:pStyle w:val="BodyText"/>
      </w:pPr>
      <w:r>
        <w:t xml:space="preserve">To speed up these initial steps, we provide a pre-populated template of such a structured study repository based on the HARPER protocol</w:t>
      </w:r>
      <w:r>
        <w:rPr>
          <w:vertAlign w:val="superscript"/>
        </w:rPr>
        <w:t xml:space="preserve">8</w:t>
      </w:r>
      <w:r>
        <w:t xml:space="preserve"> </w:t>
      </w:r>
      <w:r>
        <w:t xml:space="preserve">template under</w:t>
      </w:r>
      <w:r>
        <w:t xml:space="preserve"> </w:t>
      </w:r>
      <w:hyperlink r:id="rId39">
        <w:r>
          <w:rPr>
            <w:rStyle w:val="Hyperlink"/>
          </w:rPr>
          <w:t xml:space="preserve">https://gitlab-scm.partners.org/drugepi/harper</w:t>
        </w:r>
      </w:hyperlink>
      <w:r>
        <w:t xml:space="preserve">. HARPER is a harmonized study protocol template endorsed by the International Society of Pharmacoepidemiology and the International Society of Pharmacoeconomics and Outcomes Research. The pre-populated structured study repository template is publicly available and can be</w:t>
      </w:r>
      <w:r>
        <w:t xml:space="preserve"> </w:t>
      </w:r>
      <w:r>
        <w:rPr>
          <w:rStyle w:val="VerbatimChar"/>
        </w:rPr>
        <w:t xml:space="preserve">forked</w:t>
      </w:r>
      <w:r>
        <w:rPr>
          <w:vertAlign w:val="superscript"/>
        </w:rPr>
        <w:t xml:space="preserve">22</w:t>
      </w:r>
      <w:r>
        <w:t xml:space="preserve"> </w:t>
      </w:r>
      <w:r>
        <w:t xml:space="preserve">to initiate a new project (see instructions in the template repository under the provided link).</w:t>
      </w:r>
    </w:p>
    <w:bookmarkEnd w:id="40"/>
    <w:bookmarkStart w:id="44"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 </w:t>
      </w:r>
      <w:r>
        <w:t xml:space="preserve">and in the</w:t>
      </w:r>
      <w:r>
        <w:t xml:space="preserve"> </w:t>
      </w:r>
      <w:r>
        <w:rPr>
          <w:bCs/>
          <w:b/>
        </w:rPr>
        <w:t xml:space="preserve">Supplementary Material</w:t>
      </w:r>
      <w:r>
        <w:t xml:space="preserve">.</w:t>
      </w:r>
    </w:p>
    <w:bookmarkStart w:id="41" w:name="pull-fetch-merge"/>
    <w:p>
      <w:pPr>
        <w:pStyle w:val="Heading3"/>
      </w:pPr>
      <w:r>
        <w:t xml:space="preserve">3.5.1 Synchronize changes from a remote repository to a local repository (</w:t>
      </w:r>
      <w:r>
        <w:rPr>
          <w:rStyle w:val="VerbatimChar"/>
        </w:rPr>
        <w:t xml:space="preserve">pull</w:t>
      </w:r>
      <w:r>
        <w:t xml:space="preserve">,</w:t>
      </w:r>
      <w:r>
        <w:t xml:space="preserve"> </w:t>
      </w:r>
      <w:r>
        <w:rPr>
          <w:rStyle w:val="VerbatimChar"/>
        </w:rPr>
        <w:t xml:space="preserve">fetch</w:t>
      </w:r>
      <w:r>
        <w:t xml:space="preserve">,</w:t>
      </w:r>
      <w:r>
        <w:t xml:space="preserve"> </w:t>
      </w:r>
      <w:r>
        <w:rPr>
          <w:rStyle w:val="VerbatimChar"/>
        </w:rPr>
        <w:t xml:space="preserve">merge</w:t>
      </w:r>
      <w:r>
        <w:t xml:space="preserve"> </w:t>
      </w:r>
      <w:r>
        <w:t xml:space="preserve">and</w:t>
      </w:r>
      <w:r>
        <w:t xml:space="preserve"> </w:t>
      </w:r>
      <w:r>
        <w:rPr>
          <w:rStyle w:val="VerbatimChar"/>
        </w:rPr>
        <w:t xml:space="preserve">rebase</w:t>
      </w:r>
      <w:r>
        <w:t xml:space="preserve">)</w:t>
      </w:r>
    </w:p>
    <w:p>
      <w:pPr>
        <w:pStyle w:val="FirstParagraph"/>
      </w:pPr>
      <w:r>
        <w:t xml:space="preserve">Especially when working collaboratively with multiple users on a remote repository, it is usually good practice to synchronize the status of one’s local repository and the remote repository before making any changes since there could be potential modifications and updates already made by others. To avoid any conflicts between two different versions and always work with the most recent version of a file, the first step of the git workflow involves a</w:t>
      </w:r>
      <w:r>
        <w:t xml:space="preserve"> </w:t>
      </w:r>
      <w:r>
        <w:rPr>
          <w:rStyle w:val="VerbatimChar"/>
        </w:rPr>
        <w:t xml:space="preserve">git pull</w:t>
      </w:r>
      <w:r>
        <w:t xml:space="preserve"> </w:t>
      </w:r>
      <w:r>
        <w:t xml:space="preserve">or</w:t>
      </w:r>
      <w:r>
        <w:t xml:space="preserve"> </w:t>
      </w:r>
      <w:r>
        <w:rPr>
          <w:rStyle w:val="VerbatimChar"/>
        </w:rPr>
        <w:t xml:space="preserve">git fetch</w:t>
      </w:r>
      <w:r>
        <w:t xml:space="preserve"> </w:t>
      </w:r>
      <w:r>
        <w:t xml:space="preserve">command.</w:t>
      </w:r>
    </w:p>
    <w:p>
      <w:pPr>
        <w:numPr>
          <w:ilvl w:val="0"/>
          <w:numId w:val="1004"/>
        </w:numPr>
        <w:pStyle w:val="Compact"/>
      </w:pPr>
      <w:r>
        <w:rPr>
          <w:rStyle w:val="VerbatimChar"/>
        </w:rPr>
        <w:t xml:space="preserve">git fetch</w:t>
      </w:r>
      <w:r>
        <w:t xml:space="preserve"> </w:t>
      </w:r>
      <w:r>
        <w:t xml:space="preserve">downloads any changes made to a remote repository into a user’s local repository. However, the command isolates the potentially modified files from the state of the existing local files. This is useful since it enables users to safely review changes using</w:t>
      </w:r>
      <w:r>
        <w:t xml:space="preserve"> </w:t>
      </w:r>
      <w:r>
        <w:rPr>
          <w:rStyle w:val="VerbatimChar"/>
        </w:rPr>
        <w:t xml:space="preserve">git log</w:t>
      </w:r>
      <w:r>
        <w:t xml:space="preserve"> </w:t>
      </w:r>
      <w:r>
        <w:t xml:space="preserve">(we will cover this in more detail in</w:t>
      </w:r>
      <w:r>
        <w:t xml:space="preserve"> </w:t>
      </w:r>
      <w:hyperlink w:anchor="sec-tracking-changes">
        <w:r>
          <w:rPr>
            <w:rStyle w:val="Hyperlink"/>
          </w:rPr>
          <w:t xml:space="preserve">Section 3.7</w:t>
        </w:r>
      </w:hyperlink>
      <w:r>
        <w:t xml:space="preserve">) before integrating those locally. To eventually allow the integration of these changes locally, users can do so using the</w:t>
      </w:r>
      <w:r>
        <w:t xml:space="preserve"> </w:t>
      </w:r>
      <w:r>
        <w:rPr>
          <w:rStyle w:val="VerbatimChar"/>
        </w:rPr>
        <w:t xml:space="preserve">git merge</w:t>
      </w:r>
      <w:r>
        <w:t xml:space="preserve"> </w:t>
      </w:r>
      <w:r>
        <w:t xml:space="preserve">or</w:t>
      </w:r>
      <w:r>
        <w:t xml:space="preserve"> </w:t>
      </w:r>
      <w:r>
        <w:rPr>
          <w:rStyle w:val="VerbatimChar"/>
        </w:rPr>
        <w:t xml:space="preserve">git rebase</w:t>
      </w:r>
      <w:r>
        <w:t xml:space="preserve"> </w:t>
      </w:r>
      <w:r>
        <w:t xml:space="preserve">command. The difference between these two commands is how the history of the versions between different snapshots of the repository is tracked, for which</w:t>
      </w:r>
      <w:r>
        <w:t xml:space="preserve"> </w:t>
      </w:r>
      <w:r>
        <w:rPr>
          <w:rStyle w:val="VerbatimChar"/>
        </w:rPr>
        <w:t xml:space="preserve">git merge</w:t>
      </w:r>
      <w:r>
        <w:t xml:space="preserve"> </w:t>
      </w:r>
      <w:r>
        <w:t xml:space="preserve">is more common, simpler and less error-prone and</w:t>
      </w:r>
      <w:r>
        <w:t xml:space="preserve"> </w:t>
      </w:r>
      <w:r>
        <w:rPr>
          <w:rStyle w:val="VerbatimChar"/>
        </w:rPr>
        <w:t xml:space="preserve">git rebase</w:t>
      </w:r>
      <w:r>
        <w:t xml:space="preserve"> </w:t>
      </w:r>
      <w:r>
        <w:t xml:space="preserve">is a more advanced feature (for the purpose of this manuscript we will mostly focus on</w:t>
      </w:r>
      <w:r>
        <w:t xml:space="preserve"> </w:t>
      </w:r>
      <w:r>
        <w:rPr>
          <w:rStyle w:val="VerbatimChar"/>
        </w:rPr>
        <w:t xml:space="preserve">git merge</w:t>
      </w:r>
      <w:r>
        <w:t xml:space="preserve">).</w:t>
      </w:r>
    </w:p>
    <w:p>
      <w:pPr>
        <w:pStyle w:val="SourceCode"/>
      </w:pPr>
      <w:r>
        <w:rPr>
          <w:rStyle w:val="CommentTok"/>
        </w:rPr>
        <w:t xml:space="preserve"># fetch ("download") updated version of a remote repository</w:t>
      </w:r>
      <w:r>
        <w:br/>
      </w:r>
      <w:r>
        <w:rPr>
          <w:rStyle w:val="FunctionTok"/>
        </w:rPr>
        <w:t xml:space="preserve">git</w:t>
      </w:r>
      <w:r>
        <w:rPr>
          <w:rStyle w:val="NormalTok"/>
        </w:rPr>
        <w:t xml:space="preserve"> fetch </w:t>
      </w:r>
      <w:r>
        <w:br/>
      </w:r>
      <w:r>
        <w:br/>
      </w:r>
      <w:r>
        <w:rPr>
          <w:rStyle w:val="CommentTok"/>
        </w:rPr>
        <w:t xml:space="preserve"># use merge to integrate these changes into local files using merge</w:t>
      </w:r>
      <w:r>
        <w:br/>
      </w:r>
      <w:r>
        <w:rPr>
          <w:rStyle w:val="FunctionTok"/>
        </w:rPr>
        <w:t xml:space="preserve">git</w:t>
      </w:r>
      <w:r>
        <w:rPr>
          <w:rStyle w:val="NormalTok"/>
        </w:rPr>
        <w:t xml:space="preserve"> merge</w:t>
      </w:r>
    </w:p>
    <w:p>
      <w:pPr>
        <w:numPr>
          <w:ilvl w:val="0"/>
          <w:numId w:val="1005"/>
        </w:numPr>
        <w:pStyle w:val="Compact"/>
      </w:pPr>
      <w:r>
        <w:rPr>
          <w:rStyle w:val="VerbatimChar"/>
        </w:rPr>
        <w:t xml:space="preserve">git pull</w:t>
      </w:r>
      <w:r>
        <w:t xml:space="preserve"> </w:t>
      </w:r>
      <w:r>
        <w:t xml:space="preserve">combines</w:t>
      </w:r>
      <w:r>
        <w:t xml:space="preserve"> </w:t>
      </w:r>
      <w:r>
        <w:rPr>
          <w:rStyle w:val="VerbatimChar"/>
        </w:rPr>
        <w:t xml:space="preserve">git fetch</w:t>
      </w:r>
      <w:r>
        <w:t xml:space="preserve"> </w:t>
      </w:r>
      <w:r>
        <w:t xml:space="preserve">and</w:t>
      </w:r>
      <w:r>
        <w:t xml:space="preserve"> </w:t>
      </w:r>
      <w:r>
        <w:rPr>
          <w:rStyle w:val="VerbatimChar"/>
        </w:rPr>
        <w:t xml:space="preserve">git merge</w:t>
      </w:r>
      <w:r>
        <w:t xml:space="preserve"> </w:t>
      </w:r>
      <w:r>
        <w:t xml:space="preserve">in one command and directly downloads</w:t>
      </w:r>
      <w:r>
        <w:t xml:space="preserve"> </w:t>
      </w:r>
      <w:r>
        <w:rPr>
          <w:u w:val="single"/>
        </w:rPr>
        <w:t xml:space="preserve">and</w:t>
      </w:r>
      <w:r>
        <w:t xml:space="preserve"> </w:t>
      </w:r>
      <w:r>
        <w:t xml:space="preserve">integrates all changes from a remote repository locally.</w:t>
      </w:r>
    </w:p>
    <w:p>
      <w:pPr>
        <w:pStyle w:val="SourceCode"/>
      </w:pPr>
      <w:r>
        <w:rPr>
          <w:rStyle w:val="CommentTok"/>
        </w:rPr>
        <w:t xml:space="preserve"># download and integrate content from remote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1"/>
    <w:bookmarkStart w:id="42" w:name="sec-stage-and-commit-changes"/>
    <w:p>
      <w:pPr>
        <w:pStyle w:val="Heading3"/>
      </w:pPr>
      <w:r>
        <w:t xml:space="preserve">3.5.2 Stage and commit changes</w:t>
      </w:r>
    </w:p>
    <w:p>
      <w:pPr>
        <w:pStyle w:val="FirstParagraph"/>
      </w:pPr>
      <w:r>
        <w:t xml:space="preserve">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w:t>
      </w:r>
      <w:r>
        <w:t xml:space="preserve">and it enables users to compare code versions across snapshots. Generally, it is up to the user when to commit, which files to commit and how the commit should be documented in a</w:t>
      </w:r>
      <w:r>
        <w:t xml:space="preserve"> </w:t>
      </w:r>
      <w:r>
        <w:rPr>
          <w:rStyle w:val="VerbatimChar"/>
        </w:rPr>
        <w:t xml:space="preserve">commit message</w:t>
      </w:r>
      <w:r>
        <w:t xml:space="preserve">. However, it is best practice to</w:t>
      </w:r>
      <w:r>
        <w:t xml:space="preserve"> </w:t>
      </w:r>
      <w:r>
        <w:rPr>
          <w:iCs/>
          <w:i/>
        </w:rPr>
        <w:t xml:space="preserve">commit early and often</w:t>
      </w:r>
      <w:r>
        <w:t xml:space="preserve">. That is, smaller and more granular commits that reflect a single unit of work (e.g., a change of selected confounders to adjust for) make it easier to comprehend the changes and associated analytic results and revert potential errors.</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the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 (more information in</w:t>
      </w:r>
      <w:r>
        <w:t xml:space="preserve"> </w:t>
      </w:r>
      <w:hyperlink w:anchor="sec-security">
        <w:r>
          <w:rPr>
            <w:rStyle w:val="Hyperlink"/>
          </w:rPr>
          <w:t xml:space="preserve">Section 3.9</w:t>
        </w:r>
      </w:hyperlink>
      <w:r>
        <w:t xml:space="preserve">).</w:t>
      </w:r>
    </w:p>
    <w:bookmarkEnd w:id="42"/>
    <w:bookmarkStart w:id="43" w:name="sec-tags"/>
    <w:p>
      <w:pPr>
        <w:pStyle w:val="Heading3"/>
      </w:pPr>
      <w:r>
        <w:t xml:space="preserve">3.5.3 Tags (</w:t>
      </w:r>
      <w:r>
        <w:rPr>
          <w:rStyle w:val="VerbatimChar"/>
        </w:rPr>
        <w:t xml:space="preserve">tag</w:t>
      </w:r>
      <w:r>
        <w:t xml:space="preserve">)</w:t>
      </w:r>
    </w:p>
    <w:p>
      <w:pPr>
        <w:pStyle w:val="FirstParagraph"/>
      </w:pPr>
      <w:r>
        <w:t xml:space="preserve">A handy</w:t>
      </w:r>
      <w:r>
        <w:t xml:space="preserve"> </w:t>
      </w:r>
      <w:r>
        <w:rPr>
          <w:rStyle w:val="VerbatimChar"/>
        </w:rPr>
        <w:t xml:space="preserve">Git</w:t>
      </w:r>
      <w:r>
        <w:t xml:space="preserve"> </w:t>
      </w:r>
      <w:r>
        <w:t xml:space="preserve">feature to highlight particularly important commits, snapshots, code/software releases or milestones of a project is</w:t>
      </w:r>
      <w:r>
        <w:t xml:space="preserve"> </w:t>
      </w:r>
      <w:r>
        <w:rPr>
          <w:rStyle w:val="VerbatimChar"/>
        </w:rPr>
        <w:t xml:space="preserve">tagging</w:t>
      </w:r>
      <w:r>
        <w:t xml:space="preserve">. In context of RWE studies, this can be a specific version of an analysis, e.g., the one used for a regulatory submission or the completion of a manuscript version or revision.</w:t>
      </w:r>
    </w:p>
    <w:p>
      <w:pPr>
        <w:pStyle w:val="BodyText"/>
      </w:pPr>
      <w:r>
        <w:t xml:space="preserve">Tags can be annotated with a semantic identifier and tag message, e.g.,</w:t>
      </w:r>
    </w:p>
    <w:p>
      <w:pPr>
        <w:pStyle w:val="SourceCode"/>
      </w:pPr>
      <w:r>
        <w:rPr>
          <w:rStyle w:val="FunctionTok"/>
        </w:rPr>
        <w:t xml:space="preserve">git</w:t>
      </w:r>
      <w:r>
        <w:rPr>
          <w:rStyle w:val="NormalTok"/>
        </w:rPr>
        <w:t xml:space="preserve"> tag </w:t>
      </w:r>
      <w:r>
        <w:rPr>
          <w:rStyle w:val="AttributeTok"/>
        </w:rPr>
        <w:t xml:space="preserve">-a</w:t>
      </w:r>
      <w:r>
        <w:rPr>
          <w:rStyle w:val="NormalTok"/>
        </w:rPr>
        <w:t xml:space="preserve"> v2.0 </w:t>
      </w:r>
      <w:r>
        <w:rPr>
          <w:rStyle w:val="AttributeTok"/>
        </w:rPr>
        <w:t xml:space="preserve">-m</w:t>
      </w:r>
      <w:r>
        <w:rPr>
          <w:rStyle w:val="NormalTok"/>
        </w:rPr>
        <w:t xml:space="preserve"> </w:t>
      </w:r>
      <w:r>
        <w:rPr>
          <w:rStyle w:val="StringTok"/>
        </w:rPr>
        <w:t xml:space="preserve">"Revised (R1) manuscript version"</w:t>
      </w:r>
    </w:p>
    <w:p>
      <w:pPr>
        <w:pStyle w:val="FirstParagraph"/>
      </w:pPr>
      <w:r>
        <w:t xml:space="preserve">All created tags can be displayed using the following command:</w:t>
      </w:r>
    </w:p>
    <w:p>
      <w:pPr>
        <w:pStyle w:val="SourceCode"/>
      </w:pPr>
      <w:r>
        <w:rPr>
          <w:rStyle w:val="FunctionTok"/>
        </w:rPr>
        <w:t xml:space="preserve">git</w:t>
      </w:r>
      <w:r>
        <w:rPr>
          <w:rStyle w:val="NormalTok"/>
        </w:rPr>
        <w:t xml:space="preserve"> tag</w:t>
      </w:r>
    </w:p>
    <w:bookmarkEnd w:id="43"/>
    <w:bookmarkEnd w:id="44"/>
    <w:bookmarkStart w:id="46" w:name="X62fdf960d46a99a40c44e845a34e4d2d69be0af"/>
    <w:p>
      <w:pPr>
        <w:pStyle w:val="Heading2"/>
      </w:pPr>
      <w:r>
        <w:t xml:space="preserve">3.6 Synchronize changes with remote repository</w:t>
      </w:r>
    </w:p>
    <w:bookmarkStart w:id="45"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CommentTok"/>
        </w:rPr>
        <w:t xml:space="preserve"># push local changes to remote repository</w:t>
      </w:r>
      <w:r>
        <w:br/>
      </w: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CommentTok"/>
        </w:rPr>
        <w:t xml:space="preserve"># check remote configuration</w:t>
      </w:r>
      <w:r>
        <w:br/>
      </w: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CommentTok"/>
        </w:rPr>
        <w:t xml:space="preserve"># add a new remote repository connection</w:t>
      </w:r>
      <w:r>
        <w:br/>
      </w: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Tags, as described in</w:t>
      </w:r>
      <w:r>
        <w:t xml:space="preserve"> </w:t>
      </w:r>
      <w:hyperlink w:anchor="sec-tags">
        <w:r>
          <w:rPr>
            <w:rStyle w:val="Hyperlink"/>
          </w:rPr>
          <w:t xml:space="preserve">Section 3.5.3</w:t>
        </w:r>
      </w:hyperlink>
      <w:r>
        <w:t xml:space="preserve">, need to be separately pushed, e.g.,</w:t>
      </w:r>
    </w:p>
    <w:p>
      <w:pPr>
        <w:pStyle w:val="SourceCode"/>
      </w:pPr>
      <w:r>
        <w:rPr>
          <w:rStyle w:val="FunctionTok"/>
        </w:rPr>
        <w:t xml:space="preserve">git</w:t>
      </w:r>
      <w:r>
        <w:rPr>
          <w:rStyle w:val="NormalTok"/>
        </w:rPr>
        <w:t xml:space="preserve"> push origin v2.0</w:t>
      </w:r>
    </w:p>
    <w:p>
      <w:pPr>
        <w:pStyle w:val="FirstParagraph"/>
      </w:pPr>
      <w:r>
        <w:t xml:space="preserve">In summary,</w:t>
      </w:r>
      <w:r>
        <w:t xml:space="preserve"> </w:t>
      </w:r>
      <w:r>
        <w:rPr>
          <w:rStyle w:val="VerbatimChar"/>
        </w:rPr>
        <w:t xml:space="preserve">git push</w:t>
      </w:r>
      <w:r>
        <w:t xml:space="preserve"> </w:t>
      </w:r>
      <w:r>
        <w:t xml:space="preserve">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particularly for the purpose of collaborating on a project as depicted in</w:t>
      </w:r>
      <w:r>
        <w:t xml:space="preserve"> </w:t>
      </w:r>
      <w:hyperlink w:anchor="fig-collaborate">
        <w:r>
          <w:rPr>
            <w:rStyle w:val="Hyperlink"/>
          </w:rPr>
          <w:t xml:space="preserve">Figure 5</w:t>
        </w:r>
      </w:hyperlink>
      <w:r>
        <w:t xml:space="preserve">.</w:t>
      </w:r>
    </w:p>
    <w:bookmarkEnd w:id="45"/>
    <w:bookmarkEnd w:id="46"/>
    <w:bookmarkStart w:id="47" w:name="sec-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3.5.2</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CommentTok"/>
        </w:rPr>
        <w:t xml:space="preserve"># display differences between uncommitted changes</w:t>
      </w:r>
      <w:r>
        <w:br/>
      </w: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CommentTok"/>
        </w:rPr>
        <w:t xml:space="preserve"># display commit history</w:t>
      </w:r>
      <w:r>
        <w:br/>
      </w: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7"/>
    <w:bookmarkStart w:id="48" w:name="creating-persistent-identifiers"/>
    <w:p>
      <w:pPr>
        <w:pStyle w:val="Heading2"/>
      </w:pPr>
      <w:r>
        <w:t xml:space="preserve">3.8 Creating persistent identifiers</w:t>
      </w:r>
    </w:p>
    <w:p>
      <w:pPr>
        <w:pStyle w:val="FirstParagraph"/>
      </w:pPr>
      <w:r>
        <w:t xml:space="preserve">A cornerstone of FAIR principles is the use of persistent identifiers, such as digital object identifiers (DOI), for enabling findability and accessibility of research objects. Integrating the concept of persistent identifiers within the context of remote repositories is an important aspect to enhance the traceability and accessibility of code repositories or even specific commits or releases of a study codebase.</w:t>
      </w:r>
    </w:p>
    <w:p>
      <w:pPr>
        <w:pStyle w:val="BodyText"/>
      </w:pPr>
      <w:r>
        <w:t xml:space="preserve">To that end, Zenodo</w:t>
      </w:r>
      <w:r>
        <w:rPr>
          <w:vertAlign w:val="superscript"/>
        </w:rPr>
        <w:t xml:space="preserve">23,24</w:t>
      </w:r>
      <w:r>
        <w:t xml:space="preserve">, a free and open-source platform funded by the European Commission and developed and maintained by European Organization for Nuclear Research (CERN), allows users to share diverse research artifacts. The platform seamlessly interfaces with GitHub, enabling the creation of referenceable DOIs for existing code repositories. The steps required to obtain a DOI involve the linkage of a Zenodo and a GitHub account</w:t>
      </w:r>
      <w:r>
        <w:rPr>
          <w:vertAlign w:val="superscript"/>
        </w:rPr>
        <w:t xml:space="preserve">25</w:t>
      </w:r>
      <w:r>
        <w:t xml:space="preserve">. Once linked, a user will be able to select a specific release of a repository which automatically registers a new DOI and a corresponding badge which can be included and referenced in a GitHub README file.</w:t>
      </w:r>
    </w:p>
    <w:bookmarkEnd w:id="48"/>
    <w:bookmarkStart w:id="49" w:name="sec-security"/>
    <w:p>
      <w:pPr>
        <w:pStyle w:val="Heading2"/>
      </w:pPr>
      <w:r>
        <w:t xml:space="preserve">3.9 Security considerations</w:t>
      </w:r>
    </w:p>
    <w:p>
      <w:pPr>
        <w:pStyle w:val="FirstParagraph"/>
      </w:pPr>
      <w:r>
        <w:t xml:space="preserve">When working with Git and remote repositories, several security considerations are crucial to safeguard sensitive information. First, it is of utmost importance to ensure that sensitive information (such as personal access tokens, passwords or patient-level data) are not accidentally shared. One way to prevent this is to configure a</w:t>
      </w:r>
      <w:r>
        <w:t xml:space="preserve"> </w:t>
      </w:r>
      <w:r>
        <w:rPr>
          <w:rStyle w:val="VerbatimChar"/>
        </w:rPr>
        <w:t xml:space="preserve">.gitignore</w:t>
      </w:r>
      <w:r>
        <w:t xml:space="preserve"> </w:t>
      </w:r>
      <w:r>
        <w:t xml:space="preserve">file, which is a flat text file typically stored in the root directory of the repository. Each line in</w:t>
      </w:r>
      <w:r>
        <w:t xml:space="preserve"> </w:t>
      </w:r>
      <w:r>
        <w:rPr>
          <w:rStyle w:val="VerbatimChar"/>
        </w:rPr>
        <w:t xml:space="preserve">.gitignore</w:t>
      </w:r>
      <w:r>
        <w:t xml:space="preserve"> </w:t>
      </w:r>
      <w:r>
        <w:t xml:space="preserve">specifies a file name, sub-directory name or a file name pattern (e.g.,</w:t>
      </w:r>
      <w:r>
        <w:t xml:space="preserve"> </w:t>
      </w:r>
      <w:r>
        <w:t xml:space="preserve">“</w:t>
      </w:r>
      <w:r>
        <w:t xml:space="preserve">*.csv</w:t>
      </w:r>
      <w:r>
        <w:t xml:space="preserve">”</w:t>
      </w:r>
      <w:r>
        <w:t xml:space="preserve"> </w:t>
      </w:r>
      <w:r>
        <w:t xml:space="preserve">for all files of type csv) that a user intentionally does not want to track and synchronize with a remote repository. If it can be avoided, such sensitive information should alternatively not be stored in the project directory in the first place.</w:t>
      </w:r>
    </w:p>
    <w:p>
      <w:pPr>
        <w:pStyle w:val="SourceCode"/>
      </w:pPr>
      <w:r>
        <w:rPr>
          <w:rStyle w:val="CommentTok"/>
        </w:rPr>
        <w:t xml:space="preserve"># Example .gitgnore file specyfing which </w:t>
      </w:r>
      <w:r>
        <w:br/>
      </w:r>
      <w:r>
        <w:rPr>
          <w:rStyle w:val="CommentTok"/>
        </w:rPr>
        <w:t xml:space="preserve"># files, sub-directories and patterns</w:t>
      </w:r>
      <w:r>
        <w:br/>
      </w:r>
      <w:r>
        <w:rPr>
          <w:rStyle w:val="CommentTok"/>
        </w:rPr>
        <w:t xml:space="preserve"># that should not be tracked</w:t>
      </w:r>
      <w:r>
        <w:br/>
      </w:r>
      <w:r>
        <w:br/>
      </w:r>
      <w:r>
        <w:rPr>
          <w:rStyle w:val="CommentTok"/>
        </w:rPr>
        <w:t xml:space="preserve"># password .txt file</w:t>
      </w:r>
      <w:r>
        <w:br/>
      </w:r>
      <w:r>
        <w:rPr>
          <w:rStyle w:val="ExtensionTok"/>
        </w:rPr>
        <w:t xml:space="preserve">pwd.txt</w:t>
      </w:r>
      <w:r>
        <w:br/>
      </w:r>
      <w:r>
        <w:br/>
      </w:r>
      <w:r>
        <w:rPr>
          <w:rStyle w:val="CommentTok"/>
        </w:rPr>
        <w:t xml:space="preserve"># Session Data files</w:t>
      </w:r>
      <w:r>
        <w:br/>
      </w:r>
      <w:r>
        <w:rPr>
          <w:rStyle w:val="ExtensionTok"/>
        </w:rPr>
        <w:t xml:space="preserve">.RData</w:t>
      </w:r>
      <w:r>
        <w:br/>
      </w:r>
      <w:r>
        <w:rPr>
          <w:rStyle w:val="ExtensionTok"/>
        </w:rPr>
        <w:t xml:space="preserve">.Rhistory</w:t>
      </w:r>
      <w:r>
        <w:br/>
      </w:r>
      <w:r>
        <w:br/>
      </w:r>
      <w:r>
        <w:rPr>
          <w:rStyle w:val="CommentTok"/>
        </w:rPr>
        <w:t xml:space="preserve"># any type of .csv file</w:t>
      </w:r>
      <w:r>
        <w:br/>
      </w:r>
      <w:r>
        <w:rPr>
          <w:rStyle w:val="ExtensionTok"/>
        </w:rPr>
        <w:t xml:space="preserve">*.csv</w:t>
      </w:r>
      <w:r>
        <w:br/>
      </w:r>
      <w:r>
        <w:br/>
      </w:r>
      <w:r>
        <w:rPr>
          <w:rStyle w:val="CommentTok"/>
        </w:rPr>
        <w:t xml:space="preserve"># output directory</w:t>
      </w:r>
      <w:r>
        <w:br/>
      </w:r>
      <w:r>
        <w:rPr>
          <w:rStyle w:val="ExtensionTok"/>
        </w:rPr>
        <w:t xml:space="preserve">output/</w:t>
      </w:r>
      <w:r>
        <w:br/>
      </w:r>
      <w:r>
        <w:br/>
      </w:r>
      <w:r>
        <w:rPr>
          <w:rStyle w:val="CommentTok"/>
        </w:rPr>
        <w:t xml:space="preserve"># .Renviron file</w:t>
      </w:r>
      <w:r>
        <w:br/>
      </w:r>
      <w:r>
        <w:rPr>
          <w:rStyle w:val="ExtensionTok"/>
        </w:rPr>
        <w:t xml:space="preserve">.Renviron</w:t>
      </w:r>
    </w:p>
    <w:p>
      <w:pPr>
        <w:pStyle w:val="FirstParagraph"/>
      </w:pPr>
      <w:r>
        <w:t xml:space="preserve">Second, it is good practice to not include passwords or personal access tokens inside an analytic code file but to call these from an external file. RStudio, for example, offers the possibility to create environment files (</w:t>
      </w:r>
      <w:r>
        <w:rPr>
          <w:rStyle w:val="VerbatimChar"/>
        </w:rPr>
        <w:t xml:space="preserve">.Renviron</w:t>
      </w:r>
      <w:r>
        <w:t xml:space="preserve"> </w:t>
      </w:r>
      <w:r>
        <w:t xml:space="preserve">and</w:t>
      </w:r>
      <w:r>
        <w:t xml:space="preserve"> </w:t>
      </w:r>
      <w:r>
        <w:rPr>
          <w:rStyle w:val="VerbatimChar"/>
        </w:rPr>
        <w:t xml:space="preserve">.RProfile</w:t>
      </w:r>
      <w:r>
        <w:t xml:space="preserve">) which are user-controllable text files which can be stored in the project root directory and is automatically called upon an R session start. Such a file can be configured to not be tracked using</w:t>
      </w:r>
      <w:r>
        <w:t xml:space="preserve"> </w:t>
      </w:r>
      <w:r>
        <w:rPr>
          <w:rStyle w:val="VerbatimChar"/>
        </w:rPr>
        <w:t xml:space="preserve">.gitignore</w:t>
      </w:r>
      <w:r>
        <w:t xml:space="preserve"> </w:t>
      </w:r>
      <w:r>
        <w:t xml:space="preserve">(as illustrated above) and accessed as show in the following.</w:t>
      </w:r>
    </w:p>
    <w:p>
      <w:pPr>
        <w:pStyle w:val="SourceCode"/>
      </w:pPr>
      <w:r>
        <w:rPr>
          <w:rStyle w:val="CommentTok"/>
        </w:rPr>
        <w:t xml:space="preserve"># Example: configuration of database access credentials inside an .Renviron file</w:t>
      </w:r>
      <w:r>
        <w:br/>
      </w:r>
      <w:r>
        <w:rPr>
          <w:rStyle w:val="NormalTok"/>
        </w:rPr>
        <w:t xml:space="preserve">db_username </w:t>
      </w:r>
      <w:r>
        <w:rPr>
          <w:rStyle w:val="OtherTok"/>
        </w:rPr>
        <w:t xml:space="preserve">=</w:t>
      </w:r>
      <w:r>
        <w:rPr>
          <w:rStyle w:val="NormalTok"/>
        </w:rPr>
        <w:t xml:space="preserve"> </w:t>
      </w:r>
      <w:r>
        <w:rPr>
          <w:rStyle w:val="StringTok"/>
        </w:rPr>
        <w:t xml:space="preserve">"JoshSmith"</w:t>
      </w:r>
      <w:r>
        <w:br/>
      </w:r>
      <w:r>
        <w:rPr>
          <w:rStyle w:val="NormalTok"/>
        </w:rPr>
        <w:t xml:space="preserve">db_password </w:t>
      </w:r>
      <w:r>
        <w:rPr>
          <w:rStyle w:val="OtherTok"/>
        </w:rPr>
        <w:t xml:space="preserve">=</w:t>
      </w:r>
      <w:r>
        <w:rPr>
          <w:rStyle w:val="NormalTok"/>
        </w:rPr>
        <w:t xml:space="preserve"> </w:t>
      </w:r>
      <w:r>
        <w:rPr>
          <w:rStyle w:val="StringTok"/>
        </w:rPr>
        <w:t xml:space="preserve">"User1234"</w:t>
      </w:r>
    </w:p>
    <w:p>
      <w:pPr>
        <w:pStyle w:val="FirstParagraph"/>
      </w:pPr>
      <w:r>
        <w:t xml:space="preserve">These credentials can now be called inside an R script, for example, to access a database (example taken from</w:t>
      </w:r>
      <w:r>
        <w:t xml:space="preserve"> </w:t>
      </w:r>
      <w:r>
        <w:rPr>
          <w:rStyle w:val="VerbatimChar"/>
        </w:rPr>
        <w:t xml:space="preserve">genieBPC</w:t>
      </w:r>
      <w:r>
        <w:t xml:space="preserve"> </w:t>
      </w:r>
      <w:r>
        <w:t xml:space="preserve">R package</w:t>
      </w:r>
      <w:r>
        <w:rPr>
          <w:vertAlign w:val="superscript"/>
        </w:rPr>
        <w:t xml:space="preserve">26</w:t>
      </w:r>
      <w:r>
        <w:t xml:space="preserve">).</w:t>
      </w:r>
    </w:p>
    <w:p>
      <w:pPr>
        <w:pStyle w:val="SourceCode"/>
      </w:pPr>
      <w:r>
        <w:rPr>
          <w:rStyle w:val="CommentTok"/>
        </w:rPr>
        <w:t xml:space="preserve"># Example how the credentials defined in .Renviron can be used</w:t>
      </w:r>
      <w:r>
        <w:br/>
      </w:r>
      <w:r>
        <w:rPr>
          <w:rStyle w:val="CommentTok"/>
        </w:rPr>
        <w:t xml:space="preserve"># inside an R script</w:t>
      </w:r>
      <w:r>
        <w:br/>
      </w:r>
      <w:r>
        <w:rPr>
          <w:rStyle w:val="FunctionTok"/>
        </w:rPr>
        <w:t xml:space="preserve">set_synapse_credentials</w:t>
      </w:r>
      <w:r>
        <w:rPr>
          <w:rStyle w:val="NormalTok"/>
        </w:rPr>
        <w:t xml:space="preserve">(</w:t>
      </w:r>
      <w:r>
        <w:br/>
      </w:r>
      <w:r>
        <w:rPr>
          <w:rStyle w:val="NormalTok"/>
        </w:rPr>
        <w:t xml:space="preserve">  </w:t>
      </w:r>
      <w:r>
        <w:rPr>
          <w:rStyle w:val="AttributeTok"/>
        </w:rPr>
        <w:t xml:space="preserve">username =</w:t>
      </w:r>
      <w:r>
        <w:rPr>
          <w:rStyle w:val="NormalTok"/>
        </w:rPr>
        <w:t xml:space="preserve"> </w:t>
      </w:r>
      <w:r>
        <w:rPr>
          <w:rStyle w:val="FunctionTok"/>
        </w:rPr>
        <w:t xml:space="preserve">Sys.getenv</w:t>
      </w:r>
      <w:r>
        <w:rPr>
          <w:rStyle w:val="NormalTok"/>
        </w:rPr>
        <w:t xml:space="preserve">(</w:t>
      </w:r>
      <w:r>
        <w:rPr>
          <w:rStyle w:val="StringTok"/>
        </w:rPr>
        <w:t xml:space="preserve">"db_username"</w:t>
      </w:r>
      <w:r>
        <w:rPr>
          <w:rStyle w:val="NormalTok"/>
        </w:rPr>
        <w:t xml:space="preserve">), </w:t>
      </w:r>
      <w:r>
        <w:br/>
      </w:r>
      <w:r>
        <w:rPr>
          <w:rStyle w:val="NormalTok"/>
        </w:rPr>
        <w:t xml:space="preserve">  </w:t>
      </w:r>
      <w:r>
        <w:rPr>
          <w:rStyle w:val="AttributeTok"/>
        </w:rPr>
        <w:t xml:space="preserve">password =</w:t>
      </w:r>
      <w:r>
        <w:rPr>
          <w:rStyle w:val="NormalTok"/>
        </w:rPr>
        <w:t xml:space="preserve"> </w:t>
      </w:r>
      <w:r>
        <w:rPr>
          <w:rStyle w:val="FunctionTok"/>
        </w:rPr>
        <w:t xml:space="preserve">Sys.getenv</w:t>
      </w:r>
      <w:r>
        <w:rPr>
          <w:rStyle w:val="NormalTok"/>
        </w:rPr>
        <w:t xml:space="preserve">(</w:t>
      </w:r>
      <w:r>
        <w:rPr>
          <w:rStyle w:val="StringTok"/>
        </w:rPr>
        <w:t xml:space="preserve">"db_password"</w:t>
      </w:r>
      <w:r>
        <w:rPr>
          <w:rStyle w:val="NormalTok"/>
        </w:rPr>
        <w:t xml:space="preserve">)</w:t>
      </w:r>
      <w:r>
        <w:br/>
      </w:r>
      <w:r>
        <w:rPr>
          <w:rStyle w:val="NormalTok"/>
        </w:rPr>
        <w:t xml:space="preserve">  )</w:t>
      </w:r>
    </w:p>
    <w:p>
      <w:pPr>
        <w:pStyle w:val="FirstParagraph"/>
      </w:pPr>
      <w:r>
        <w:t xml:space="preserve">Third, it needs to be ensured that access permissions to remote repository platforms are appropriately configured, granting only necessary access levels to collaborators unless it is intended to share the repository with the public. All major remote repositories offer the option to configure a repository to be private or public.</w:t>
      </w:r>
    </w:p>
    <w:bookmarkEnd w:id="49"/>
    <w:bookmarkEnd w:id="50"/>
    <w:bookmarkStart w:id="51"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number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t xml:space="preserve">Besides the usage of</w:t>
      </w:r>
      <w:r>
        <w:t xml:space="preserve"> </w:t>
      </w:r>
      <w:r>
        <w:rPr>
          <w:rStyle w:val="VerbatimChar"/>
        </w:rPr>
        <w:t xml:space="preserve">Git</w:t>
      </w:r>
      <w:r>
        <w:t xml:space="preserve"> </w:t>
      </w:r>
      <w:r>
        <w:t xml:space="preserve">and remote repositories as version control systems, there are also further relevant aspects that determine the reproducibility of analytic code when using open-source software such as R. To complement the introduction and discussion on</w:t>
      </w:r>
      <w:r>
        <w:t xml:space="preserve"> </w:t>
      </w:r>
      <w:r>
        <w:rPr>
          <w:rStyle w:val="VerbatimChar"/>
        </w:rPr>
        <w:t xml:space="preserve">Git</w:t>
      </w:r>
      <w:r>
        <w:t xml:space="preserve"> </w:t>
      </w:r>
      <w:r>
        <w:t xml:space="preserve">in this manuscript, section 2 (</w:t>
      </w:r>
      <w:r>
        <w:rPr>
          <w:iCs/>
          <w:i/>
        </w:rPr>
        <w:t xml:space="preserve">Reproducible computation environments in R</w:t>
      </w:r>
      <w:r>
        <w:t xml:space="preserve">) in the</w:t>
      </w:r>
      <w:r>
        <w:t xml:space="preserve"> </w:t>
      </w:r>
      <w:r>
        <w:rPr>
          <w:bCs/>
          <w:b/>
        </w:rPr>
        <w:t xml:space="preserve">Supplementary Material</w:t>
      </w:r>
      <w:r>
        <w:t xml:space="preserve"> </w:t>
      </w:r>
      <w:r>
        <w:t xml:space="preserve">provides a few further considerations addressing the computational reproducibility when using R.</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18</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Despite the potential initial complexities to get acquainted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Remote repositories are ideal platforms to deploy and archive scripts and documents, facilitate collaboration and make it very convenient to share code. While the access to the final version of the programming code is already sufficient for external reproducibility, the tracking of changes over time enables a study team to comprehend and resolve errors more efficiently. Similar to tracking changes and amendments of a study protocol, an external audience also benefits from a complete audit trail through a better understanding of the documented scientific rationale behind specific changes, the identification of implemented quality control processes (e.g., code reviews) and the tracking of contributions of different collaborators to the codebase.</w:t>
      </w:r>
    </w:p>
    <w:p>
      <w:pPr>
        <w:pStyle w:val="BodyText"/>
      </w:pPr>
      <w:r>
        <w:t xml:space="preserve">Although data sharing is unfortunately often prohibited due to privacy and legal reasons, many databases have been mapped to common data models like OMOP</w:t>
      </w:r>
      <w:r>
        <w:rPr>
          <w:vertAlign w:val="superscript"/>
        </w:rPr>
        <w:t xml:space="preserve">27</w:t>
      </w:r>
      <w:r>
        <w:t xml:space="preserve">, Sentinel</w:t>
      </w:r>
      <w:r>
        <w:rPr>
          <w:vertAlign w:val="superscript"/>
        </w:rPr>
        <w:t xml:space="preserve">28</w:t>
      </w:r>
      <w:r>
        <w:t xml:space="preserve">, PCORnet</w:t>
      </w:r>
      <w:r>
        <w:rPr>
          <w:vertAlign w:val="superscript"/>
        </w:rPr>
        <w:t xml:space="preserve">29</w:t>
      </w:r>
      <w:r>
        <w:t xml:space="preserve"> </w:t>
      </w:r>
      <w:r>
        <w:t xml:space="preserve">and ConcePTION</w:t>
      </w:r>
      <w:r>
        <w:rPr>
          <w:vertAlign w:val="superscript"/>
        </w:rPr>
        <w:t xml:space="preserve">30</w:t>
      </w:r>
      <w:r>
        <w:t xml:space="preserve">, which makes shared code interoperable even without direct access to the same data source. In order to achieve full replicability, authors may alternatively include a sample of dummy data to enable readers to comprehend and run the analytic code. Moreover, many larger research data sources have already provided synthetic data using identical formats and variable names while protecting patient privacy (e.g., Medicare Claims Synthetic Public Use Files).</w:t>
      </w:r>
      <w:r>
        <w:rPr>
          <w:vertAlign w:val="superscript"/>
        </w:rPr>
        <w:t xml:space="preserve">31</w:t>
      </w:r>
    </w:p>
    <w:p>
      <w:pPr>
        <w:pStyle w:val="BodyText"/>
      </w:pPr>
      <w:r>
        <w:t xml:space="preserve">Finally, code sharing can enable researchers to learn from each other, build trust</w:t>
      </w:r>
      <w:r>
        <w:rPr>
          <w:vertAlign w:val="superscript"/>
        </w:rPr>
        <w:t xml:space="preserve">32</w:t>
      </w:r>
      <w:r>
        <w:t xml:space="preserve">, expedite the uptake of novel methodologies and knowledge exchange and decrease unnecessary redundancies through sharing of code libraries, functions and algorithms.</w:t>
      </w:r>
      <w:r>
        <w:t xml:space="preserve"> </w:t>
      </w:r>
      <w:r>
        <w:rPr>
          <w:rStyle w:val="VerbatimChar"/>
        </w:rPr>
        <w:t xml:space="preserve">Git</w:t>
      </w:r>
      <w:r>
        <w:t xml:space="preserve"> </w:t>
      </w:r>
      <w:r>
        <w:t xml:space="preserve">was primarily designed for version control and development of analytic code by statisticians and programmers, but may also benefit other members of a RWE generation team through the centralized deployment, tracking and version control of study documents as well as project management tools which have become standard among established remote repository platforms. While</w:t>
      </w:r>
      <w:r>
        <w:t xml:space="preserve"> </w:t>
      </w:r>
      <w:r>
        <w:rPr>
          <w:rStyle w:val="VerbatimChar"/>
        </w:rPr>
        <w:t xml:space="preserve">Git</w:t>
      </w:r>
      <w:r>
        <w:t xml:space="preserve"> </w:t>
      </w:r>
      <w:r>
        <w:t xml:space="preserve">offers substantial benefits for collaboration, reproducibility, and transparency in RWE teams, challenges can arise in its adoption, particularly related to merging conflicts, steep learning curves, and maintaining consistent usage practices across team members.</w:t>
      </w:r>
    </w:p>
    <w:p>
      <w:pPr>
        <w:pStyle w:val="BodyText"/>
      </w:pPr>
      <w:r>
        <w:t xml:space="preserve">Regulators</w:t>
      </w:r>
      <w:r>
        <w:rPr>
          <w:vertAlign w:val="superscript"/>
        </w:rPr>
        <w:t xml:space="preserve">33</w:t>
      </w:r>
      <w:r>
        <w:t xml:space="preserve">, funding agencies</w:t>
      </w:r>
      <w:r>
        <w:rPr>
          <w:vertAlign w:val="superscript"/>
        </w:rPr>
        <w:t xml:space="preserve">34,35</w:t>
      </w:r>
      <w:r>
        <w:t xml:space="preserve"> </w:t>
      </w:r>
      <w:r>
        <w:t xml:space="preserve">and HTA bodies</w:t>
      </w:r>
      <w:r>
        <w:rPr>
          <w:vertAlign w:val="superscript"/>
        </w:rPr>
        <w:t xml:space="preserve">36</w:t>
      </w:r>
      <w:r>
        <w:t xml:space="preserve"> </w:t>
      </w:r>
      <w:r>
        <w:t xml:space="preserve">have increasing expectations regarding the provenance, sharing and audit trial of study documents including analytic code as a prerequisite for impactful and credible RWE studies. Given the trend towards open source tools for clinical trial reporting and regulatory submissions, this tutorial addresses a timely topic and hopefully encourages new and experienced pharmacoepidemiologists to integrate VCS in their daily work and embrace the advantages of FAIR analytic code sharing.</w:t>
      </w:r>
    </w:p>
    <w:p>
      <w:r>
        <w:br w:type="page"/>
      </w:r>
    </w:p>
    <w:bookmarkEnd w:id="51"/>
    <w:bookmarkStart w:id="124" w:name="references"/>
    <w:p>
      <w:pPr>
        <w:pStyle w:val="Heading1"/>
      </w:pPr>
      <w:r>
        <w:t xml:space="preserve">References</w:t>
      </w:r>
    </w:p>
    <w:bookmarkStart w:id="123" w:name="refs"/>
    <w:bookmarkStart w:id="53"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Available at:</w:t>
      </w:r>
      <w:r>
        <w:t xml:space="preserve"> </w:t>
      </w:r>
      <w:hyperlink r:id="rId52">
        <w:r>
          <w:rPr>
            <w:rStyle w:val="Hyperlink"/>
          </w:rPr>
          <w:t xml:space="preserve">https://www.fda.gov/downloads/ScienceResearch/SpecialTopics/RealWorldEvidence/UCM627769.pdf</w:t>
        </w:r>
      </w:hyperlink>
      <w:r>
        <w:t xml:space="preserve">.</w:t>
      </w:r>
    </w:p>
    <w:bookmarkEnd w:id="53"/>
    <w:bookmarkStart w:id="55" w:name="ref-eichler2015"/>
    <w:p>
      <w:pPr>
        <w:pStyle w:val="Bibliography"/>
      </w:pPr>
      <w:r>
        <w:t xml:space="preserve">2.</w:t>
      </w:r>
      <w:r>
        <w:t xml:space="preserve"> </w:t>
      </w:r>
      <w:r>
        <w:t xml:space="preserve">	</w:t>
      </w:r>
      <w:r>
        <w:t xml:space="preserve">Eichler H-G, Baird L, Barker R,</w:t>
      </w:r>
      <w:r>
        <w:t xml:space="preserve"> </w:t>
      </w:r>
      <w:r>
        <w:rPr>
          <w:iCs/>
          <w:i/>
        </w:rPr>
        <w:t xml:space="preserve">et al.</w:t>
      </w:r>
      <w:r>
        <w:t xml:space="preserve"> From adaptive licensing to adaptive pathways: Delivering a flexible life</w:t>
      </w:r>
      <w:r>
        <w:t xml:space="preserve">-</w:t>
      </w:r>
      <w:r>
        <w:t xml:space="preserve">span approach to bring new drugs to patients.</w:t>
      </w:r>
      <w:r>
        <w:t xml:space="preserve"> </w:t>
      </w:r>
      <w:r>
        <w:rPr>
          <w:iCs/>
          <w:i/>
        </w:rPr>
        <w:t xml:space="preserve">Clinical Pharmacology &amp; Therapeutics</w:t>
      </w:r>
      <w:r>
        <w:t xml:space="preserve"> </w:t>
      </w:r>
      <w:r>
        <w:t xml:space="preserve">2015;</w:t>
      </w:r>
      <w:r>
        <w:t xml:space="preserve"> </w:t>
      </w:r>
      <w:r>
        <w:rPr>
          <w:bCs/>
          <w:b/>
        </w:rPr>
        <w:t xml:space="preserve">97</w:t>
      </w:r>
      <w:r>
        <w:t xml:space="preserve">: 234–246. doi:</w:t>
      </w:r>
      <w:hyperlink r:id="rId54">
        <w:r>
          <w:rPr>
            <w:rStyle w:val="Hyperlink"/>
          </w:rPr>
          <w:t xml:space="preserve">10.1002/cpt.59</w:t>
        </w:r>
      </w:hyperlink>
      <w:r>
        <w:t xml:space="preserve">.</w:t>
      </w:r>
    </w:p>
    <w:bookmarkEnd w:id="55"/>
    <w:bookmarkStart w:id="57" w:name="ref-cioms2023"/>
    <w:p>
      <w:pPr>
        <w:pStyle w:val="Bibliography"/>
      </w:pPr>
      <w:r>
        <w:t xml:space="preserve">3.</w:t>
      </w:r>
      <w:r>
        <w:t xml:space="preserve"> </w:t>
      </w:r>
      <w:r>
        <w:t xml:space="preserve">	</w:t>
      </w:r>
      <w:r>
        <w:t xml:space="preserve">CIOMS RWE and RWD for regulatory decision making. 2023. Accessed 6/30/2023. Available at:</w:t>
      </w:r>
      <w:r>
        <w:t xml:space="preserve"> </w:t>
      </w:r>
      <w:hyperlink r:id="rId56">
        <w:r>
          <w:rPr>
            <w:rStyle w:val="Hyperlink"/>
          </w:rPr>
          <w:t xml:space="preserve">https://cioms.ch/wp-content/uploads/2020/03/CIOMS-WG-XIII_6June2023_Draft-report-for-comment-1.pdfA</w:t>
        </w:r>
      </w:hyperlink>
      <w:r>
        <w:t xml:space="preserve">.</w:t>
      </w:r>
    </w:p>
    <w:bookmarkEnd w:id="57"/>
    <w:bookmarkStart w:id="59" w:name="ref-makady2017"/>
    <w:p>
      <w:pPr>
        <w:pStyle w:val="Bibliography"/>
      </w:pPr>
      <w:r>
        <w:t xml:space="preserve">4.</w:t>
      </w:r>
      <w:r>
        <w:t xml:space="preserve"> </w:t>
      </w:r>
      <w:r>
        <w:t xml:space="preserve">	</w:t>
      </w:r>
      <w:r>
        <w:t xml:space="preserve">Makady A, Ham R ten, Boer A de, Hillege H, Klungel O, Goettsch W. Policies for Use of Real-World Data in Health Technology Assessment (HTA): A Comparative Study of Six HTA Agencies.</w:t>
      </w:r>
      <w:r>
        <w:t xml:space="preserve"> </w:t>
      </w:r>
      <w:r>
        <w:rPr>
          <w:iCs/>
          <w:i/>
        </w:rPr>
        <w:t xml:space="preserve">Value in Health</w:t>
      </w:r>
      <w:r>
        <w:t xml:space="preserve"> </w:t>
      </w:r>
      <w:r>
        <w:t xml:space="preserve">2017;</w:t>
      </w:r>
      <w:r>
        <w:t xml:space="preserve"> </w:t>
      </w:r>
      <w:r>
        <w:rPr>
          <w:bCs/>
          <w:b/>
        </w:rPr>
        <w:t xml:space="preserve">20</w:t>
      </w:r>
      <w:r>
        <w:t xml:space="preserve">: 520–532. doi:</w:t>
      </w:r>
      <w:hyperlink r:id="rId58">
        <w:r>
          <w:rPr>
            <w:rStyle w:val="Hyperlink"/>
          </w:rPr>
          <w:t xml:space="preserve">10.1016/j.jval.2016.12.003</w:t>
        </w:r>
      </w:hyperlink>
      <w:r>
        <w:t xml:space="preserve">.</w:t>
      </w:r>
    </w:p>
    <w:bookmarkEnd w:id="59"/>
    <w:bookmarkStart w:id="61" w:name="ref-wang2021"/>
    <w:p>
      <w:pPr>
        <w:pStyle w:val="Bibliography"/>
      </w:pPr>
      <w:r>
        <w:t xml:space="preserve">5.</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60">
        <w:r>
          <w:rPr>
            <w:rStyle w:val="Hyperlink"/>
          </w:rPr>
          <w:t xml:space="preserve">10.1136/bmj.m4856</w:t>
        </w:r>
      </w:hyperlink>
      <w:r>
        <w:t xml:space="preserve">.</w:t>
      </w:r>
    </w:p>
    <w:bookmarkEnd w:id="61"/>
    <w:bookmarkStart w:id="63" w:name="ref-schneeweiss2019"/>
    <w:p>
      <w:pPr>
        <w:pStyle w:val="Bibliography"/>
      </w:pPr>
      <w:r>
        <w:t xml:space="preserve">6.</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2">
        <w:r>
          <w:rPr>
            <w:rStyle w:val="Hyperlink"/>
          </w:rPr>
          <w:t xml:space="preserve">10.7326/m18-3079</w:t>
        </w:r>
      </w:hyperlink>
      <w:r>
        <w:t xml:space="preserve">.</w:t>
      </w:r>
    </w:p>
    <w:bookmarkEnd w:id="63"/>
    <w:bookmarkStart w:id="65" w:name="ref-berger2017"/>
    <w:p>
      <w:pPr>
        <w:pStyle w:val="Bibliography"/>
      </w:pPr>
      <w:r>
        <w:t xml:space="preserve">7.</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64">
        <w:r>
          <w:rPr>
            <w:rStyle w:val="Hyperlink"/>
          </w:rPr>
          <w:t xml:space="preserve">10.1002/pds.4297</w:t>
        </w:r>
      </w:hyperlink>
      <w:r>
        <w:t xml:space="preserve">.</w:t>
      </w:r>
    </w:p>
    <w:bookmarkEnd w:id="65"/>
    <w:bookmarkStart w:id="67" w:name="ref-wang2022"/>
    <w:p>
      <w:pPr>
        <w:pStyle w:val="Bibliography"/>
      </w:pPr>
      <w:r>
        <w:t xml:space="preserve">8.</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66">
        <w:r>
          <w:rPr>
            <w:rStyle w:val="Hyperlink"/>
          </w:rPr>
          <w:t xml:space="preserve">10.1002/pds.5507</w:t>
        </w:r>
      </w:hyperlink>
      <w:r>
        <w:t xml:space="preserve">.</w:t>
      </w:r>
    </w:p>
    <w:bookmarkEnd w:id="67"/>
    <w:bookmarkStart w:id="69" w:name="ref-almugbel2017"/>
    <w:p>
      <w:pPr>
        <w:pStyle w:val="Bibliography"/>
      </w:pPr>
      <w:r>
        <w:t xml:space="preserve">9.</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8">
        <w:r>
          <w:rPr>
            <w:rStyle w:val="Hyperlink"/>
          </w:rPr>
          <w:t xml:space="preserve">10.1093/jamia/ocx120</w:t>
        </w:r>
      </w:hyperlink>
      <w:r>
        <w:t xml:space="preserve">.</w:t>
      </w:r>
    </w:p>
    <w:bookmarkEnd w:id="69"/>
    <w:bookmarkStart w:id="71" w:name="ref-mammoliti2021"/>
    <w:p>
      <w:pPr>
        <w:pStyle w:val="Bibliography"/>
      </w:pPr>
      <w:r>
        <w:t xml:space="preserve">10.</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0">
        <w:r>
          <w:rPr>
            <w:rStyle w:val="Hyperlink"/>
          </w:rPr>
          <w:t xml:space="preserve">10.1038/s41467-021-25974-w</w:t>
        </w:r>
      </w:hyperlink>
      <w:r>
        <w:t xml:space="preserve">.</w:t>
      </w:r>
    </w:p>
    <w:bookmarkEnd w:id="71"/>
    <w:bookmarkStart w:id="73" w:name="ref-russell2018"/>
    <w:p>
      <w:pPr>
        <w:pStyle w:val="Bibliography"/>
      </w:pPr>
      <w:r>
        <w:t xml:space="preserve">11.</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72">
        <w:r>
          <w:rPr>
            <w:rStyle w:val="Hyperlink"/>
          </w:rPr>
          <w:t xml:space="preserve">10.1371/journal.pone.0205898</w:t>
        </w:r>
      </w:hyperlink>
      <w:r>
        <w:t xml:space="preserve">.</w:t>
      </w:r>
    </w:p>
    <w:bookmarkEnd w:id="73"/>
    <w:bookmarkStart w:id="75" w:name="ref-perez-riverol2016"/>
    <w:p>
      <w:pPr>
        <w:pStyle w:val="Bibliography"/>
      </w:pPr>
      <w:r>
        <w:t xml:space="preserve">12.</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74">
        <w:r>
          <w:rPr>
            <w:rStyle w:val="Hyperlink"/>
          </w:rPr>
          <w:t xml:space="preserve">10.1371/journal.pcbi.1004947</w:t>
        </w:r>
      </w:hyperlink>
      <w:r>
        <w:t xml:space="preserve">.</w:t>
      </w:r>
    </w:p>
    <w:bookmarkEnd w:id="75"/>
    <w:bookmarkStart w:id="77" w:name="ref-bakken2019"/>
    <w:p>
      <w:pPr>
        <w:pStyle w:val="Bibliography"/>
      </w:pPr>
      <w:r>
        <w:t xml:space="preserve">13.</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76">
        <w:r>
          <w:rPr>
            <w:rStyle w:val="Hyperlink"/>
          </w:rPr>
          <w:t xml:space="preserve">10.1093/jamia/ocz007</w:t>
        </w:r>
      </w:hyperlink>
      <w:r>
        <w:t xml:space="preserve">.</w:t>
      </w:r>
    </w:p>
    <w:bookmarkEnd w:id="77"/>
    <w:bookmarkStart w:id="79" w:name="ref-pharmaverse2023"/>
    <w:p>
      <w:pPr>
        <w:pStyle w:val="Bibliography"/>
      </w:pPr>
      <w:r>
        <w:t xml:space="preserve">14.</w:t>
      </w:r>
      <w:r>
        <w:t xml:space="preserve"> </w:t>
      </w:r>
      <w:r>
        <w:t xml:space="preserve">	</w:t>
      </w:r>
      <w:r>
        <w:t xml:space="preserve">Pharmaverse. Accessed 6/30/2023. Available at:</w:t>
      </w:r>
      <w:r>
        <w:t xml:space="preserve"> </w:t>
      </w:r>
      <w:hyperlink r:id="rId78">
        <w:r>
          <w:rPr>
            <w:rStyle w:val="Hyperlink"/>
          </w:rPr>
          <w:t xml:space="preserve">https://pharmaverse.org/</w:t>
        </w:r>
      </w:hyperlink>
      <w:r>
        <w:t xml:space="preserve">.</w:t>
      </w:r>
    </w:p>
    <w:bookmarkEnd w:id="79"/>
    <w:bookmarkStart w:id="81" w:name="ref-positPharma"/>
    <w:p>
      <w:pPr>
        <w:pStyle w:val="Bibliography"/>
      </w:pPr>
      <w:r>
        <w:t xml:space="preserve">15.</w:t>
      </w:r>
      <w:r>
        <w:t xml:space="preserve"> </w:t>
      </w:r>
      <w:r>
        <w:t xml:space="preserve">	</w:t>
      </w:r>
      <w:r>
        <w:t xml:space="preserve">Kephart C. R packages and shiny for FDA clinical trial submissions. Accessed 6/30/2023. Available at:</w:t>
      </w:r>
      <w:r>
        <w:t xml:space="preserve"> </w:t>
      </w:r>
      <w:hyperlink r:id="rId80">
        <w:r>
          <w:rPr>
            <w:rStyle w:val="Hyperlink"/>
          </w:rPr>
          <w:t xml:space="preserve">https://posit.co/blog/fda-shiny-r-package-submissions/</w:t>
        </w:r>
      </w:hyperlink>
      <w:r>
        <w:t xml:space="preserve">.</w:t>
      </w:r>
    </w:p>
    <w:bookmarkEnd w:id="81"/>
    <w:bookmarkStart w:id="83" w:name="ref-garcía-closas2023"/>
    <w:p>
      <w:pPr>
        <w:pStyle w:val="Bibliography"/>
      </w:pPr>
      <w:r>
        <w:t xml:space="preserve">16.</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2">
        <w:r>
          <w:rPr>
            <w:rStyle w:val="Hyperlink"/>
          </w:rPr>
          <w:t xml:space="preserve">10.1093/aje/kwad040</w:t>
        </w:r>
      </w:hyperlink>
      <w:r>
        <w:t xml:space="preserve">.</w:t>
      </w:r>
    </w:p>
    <w:bookmarkEnd w:id="83"/>
    <w:bookmarkStart w:id="85" w:name="ref-ram2013"/>
    <w:p>
      <w:pPr>
        <w:pStyle w:val="Bibliography"/>
      </w:pPr>
      <w:r>
        <w:t xml:space="preserve">17.</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4">
        <w:r>
          <w:rPr>
            <w:rStyle w:val="Hyperlink"/>
          </w:rPr>
          <w:t xml:space="preserve">10.1186/1751-0473-8-7</w:t>
        </w:r>
      </w:hyperlink>
      <w:r>
        <w:t xml:space="preserve">.</w:t>
      </w:r>
    </w:p>
    <w:bookmarkEnd w:id="85"/>
    <w:bookmarkStart w:id="87" w:name="ref-blischak2016"/>
    <w:p>
      <w:pPr>
        <w:pStyle w:val="Bibliography"/>
      </w:pPr>
      <w:r>
        <w:t xml:space="preserve">18.</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6">
        <w:r>
          <w:rPr>
            <w:rStyle w:val="Hyperlink"/>
          </w:rPr>
          <w:t xml:space="preserve">10.1371/journal.pcbi.1004668</w:t>
        </w:r>
      </w:hyperlink>
      <w:r>
        <w:t xml:space="preserve">.</w:t>
      </w:r>
    </w:p>
    <w:bookmarkEnd w:id="87"/>
    <w:bookmarkStart w:id="88" w:name="ref-chacon2014pro"/>
    <w:p>
      <w:pPr>
        <w:pStyle w:val="Bibliography"/>
      </w:pPr>
      <w:r>
        <w:t xml:space="preserve">19.</w:t>
      </w:r>
      <w:r>
        <w:t xml:space="preserve"> </w:t>
      </w:r>
      <w:r>
        <w:t xml:space="preserve">	</w:t>
      </w:r>
      <w:r>
        <w:t xml:space="preserve">Chacon S, Straub B.</w:t>
      </w:r>
      <w:r>
        <w:t xml:space="preserve"> </w:t>
      </w:r>
      <w:r>
        <w:rPr>
          <w:iCs/>
          <w:i/>
        </w:rPr>
        <w:t xml:space="preserve">Pro git</w:t>
      </w:r>
      <w:r>
        <w:t xml:space="preserve">. Springer Nature, 2014.</w:t>
      </w:r>
    </w:p>
    <w:bookmarkEnd w:id="88"/>
    <w:bookmarkStart w:id="90" w:name="ref-wang2017"/>
    <w:p>
      <w:pPr>
        <w:pStyle w:val="Bibliography"/>
      </w:pPr>
      <w:r>
        <w:t xml:space="preserve">20.</w:t>
      </w:r>
      <w:r>
        <w:t xml:space="preserve"> </w:t>
      </w:r>
      <w:r>
        <w:t xml:space="preserve">	</w:t>
      </w:r>
      <w:r>
        <w:t xml:space="preserve">Wang SV, Schneeweiss S, Berger ML,</w:t>
      </w:r>
      <w:r>
        <w:t xml:space="preserve"> </w:t>
      </w:r>
      <w:r>
        <w:rPr>
          <w:iCs/>
          <w:i/>
        </w:rPr>
        <w:t xml:space="preserve">et al.</w:t>
      </w:r>
      <w:r>
        <w:t xml:space="preserve"> Reporting to Improve Reproducibility and Facilitate Validity Assessment for Healthcare Database Studies V1.0.</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1018–1032. doi:</w:t>
      </w:r>
      <w:hyperlink r:id="rId89">
        <w:r>
          <w:rPr>
            <w:rStyle w:val="Hyperlink"/>
          </w:rPr>
          <w:t xml:space="preserve">10.1002/pds.4295</w:t>
        </w:r>
      </w:hyperlink>
      <w:r>
        <w:t xml:space="preserve">.</w:t>
      </w:r>
    </w:p>
    <w:bookmarkEnd w:id="90"/>
    <w:bookmarkStart w:id="92" w:name="ref-bové2023improving"/>
    <w:p>
      <w:pPr>
        <w:pStyle w:val="Bibliography"/>
      </w:pPr>
      <w:r>
        <w:t xml:space="preserve">21.</w:t>
      </w:r>
      <w:r>
        <w:t xml:space="preserve"> </w:t>
      </w:r>
      <w:r>
        <w:t xml:space="preserve">	</w:t>
      </w:r>
      <w:r>
        <w:t xml:space="preserve">Bové DS, Seibold H, Boulesteix A-L,</w:t>
      </w:r>
      <w:r>
        <w:t xml:space="preserve"> </w:t>
      </w:r>
      <w:r>
        <w:rPr>
          <w:iCs/>
          <w:i/>
        </w:rPr>
        <w:t xml:space="preserve">et al.</w:t>
      </w:r>
      <w:r>
        <w:t xml:space="preserve"> Improving software engineering in biostatistics: Challenges and opportunities. 2023. Available at:</w:t>
      </w:r>
      <w:r>
        <w:t xml:space="preserve"> </w:t>
      </w:r>
      <w:hyperlink r:id="rId91">
        <w:r>
          <w:rPr>
            <w:rStyle w:val="Hyperlink"/>
          </w:rPr>
          <w:t xml:space="preserve">https://arxiv.org/abs/2301.11791</w:t>
        </w:r>
      </w:hyperlink>
      <w:r>
        <w:t xml:space="preserve">.</w:t>
      </w:r>
    </w:p>
    <w:bookmarkEnd w:id="92"/>
    <w:bookmarkStart w:id="94" w:name="ref-GitFork"/>
    <w:p>
      <w:pPr>
        <w:pStyle w:val="Bibliography"/>
      </w:pPr>
      <w:r>
        <w:t xml:space="preserve">22.</w:t>
      </w:r>
      <w:r>
        <w:t xml:space="preserve"> </w:t>
      </w:r>
      <w:r>
        <w:t xml:space="preserve">	</w:t>
      </w:r>
      <w:r>
        <w:t xml:space="preserve">Fork a repo. A fork is a new repository that shares code and visibility settings with the original</w:t>
      </w:r>
      <w:r>
        <w:t xml:space="preserve"> </w:t>
      </w:r>
      <w:r>
        <w:t xml:space="preserve">“upstream”</w:t>
      </w:r>
      <w:r>
        <w:t xml:space="preserve"> </w:t>
      </w:r>
      <w:r>
        <w:t xml:space="preserve">repository. Accessed 6/30/2023. Available at:</w:t>
      </w:r>
      <w:r>
        <w:t xml:space="preserve"> </w:t>
      </w:r>
      <w:hyperlink r:id="rId93">
        <w:r>
          <w:rPr>
            <w:rStyle w:val="Hyperlink"/>
          </w:rPr>
          <w:t xml:space="preserve">https://docs.github.com/en/get-started/quickstart/fork-a-repo</w:t>
        </w:r>
      </w:hyperlink>
      <w:r>
        <w:t xml:space="preserve">.</w:t>
      </w:r>
    </w:p>
    <w:bookmarkEnd w:id="94"/>
    <w:bookmarkStart w:id="96" w:name="Xb825634b65c6cdfdf9be5a4f8df2f174eda53d1"/>
    <w:p>
      <w:pPr>
        <w:pStyle w:val="Bibliography"/>
      </w:pPr>
      <w:r>
        <w:t xml:space="preserve">23.</w:t>
      </w:r>
      <w:r>
        <w:t xml:space="preserve"> </w:t>
      </w:r>
      <w:r>
        <w:t xml:space="preserve">	</w:t>
      </w:r>
      <w:r>
        <w:t xml:space="preserve">European Commission. Directorate General for Research and Innovation., Lisbon Council., CWTS., ESADE., Elsevier.</w:t>
      </w:r>
      <w:r>
        <w:t xml:space="preserve"> </w:t>
      </w:r>
      <w:r>
        <w:rPr>
          <w:iCs/>
          <w:i/>
        </w:rPr>
        <w:t xml:space="preserve">Zenodo: open science monitor case study.</w:t>
      </w:r>
      <w:r>
        <w:t xml:space="preserve"> LU: Publications Office, 2019. doi:</w:t>
      </w:r>
      <w:hyperlink r:id="rId95">
        <w:r>
          <w:rPr>
            <w:rStyle w:val="Hyperlink"/>
          </w:rPr>
          <w:t xml:space="preserve">10.2777/298228</w:t>
        </w:r>
      </w:hyperlink>
      <w:r>
        <w:t xml:space="preserve">.</w:t>
      </w:r>
    </w:p>
    <w:bookmarkEnd w:id="96"/>
    <w:bookmarkStart w:id="98" w:name="ref-zenodo"/>
    <w:p>
      <w:pPr>
        <w:pStyle w:val="Bibliography"/>
      </w:pPr>
      <w:r>
        <w:t xml:space="preserve">24.</w:t>
      </w:r>
      <w:r>
        <w:t xml:space="preserve"> </w:t>
      </w:r>
      <w:r>
        <w:t xml:space="preserve">	</w:t>
      </w:r>
      <w:r>
        <w:t xml:space="preserve">Available at:</w:t>
      </w:r>
      <w:r>
        <w:t xml:space="preserve"> </w:t>
      </w:r>
      <w:hyperlink r:id="rId97">
        <w:r>
          <w:rPr>
            <w:rStyle w:val="Hyperlink"/>
          </w:rPr>
          <w:t xml:space="preserve">https://zenodo.org</w:t>
        </w:r>
      </w:hyperlink>
      <w:r>
        <w:t xml:space="preserve">. Accessed November 15, 2023.</w:t>
      </w:r>
    </w:p>
    <w:bookmarkEnd w:id="98"/>
    <w:bookmarkStart w:id="100" w:name="ref-zenodoGitHub"/>
    <w:p>
      <w:pPr>
        <w:pStyle w:val="Bibliography"/>
      </w:pPr>
      <w:r>
        <w:t xml:space="preserve">25.</w:t>
      </w:r>
      <w:r>
        <w:t xml:space="preserve"> </w:t>
      </w:r>
      <w:r>
        <w:t xml:space="preserve">	</w:t>
      </w:r>
      <w:r>
        <w:t xml:space="preserve">Available at:</w:t>
      </w:r>
      <w:r>
        <w:t xml:space="preserve"> </w:t>
      </w:r>
      <w:hyperlink r:id="rId99">
        <w:r>
          <w:rPr>
            <w:rStyle w:val="Hyperlink"/>
          </w:rPr>
          <w:t xml:space="preserve">https://zenodo.org/account/settings/github/</w:t>
        </w:r>
      </w:hyperlink>
      <w:r>
        <w:t xml:space="preserve">. Accessed November 15, 2023.</w:t>
      </w:r>
    </w:p>
    <w:bookmarkEnd w:id="100"/>
    <w:bookmarkStart w:id="102" w:name="ref-lavery2022"/>
    <w:p>
      <w:pPr>
        <w:pStyle w:val="Bibliography"/>
      </w:pPr>
      <w:r>
        <w:t xml:space="preserve">26.</w:t>
      </w:r>
      <w:r>
        <w:t xml:space="preserve"> </w:t>
      </w:r>
      <w:r>
        <w:t xml:space="preserve">	</w:t>
      </w:r>
      <w:r>
        <w:t xml:space="preserve">Lavery JA, Brown S, Curry MA, Martin A, Sjoberg DD, Whiting K. A data processing pipeline for the AACR project GENIE biopharma collaborative data with the</w:t>
      </w:r>
      <w:r>
        <w:t xml:space="preserve"> </w:t>
      </w:r>
      <w:r>
        <w:t xml:space="preserve">genieBPC</w:t>
      </w:r>
      <w:r>
        <w:t xml:space="preserve"> </w:t>
      </w:r>
      <w:r>
        <w:t xml:space="preserve">R package. Wren J (ed.).</w:t>
      </w:r>
      <w:r>
        <w:t xml:space="preserve"> </w:t>
      </w:r>
      <w:r>
        <w:rPr>
          <w:iCs/>
          <w:i/>
        </w:rPr>
        <w:t xml:space="preserve">Bioinformatics</w:t>
      </w:r>
      <w:r>
        <w:t xml:space="preserve"> </w:t>
      </w:r>
      <w:r>
        <w:t xml:space="preserve">2022;</w:t>
      </w:r>
      <w:r>
        <w:t xml:space="preserve"> </w:t>
      </w:r>
      <w:r>
        <w:rPr>
          <w:bCs/>
          <w:b/>
        </w:rPr>
        <w:t xml:space="preserve">39</w:t>
      </w:r>
      <w:r>
        <w:t xml:space="preserve">. doi:</w:t>
      </w:r>
      <w:hyperlink r:id="rId101">
        <w:r>
          <w:rPr>
            <w:rStyle w:val="Hyperlink"/>
          </w:rPr>
          <w:t xml:space="preserve">10.1093/bioinformatics/btac796</w:t>
        </w:r>
      </w:hyperlink>
      <w:r>
        <w:t xml:space="preserve">.</w:t>
      </w:r>
    </w:p>
    <w:bookmarkEnd w:id="102"/>
    <w:bookmarkStart w:id="104" w:name="ref-ohdsi2019book"/>
    <w:p>
      <w:pPr>
        <w:pStyle w:val="Bibliography"/>
      </w:pPr>
      <w:r>
        <w:t xml:space="preserve">27.</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103">
        <w:r>
          <w:rPr>
            <w:rStyle w:val="Hyperlink"/>
          </w:rPr>
          <w:t xml:space="preserve">https://ohdsi.github.io/TheBookOfOhdsi/</w:t>
        </w:r>
      </w:hyperlink>
      <w:r>
        <w:t xml:space="preserve">.</w:t>
      </w:r>
    </w:p>
    <w:bookmarkEnd w:id="104"/>
    <w:bookmarkStart w:id="106" w:name="ref-brown2020"/>
    <w:p>
      <w:pPr>
        <w:pStyle w:val="Bibliography"/>
      </w:pPr>
      <w:r>
        <w:t xml:space="preserve">28.</w:t>
      </w:r>
      <w:r>
        <w:t xml:space="preserve"> </w:t>
      </w:r>
      <w:r>
        <w:t xml:space="preserve">	</w:t>
      </w:r>
      <w:r>
        <w:t xml:space="preserve">Brown JS, Maro JC, Nguyen M, Ball R. Using and improving distributed data networks to generate actionable evidence: the case of real-world outcomes in the Food and Drug Administration</w:t>
      </w:r>
      <w:r>
        <w:t xml:space="preserve">’</w:t>
      </w:r>
      <w:r>
        <w:t xml:space="preserve">s Sentinel system.</w:t>
      </w:r>
      <w:r>
        <w:t xml:space="preserve"> </w:t>
      </w:r>
      <w:r>
        <w:rPr>
          <w:iCs/>
          <w:i/>
        </w:rPr>
        <w:t xml:space="preserve">Journal of the American Medical Informatics Association</w:t>
      </w:r>
      <w:r>
        <w:t xml:space="preserve"> </w:t>
      </w:r>
      <w:r>
        <w:t xml:space="preserve">2020;</w:t>
      </w:r>
      <w:r>
        <w:t xml:space="preserve"> </w:t>
      </w:r>
      <w:r>
        <w:rPr>
          <w:bCs/>
          <w:b/>
        </w:rPr>
        <w:t xml:space="preserve">27</w:t>
      </w:r>
      <w:r>
        <w:t xml:space="preserve">: 793–797. doi:</w:t>
      </w:r>
      <w:hyperlink r:id="rId105">
        <w:r>
          <w:rPr>
            <w:rStyle w:val="Hyperlink"/>
          </w:rPr>
          <w:t xml:space="preserve">10.1093/jamia/ocaa028</w:t>
        </w:r>
      </w:hyperlink>
      <w:r>
        <w:t xml:space="preserve">.</w:t>
      </w:r>
    </w:p>
    <w:bookmarkEnd w:id="106"/>
    <w:bookmarkStart w:id="108" w:name="ref-fleurence2014"/>
    <w:p>
      <w:pPr>
        <w:pStyle w:val="Bibliography"/>
      </w:pPr>
      <w:r>
        <w:t xml:space="preserve">29.</w:t>
      </w:r>
      <w:r>
        <w:t xml:space="preserve"> </w:t>
      </w:r>
      <w:r>
        <w:t xml:space="preserve">	</w:t>
      </w:r>
      <w:r>
        <w:t xml:space="preserve">Fleurence RL, Curtis LH, Califf RM, Platt R, Selby JV, Brown JS. Launching PCORnet, a national patient-centered clinical research network.</w:t>
      </w:r>
      <w:r>
        <w:t xml:space="preserve"> </w:t>
      </w:r>
      <w:r>
        <w:rPr>
          <w:iCs/>
          <w:i/>
        </w:rPr>
        <w:t xml:space="preserve">Journal of the American Medical Informatics Association</w:t>
      </w:r>
      <w:r>
        <w:t xml:space="preserve"> </w:t>
      </w:r>
      <w:r>
        <w:t xml:space="preserve">2014;</w:t>
      </w:r>
      <w:r>
        <w:t xml:space="preserve"> </w:t>
      </w:r>
      <w:r>
        <w:rPr>
          <w:bCs/>
          <w:b/>
        </w:rPr>
        <w:t xml:space="preserve">21</w:t>
      </w:r>
      <w:r>
        <w:t xml:space="preserve">: 578–582. doi:</w:t>
      </w:r>
      <w:hyperlink r:id="rId107">
        <w:r>
          <w:rPr>
            <w:rStyle w:val="Hyperlink"/>
          </w:rPr>
          <w:t xml:space="preserve">10.1136/amiajnl-2014-002747</w:t>
        </w:r>
      </w:hyperlink>
      <w:r>
        <w:t xml:space="preserve">.</w:t>
      </w:r>
    </w:p>
    <w:bookmarkEnd w:id="108"/>
    <w:bookmarkStart w:id="110" w:name="ref-thurin2021"/>
    <w:p>
      <w:pPr>
        <w:pStyle w:val="Bibliography"/>
      </w:pPr>
      <w:r>
        <w:t xml:space="preserve">30.</w:t>
      </w:r>
      <w:r>
        <w:t xml:space="preserve"> </w:t>
      </w:r>
      <w:r>
        <w:t xml:space="preserve">	</w:t>
      </w:r>
      <w:r>
        <w:t xml:space="preserve">Thurin NH, Pajouheshnia R, Roberto G,</w:t>
      </w:r>
      <w:r>
        <w:t xml:space="preserve"> </w:t>
      </w:r>
      <w:r>
        <w:rPr>
          <w:iCs/>
          <w:i/>
        </w:rPr>
        <w:t xml:space="preserve">et al.</w:t>
      </w:r>
      <w:r>
        <w:t xml:space="preserve"> From Inception to ConcePTION: Genesis of a Network to Support Better Monitoring and Communication of Medication Safety During Pregnancy and Breastfeeding.</w:t>
      </w:r>
      <w:r>
        <w:t xml:space="preserve"> </w:t>
      </w:r>
      <w:r>
        <w:rPr>
          <w:iCs/>
          <w:i/>
        </w:rPr>
        <w:t xml:space="preserve">Clinical Pharmacology &amp; Therapeutics</w:t>
      </w:r>
      <w:r>
        <w:t xml:space="preserve"> </w:t>
      </w:r>
      <w:r>
        <w:t xml:space="preserve">2021;</w:t>
      </w:r>
      <w:r>
        <w:t xml:space="preserve"> </w:t>
      </w:r>
      <w:r>
        <w:rPr>
          <w:bCs/>
          <w:b/>
        </w:rPr>
        <w:t xml:space="preserve">111</w:t>
      </w:r>
      <w:r>
        <w:t xml:space="preserve">: 321–331. doi:</w:t>
      </w:r>
      <w:hyperlink r:id="rId109">
        <w:r>
          <w:rPr>
            <w:rStyle w:val="Hyperlink"/>
          </w:rPr>
          <w:t xml:space="preserve">10.1002/cpt.2476</w:t>
        </w:r>
      </w:hyperlink>
      <w:r>
        <w:t xml:space="preserve">.</w:t>
      </w:r>
    </w:p>
    <w:bookmarkEnd w:id="110"/>
    <w:bookmarkStart w:id="112" w:name="ref-gonzales2023"/>
    <w:p>
      <w:pPr>
        <w:pStyle w:val="Bibliography"/>
      </w:pPr>
      <w:r>
        <w:t xml:space="preserve">31.</w:t>
      </w:r>
      <w:r>
        <w:t xml:space="preserve"> </w:t>
      </w:r>
      <w:r>
        <w:t xml:space="preserve">	</w:t>
      </w:r>
      <w:r>
        <w:t xml:space="preserve">Gonzales A, Guruswamy G, Smith SR. Synthetic data in health care: A narrative review. Johnson A (ed.).</w:t>
      </w:r>
      <w:r>
        <w:t xml:space="preserve"> </w:t>
      </w:r>
      <w:r>
        <w:rPr>
          <w:iCs/>
          <w:i/>
        </w:rPr>
        <w:t xml:space="preserve">PLOS Digital Health</w:t>
      </w:r>
      <w:r>
        <w:t xml:space="preserve"> </w:t>
      </w:r>
      <w:r>
        <w:t xml:space="preserve">2023;</w:t>
      </w:r>
      <w:r>
        <w:t xml:space="preserve"> </w:t>
      </w:r>
      <w:r>
        <w:rPr>
          <w:bCs/>
          <w:b/>
        </w:rPr>
        <w:t xml:space="preserve">2</w:t>
      </w:r>
      <w:r>
        <w:t xml:space="preserve">: e0000082. doi:</w:t>
      </w:r>
      <w:hyperlink r:id="rId111">
        <w:r>
          <w:rPr>
            <w:rStyle w:val="Hyperlink"/>
          </w:rPr>
          <w:t xml:space="preserve">10.1371/journal.pdig.0000082</w:t>
        </w:r>
      </w:hyperlink>
      <w:r>
        <w:t xml:space="preserve">.</w:t>
      </w:r>
    </w:p>
    <w:bookmarkEnd w:id="112"/>
    <w:bookmarkStart w:id="114" w:name="ref-orsini2020"/>
    <w:p>
      <w:pPr>
        <w:pStyle w:val="Bibliography"/>
      </w:pPr>
      <w:r>
        <w:t xml:space="preserve">32.</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 - 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113">
        <w:r>
          <w:rPr>
            <w:rStyle w:val="Hyperlink"/>
          </w:rPr>
          <w:t xml:space="preserve">10.1002/pds.5079</w:t>
        </w:r>
      </w:hyperlink>
      <w:r>
        <w:t xml:space="preserve">.</w:t>
      </w:r>
    </w:p>
    <w:bookmarkEnd w:id="114"/>
    <w:bookmarkStart w:id="116" w:name="ref-fdaRWE2021"/>
    <w:p>
      <w:pPr>
        <w:pStyle w:val="Bibliography"/>
      </w:pPr>
      <w:r>
        <w:t xml:space="preserve">33.</w:t>
      </w:r>
      <w:r>
        <w:t xml:space="preserve"> </w:t>
      </w:r>
      <w:r>
        <w:t xml:space="preserve">	</w:t>
      </w:r>
      <w:r>
        <w:t xml:space="preserve">United States Food and Drug Administration. Considerations for the use of real-world data and real-world evidence to support regulatory decision-making for drug and biological products (draft guidance). Dec 2021. Accessed 7/03/2023. Available at:</w:t>
      </w:r>
      <w:r>
        <w:t xml:space="preserve"> </w:t>
      </w:r>
      <w:hyperlink r:id="rId115">
        <w:r>
          <w:rPr>
            <w:rStyle w:val="Hyperlink"/>
          </w:rPr>
          <w:t xml:space="preserve">https://www.fda.gov/regulatory-information/search-fda-guidance-documents/considerations-use-real-world-data-and-real-world-evidence-support-regulatory-decision-making-drug</w:t>
        </w:r>
      </w:hyperlink>
      <w:r>
        <w:t xml:space="preserve">.</w:t>
      </w:r>
    </w:p>
    <w:bookmarkEnd w:id="116"/>
    <w:bookmarkStart w:id="118" w:name="ref-NIH2023"/>
    <w:p>
      <w:pPr>
        <w:pStyle w:val="Bibliography"/>
      </w:pPr>
      <w:r>
        <w:t xml:space="preserve">34.</w:t>
      </w:r>
      <w:r>
        <w:t xml:space="preserve"> </w:t>
      </w:r>
      <w:r>
        <w:t xml:space="preserve">	</w:t>
      </w:r>
      <w:r>
        <w:t xml:space="preserve">National Institute of Health (NIH). NIH data management plan policy.). Jan 2023. Accessed 7/03/2023. Available at:</w:t>
      </w:r>
      <w:r>
        <w:t xml:space="preserve"> </w:t>
      </w:r>
      <w:hyperlink r:id="rId117">
        <w:r>
          <w:rPr>
            <w:rStyle w:val="Hyperlink"/>
          </w:rPr>
          <w:t xml:space="preserve">https://sharing.nih.gov/data-management-and-sharing-policy/planning-and-budgeting-for-data-management-and-sharing/writing-a-data-management-and-sharing-plan#after</w:t>
        </w:r>
      </w:hyperlink>
      <w:r>
        <w:t xml:space="preserve">.</w:t>
      </w:r>
    </w:p>
    <w:bookmarkEnd w:id="118"/>
    <w:bookmarkStart w:id="120" w:name="ref-PCORI2023"/>
    <w:p>
      <w:pPr>
        <w:pStyle w:val="Bibliography"/>
      </w:pPr>
      <w:r>
        <w:t xml:space="preserve">35.</w:t>
      </w:r>
      <w:r>
        <w:t xml:space="preserve"> </w:t>
      </w:r>
      <w:r>
        <w:t xml:space="preserve">	</w:t>
      </w:r>
      <w:r>
        <w:t xml:space="preserve">Patient-Centered Outcomes Research Institute (PCORI). Policy for data management and data sharing. Accessed 7/03/2023. Available at:</w:t>
      </w:r>
      <w:r>
        <w:t xml:space="preserve"> </w:t>
      </w:r>
      <w:hyperlink r:id="rId119">
        <w:r>
          <w:rPr>
            <w:rStyle w:val="Hyperlink"/>
          </w:rPr>
          <w:t xml:space="preserve">https://www.pcori.org/about/governance/policy-data-management-and-data-sharing</w:t>
        </w:r>
      </w:hyperlink>
      <w:r>
        <w:t xml:space="preserve">.</w:t>
      </w:r>
    </w:p>
    <w:bookmarkEnd w:id="120"/>
    <w:bookmarkStart w:id="122" w:name="ref-kent2021"/>
    <w:p>
      <w:pPr>
        <w:pStyle w:val="Bibliography"/>
      </w:pPr>
      <w:r>
        <w:t xml:space="preserve">36.</w:t>
      </w:r>
      <w:r>
        <w:t xml:space="preserve"> </w:t>
      </w:r>
      <w:r>
        <w:t xml:space="preserve">	</w:t>
      </w:r>
      <w:r>
        <w:t xml:space="preserve">Kent S, Salcher-Konrad M, Boccia S,</w:t>
      </w:r>
      <w:r>
        <w:t xml:space="preserve"> </w:t>
      </w:r>
      <w:r>
        <w:rPr>
          <w:iCs/>
          <w:i/>
        </w:rPr>
        <w:t xml:space="preserve">et al.</w:t>
      </w:r>
      <w:r>
        <w:t xml:space="preserve"> The use of nonrandomized evidence to estimate treatment effects in health technology assessment.</w:t>
      </w:r>
      <w:r>
        <w:t xml:space="preserve"> </w:t>
      </w:r>
      <w:r>
        <w:rPr>
          <w:iCs/>
          <w:i/>
        </w:rPr>
        <w:t xml:space="preserve">Journal of Comparative Effectiveness Research</w:t>
      </w:r>
      <w:r>
        <w:t xml:space="preserve"> </w:t>
      </w:r>
      <w:r>
        <w:t xml:space="preserve">2021;</w:t>
      </w:r>
      <w:r>
        <w:t xml:space="preserve"> </w:t>
      </w:r>
      <w:r>
        <w:rPr>
          <w:bCs/>
          <w:b/>
        </w:rPr>
        <w:t xml:space="preserve">10</w:t>
      </w:r>
      <w:r>
        <w:t xml:space="preserve">: 1035–1043. doi:</w:t>
      </w:r>
      <w:hyperlink r:id="rId121">
        <w:r>
          <w:rPr>
            <w:rStyle w:val="Hyperlink"/>
          </w:rPr>
          <w:t xml:space="preserve">10.2217/cer-2021-0108</w:t>
        </w:r>
      </w:hyperlink>
      <w:r>
        <w:t xml:space="preserve">.</w:t>
      </w:r>
    </w:p>
    <w:bookmarkEnd w:id="122"/>
    <w:bookmarkEnd w:id="123"/>
    <w:p>
      <w:r>
        <w:br w:type="page"/>
      </w:r>
    </w:p>
    <w:bookmarkEnd w:id="124"/>
    <w:bookmarkStart w:id="149"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8" w:name="fig-RStudio-gui"/>
          <w:p>
            <w:pPr>
              <w:jc w:val="center"/>
            </w:pPr>
            <w:r>
              <w:drawing>
                <wp:inline>
                  <wp:extent cx="2971800" cy="7102415"/>
                  <wp:effectExtent b="0" l="0" r="0" t="0"/>
                  <wp:docPr descr="" title="" id="126" name="Picture"/>
                  <a:graphic>
                    <a:graphicData uri="http://schemas.openxmlformats.org/drawingml/2006/picture">
                      <pic:pic>
                        <pic:nvPicPr>
                          <pic:cNvPr descr="../figures/Figure_1_RStudio_init.png" id="127" name="Picture"/>
                          <pic:cNvPicPr>
                            <a:picLocks noChangeArrowheads="1" noChangeAspect="1"/>
                          </pic:cNvPicPr>
                        </pic:nvPicPr>
                        <pic:blipFill>
                          <a:blip r:embed="rId125"/>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integrated development environment (IDE) graphical user interface (GUI).</w:t>
            </w:r>
          </w:p>
          <w:bookmarkEnd w:id="128"/>
        </w:tc>
      </w:tr>
    </w:tbl>
    <w:p>
      <w:r>
        <w:br w:type="page"/>
      </w:r>
    </w:p>
    <w:tbl>
      <w:tblPr>
        <w:tblStyle w:val="Table"/>
        <w:tblW w:type="pct" w:w="5000"/>
        <w:tblLook w:firstRow="0" w:lastRow="0" w:firstColumn="0" w:lastColumn="0" w:noHBand="0" w:noVBand="0" w:val="0000"/>
        <w:jc w:val="start"/>
      </w:tblPr>
      <w:tblGrid>
        <w:gridCol w:w="7920"/>
      </w:tblGrid>
      <w:tr>
        <w:tc>
          <w:tcPr/>
          <w:bookmarkStart w:id="132" w:name="fig-structure"/>
          <w:p>
            <w:pPr>
              <w:jc w:val="center"/>
            </w:pPr>
            <w:r>
              <w:drawing>
                <wp:inline>
                  <wp:extent cx="3566160" cy="7360720"/>
                  <wp:effectExtent b="0" l="0" r="0" t="0"/>
                  <wp:docPr descr="" title="" id="130" name="Picture"/>
                  <a:graphic>
                    <a:graphicData uri="http://schemas.openxmlformats.org/drawingml/2006/picture">
                      <pic:pic>
                        <pic:nvPicPr>
                          <pic:cNvPr descr="../figures/Figure_2_repo_structure.png" id="131" name="Picture"/>
                          <pic:cNvPicPr>
                            <a:picLocks noChangeArrowheads="1" noChangeAspect="1"/>
                          </pic:cNvPicPr>
                        </pic:nvPicPr>
                        <pic:blipFill>
                          <a:blip r:embed="rId129"/>
                          <a:stretch>
                            <a:fillRect/>
                          </a:stretch>
                        </pic:blipFill>
                        <pic:spPr bwMode="auto">
                          <a:xfrm>
                            <a:off x="0" y="0"/>
                            <a:ext cx="3566160" cy="736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 Abbreviations: .git = Git sub-directory which includes all files to keep track of changes (created as a result of git init command), renv = R environment sub-directory which contains the project library and other project-specific files and settings needed to manage R package versions and the R environment, renv.lock = R environment lockfile, describing the R version and R package versions used in a project, *.qmd = Markdown-specific format based on the Quarto open-source scientific and technical publishing system.</w:t>
            </w:r>
          </w:p>
          <w:bookmarkEnd w:id="132"/>
        </w:tc>
      </w:tr>
    </w:tbl>
    <w:p>
      <w:r>
        <w:br w:type="page"/>
      </w:r>
    </w:p>
    <w:tbl>
      <w:tblPr>
        <w:tblStyle w:val="Table"/>
        <w:tblW w:type="pct" w:w="5000"/>
        <w:tblLook w:firstRow="0" w:lastRow="0" w:firstColumn="0" w:lastColumn="0" w:noHBand="0" w:noVBand="0" w:val="0000"/>
        <w:jc w:val="start"/>
      </w:tblPr>
      <w:tblGrid>
        <w:gridCol w:w="7920"/>
      </w:tblGrid>
      <w:tr>
        <w:tc>
          <w:tcPr/>
          <w:bookmarkStart w:id="136" w:name="fig-workflow"/>
          <w:p>
            <w:pPr>
              <w:jc w:val="center"/>
            </w:pPr>
            <w:r>
              <w:drawing>
                <wp:inline>
                  <wp:extent cx="5943600" cy="4310511"/>
                  <wp:effectExtent b="0" l="0" r="0" t="0"/>
                  <wp:docPr descr="" title="" id="134" name="Picture"/>
                  <a:graphic>
                    <a:graphicData uri="http://schemas.openxmlformats.org/drawingml/2006/picture">
                      <pic:pic>
                        <pic:nvPicPr>
                          <pic:cNvPr descr="../figures/Figure_3_workflow.png" id="135" name="Picture"/>
                          <pic:cNvPicPr>
                            <a:picLocks noChangeArrowheads="1" noChangeAspect="1"/>
                          </pic:cNvPicPr>
                        </pic:nvPicPr>
                        <pic:blipFill>
                          <a:blip r:embed="rId133"/>
                          <a:stretch>
                            <a:fillRect/>
                          </a:stretch>
                        </pic:blipFill>
                        <pic:spPr bwMode="auto">
                          <a:xfrm>
                            <a:off x="0" y="0"/>
                            <a:ext cx="5943600" cy="43105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36"/>
        </w:tc>
      </w:tr>
    </w:tbl>
    <w:p>
      <w:r>
        <w:br w:type="page"/>
      </w:r>
    </w:p>
    <w:tbl>
      <w:tblPr>
        <w:tblStyle w:val="Table"/>
        <w:tblW w:type="pct" w:w="5000"/>
        <w:tblLook w:firstRow="0" w:lastRow="0" w:firstColumn="0" w:lastColumn="0" w:noHBand="0" w:noVBand="0" w:val="0000"/>
        <w:jc w:val="start"/>
      </w:tblPr>
      <w:tblGrid>
        <w:gridCol w:w="7920"/>
      </w:tblGrid>
      <w:tr>
        <w:tc>
          <w:tcPr/>
          <w:bookmarkStart w:id="140" w:name="fig-stage-commit-RStudio-gui"/>
          <w:p>
            <w:pPr>
              <w:jc w:val="center"/>
            </w:pPr>
            <w:r>
              <w:drawing>
                <wp:inline>
                  <wp:extent cx="5943600" cy="3043123"/>
                  <wp:effectExtent b="0" l="0" r="0" t="0"/>
                  <wp:docPr descr="" title="" id="138" name="Picture"/>
                  <a:graphic>
                    <a:graphicData uri="http://schemas.openxmlformats.org/drawingml/2006/picture">
                      <pic:pic>
                        <pic:nvPicPr>
                          <pic:cNvPr descr="../figures/Figure_4_stage_commit.png" id="139" name="Picture"/>
                          <pic:cNvPicPr>
                            <a:picLocks noChangeArrowheads="1" noChangeAspect="1"/>
                          </pic:cNvPicPr>
                        </pic:nvPicPr>
                        <pic:blipFill>
                          <a:blip r:embed="rId137"/>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RStudio integrated development environment (IDE) provides a graphical user interface (GUI) as an alternative to command line prompts to interact with Git and to perform command equivalent to git add, git commit and git push/pull (red circles). This view can be accessed in the right upper pane of the RStudio IDE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example, a title was added to a propensity score plot which is also expressed in the commit message.</w:t>
            </w:r>
          </w:p>
          <w:bookmarkEnd w:id="140"/>
        </w:tc>
      </w:tr>
    </w:tbl>
    <w:p>
      <w:r>
        <w:br w:type="page"/>
      </w:r>
    </w:p>
    <w:tbl>
      <w:tblPr>
        <w:tblStyle w:val="Table"/>
        <w:tblW w:type="pct" w:w="5000"/>
        <w:tblLook w:firstRow="0" w:lastRow="0" w:firstColumn="0" w:lastColumn="0" w:noHBand="0" w:noVBand="0" w:val="0000"/>
        <w:jc w:val="start"/>
      </w:tblPr>
      <w:tblGrid>
        <w:gridCol w:w="7920"/>
      </w:tblGrid>
      <w:tr>
        <w:tc>
          <w:tcPr/>
          <w:bookmarkStart w:id="144" w:name="fig-collaborate"/>
          <w:p>
            <w:pPr>
              <w:jc w:val="center"/>
            </w:pPr>
            <w:r>
              <w:drawing>
                <wp:inline>
                  <wp:extent cx="5943600" cy="3343275"/>
                  <wp:effectExtent b="0" l="0" r="0" t="0"/>
                  <wp:docPr descr="" title="" id="142" name="Picture"/>
                  <a:graphic>
                    <a:graphicData uri="http://schemas.openxmlformats.org/drawingml/2006/picture">
                      <pic:pic>
                        <pic:nvPicPr>
                          <pic:cNvPr descr="../figures/Figure_5_collaboration.png" id="143" name="Picture"/>
                          <pic:cNvPicPr>
                            <a:picLocks noChangeArrowheads="1" noChangeAspect="1"/>
                          </pic:cNvPicPr>
                        </pic:nvPicPr>
                        <pic:blipFill>
                          <a:blip r:embed="rId141"/>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44"/>
        </w:tc>
      </w:tr>
    </w:tbl>
    <w:p>
      <w:r>
        <w:br w:type="page"/>
      </w:r>
    </w:p>
    <w:tbl>
      <w:tblPr>
        <w:tblStyle w:val="Table"/>
        <w:tblW w:type="pct" w:w="5000"/>
        <w:tblLook w:firstRow="0" w:lastRow="0" w:firstColumn="0" w:lastColumn="0" w:noHBand="0" w:noVBand="0" w:val="0000"/>
        <w:jc w:val="start"/>
      </w:tblPr>
      <w:tblGrid>
        <w:gridCol w:w="7920"/>
      </w:tblGrid>
      <w:tr>
        <w:tc>
          <w:tcPr/>
          <w:bookmarkStart w:id="148" w:name="fig-GitHub-gui_changes"/>
          <w:p>
            <w:pPr>
              <w:jc w:val="center"/>
            </w:pPr>
            <w:r>
              <w:drawing>
                <wp:inline>
                  <wp:extent cx="5943600" cy="4591210"/>
                  <wp:effectExtent b="0" l="0" r="0" t="0"/>
                  <wp:docPr descr="" title="" id="146" name="Picture"/>
                  <a:graphic>
                    <a:graphicData uri="http://schemas.openxmlformats.org/drawingml/2006/picture">
                      <pic:pic>
                        <pic:nvPicPr>
                          <pic:cNvPr descr="../figures/Figure_6_commit_GitHub_gui.png" id="147" name="Picture"/>
                          <pic:cNvPicPr>
                            <a:picLocks noChangeArrowheads="1" noChangeAspect="1"/>
                          </pic:cNvPicPr>
                        </pic:nvPicPr>
                        <pic:blipFill>
                          <a:blip r:embed="rId145"/>
                          <a:stretch>
                            <a:fillRect/>
                          </a:stretch>
                        </pic:blipFill>
                        <pic:spPr bwMode="auto">
                          <a:xfrm>
                            <a:off x="0" y="0"/>
                            <a:ext cx="5943600" cy="4591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[simple hasing algorithm] and message), a side-by-side comparison of the previous (upper left) and modified (upper right) version of the figure and the corresponding changes made to the R code (bottom; line 32 in the code script was added). The unique abbreviated SHA token for this specific change/commit is</w:t>
            </w:r>
            <w:r>
              <w:t xml:space="preserve"> </w:t>
            </w:r>
            <w:r>
              <w:t xml:space="preserve">‘</w:t>
            </w:r>
            <w:r>
              <w:t xml:space="preserve">9b1a94c</w:t>
            </w:r>
            <w:r>
              <w:t xml:space="preserve">’</w:t>
            </w:r>
            <w:r>
              <w:t xml:space="preserve"> </w:t>
            </w:r>
            <w:r>
              <w:t xml:space="preserve">(see</w:t>
            </w:r>
            <w:r>
              <w:t xml:space="preserve"> </w:t>
            </w:r>
            <w:r>
              <w:t xml:space="preserve">‘</w:t>
            </w:r>
            <w:r>
              <w:t xml:space="preserve">Commit SHA token</w:t>
            </w:r>
            <w:r>
              <w:t xml:space="preserve">’</w:t>
            </w:r>
            <w:r>
              <w:t xml:space="preserve"> </w:t>
            </w:r>
            <w:r>
              <w:t xml:space="preserve">box on the upper right of the figure).</w:t>
            </w:r>
          </w:p>
          <w:bookmarkEnd w:id="148"/>
        </w:tc>
      </w:tr>
    </w:tbl>
    <w:bookmarkEnd w:id="149"/>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26" Target="media/rId26.png" /><Relationship Type="http://schemas.openxmlformats.org/officeDocument/2006/relationships/hyperlink" Id="rId91" Target="https://arxiv.org/abs/2301.11791" TargetMode="External" /><Relationship Type="http://schemas.openxmlformats.org/officeDocument/2006/relationships/hyperlink" Id="rId38" Target="https://choosealicense.com/" TargetMode="External" /><Relationship Type="http://schemas.openxmlformats.org/officeDocument/2006/relationships/hyperlink" Id="rId56" Target="https://cioms.ch/wp-content/uploads/2020/03/CIOMS-WG-XIII_6June2023_Draft-report-for-comment-1.pdfA" TargetMode="External" /><Relationship Type="http://schemas.openxmlformats.org/officeDocument/2006/relationships/hyperlink" Id="rId93" Target="https://docs.github.com/en/get-started/quickstart/fork-a-repo" TargetMode="External" /><Relationship Type="http://schemas.openxmlformats.org/officeDocument/2006/relationships/hyperlink" Id="rId109" Target="https://doi.org/10.1002/cpt.2476" TargetMode="External" /><Relationship Type="http://schemas.openxmlformats.org/officeDocument/2006/relationships/hyperlink" Id="rId54" Target="https://doi.org/10.1002/cpt.59" TargetMode="External" /><Relationship Type="http://schemas.openxmlformats.org/officeDocument/2006/relationships/hyperlink" Id="rId89" Target="https://doi.org/10.1002/pds.4295" TargetMode="External" /><Relationship Type="http://schemas.openxmlformats.org/officeDocument/2006/relationships/hyperlink" Id="rId64" Target="https://doi.org/10.1002/pds.4297" TargetMode="External" /><Relationship Type="http://schemas.openxmlformats.org/officeDocument/2006/relationships/hyperlink" Id="rId113" Target="https://doi.org/10.1002/pds.5079" TargetMode="External" /><Relationship Type="http://schemas.openxmlformats.org/officeDocument/2006/relationships/hyperlink" Id="rId66" Target="https://doi.org/10.1002/pds.5507" TargetMode="External" /><Relationship Type="http://schemas.openxmlformats.org/officeDocument/2006/relationships/hyperlink" Id="rId58" Target="https://doi.org/10.1016/j.jval.2016.12.003" TargetMode="External" /><Relationship Type="http://schemas.openxmlformats.org/officeDocument/2006/relationships/hyperlink" Id="rId70" Target="https://doi.org/10.1038/s41467-021-25974-w" TargetMode="External" /><Relationship Type="http://schemas.openxmlformats.org/officeDocument/2006/relationships/hyperlink" Id="rId82" Target="https://doi.org/10.1093/aje/kwad040" TargetMode="External" /><Relationship Type="http://schemas.openxmlformats.org/officeDocument/2006/relationships/hyperlink" Id="rId101" Target="https://doi.org/10.1093/bioinformatics/btac796" TargetMode="External" /><Relationship Type="http://schemas.openxmlformats.org/officeDocument/2006/relationships/hyperlink" Id="rId105" Target="https://doi.org/10.1093/jamia/ocaa028" TargetMode="External" /><Relationship Type="http://schemas.openxmlformats.org/officeDocument/2006/relationships/hyperlink" Id="rId68" Target="https://doi.org/10.1093/jamia/ocx120" TargetMode="External" /><Relationship Type="http://schemas.openxmlformats.org/officeDocument/2006/relationships/hyperlink" Id="rId76" Target="https://doi.org/10.1093/jamia/ocz007" TargetMode="External" /><Relationship Type="http://schemas.openxmlformats.org/officeDocument/2006/relationships/hyperlink" Id="rId107" Target="https://doi.org/10.1136/amiajnl-2014-002747" TargetMode="External" /><Relationship Type="http://schemas.openxmlformats.org/officeDocument/2006/relationships/hyperlink" Id="rId60" Target="https://doi.org/10.1136/bmj.m4856" TargetMode="External" /><Relationship Type="http://schemas.openxmlformats.org/officeDocument/2006/relationships/hyperlink" Id="rId84" Target="https://doi.org/10.1186/1751-0473-8-7" TargetMode="External" /><Relationship Type="http://schemas.openxmlformats.org/officeDocument/2006/relationships/hyperlink" Id="rId86" Target="https://doi.org/10.1371/journal.pcbi.1004668" TargetMode="External" /><Relationship Type="http://schemas.openxmlformats.org/officeDocument/2006/relationships/hyperlink" Id="rId74" Target="https://doi.org/10.1371/journal.pcbi.1004947" TargetMode="External" /><Relationship Type="http://schemas.openxmlformats.org/officeDocument/2006/relationships/hyperlink" Id="rId111" Target="https://doi.org/10.1371/journal.pdig.0000082" TargetMode="External" /><Relationship Type="http://schemas.openxmlformats.org/officeDocument/2006/relationships/hyperlink" Id="rId72" Target="https://doi.org/10.1371/journal.pone.0205898" TargetMode="External" /><Relationship Type="http://schemas.openxmlformats.org/officeDocument/2006/relationships/hyperlink" Id="rId121" Target="https://doi.org/10.2217/cer-2021-0108" TargetMode="External" /><Relationship Type="http://schemas.openxmlformats.org/officeDocument/2006/relationships/hyperlink" Id="rId95" Target="https://doi.org/10.2777/298228" TargetMode="External" /><Relationship Type="http://schemas.openxmlformats.org/officeDocument/2006/relationships/hyperlink" Id="rId62"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3" Target="https://ohdsi.github.io/TheBookOfOhdsi/" TargetMode="External" /><Relationship Type="http://schemas.openxmlformats.org/officeDocument/2006/relationships/hyperlink" Id="rId78" Target="https://pharmaverse.org/" TargetMode="External" /><Relationship Type="http://schemas.openxmlformats.org/officeDocument/2006/relationships/hyperlink" Id="rId80"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7" Target="https://sharing.nih.gov/data-management-and-sharing-policy/planning-and-budgeting-for-data-management-and-sharing/writing-a-data-management-and-sharing-plan#after" TargetMode="External" /><Relationship Type="http://schemas.openxmlformats.org/officeDocument/2006/relationships/hyperlink" Id="rId52" Target="https://www.fda.gov/downloads/ScienceResearch/SpecialTopics/RealWorldEvidence/UCM627769.pdf" TargetMode="External" /><Relationship Type="http://schemas.openxmlformats.org/officeDocument/2006/relationships/hyperlink" Id="rId115" Target="https://www.fda.gov/regulatory-information/search-fda-guidance-documents/considerations-use-real-world-data-and-real-world-evidence-support-regulatory-decision-making-drug" TargetMode="External" /><Relationship Type="http://schemas.openxmlformats.org/officeDocument/2006/relationships/hyperlink" Id="rId119" Target="https://www.pcori.org/about/governance/policy-data-management-and-data-sharing" TargetMode="External" /><Relationship Type="http://schemas.openxmlformats.org/officeDocument/2006/relationships/hyperlink" Id="rId97" Target="https://zenodo.org" TargetMode="External" /><Relationship Type="http://schemas.openxmlformats.org/officeDocument/2006/relationships/hyperlink" Id="rId99" Target="https://zenodo.org/account/settings/github/"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91" Target="https://arxiv.org/abs/2301.11791" TargetMode="External" /><Relationship Type="http://schemas.openxmlformats.org/officeDocument/2006/relationships/hyperlink" Id="rId38" Target="https://choosealicense.com/" TargetMode="External" /><Relationship Type="http://schemas.openxmlformats.org/officeDocument/2006/relationships/hyperlink" Id="rId56" Target="https://cioms.ch/wp-content/uploads/2020/03/CIOMS-WG-XIII_6June2023_Draft-report-for-comment-1.pdfA" TargetMode="External" /><Relationship Type="http://schemas.openxmlformats.org/officeDocument/2006/relationships/hyperlink" Id="rId93" Target="https://docs.github.com/en/get-started/quickstart/fork-a-repo" TargetMode="External" /><Relationship Type="http://schemas.openxmlformats.org/officeDocument/2006/relationships/hyperlink" Id="rId109" Target="https://doi.org/10.1002/cpt.2476" TargetMode="External" /><Relationship Type="http://schemas.openxmlformats.org/officeDocument/2006/relationships/hyperlink" Id="rId54" Target="https://doi.org/10.1002/cpt.59" TargetMode="External" /><Relationship Type="http://schemas.openxmlformats.org/officeDocument/2006/relationships/hyperlink" Id="rId89" Target="https://doi.org/10.1002/pds.4295" TargetMode="External" /><Relationship Type="http://schemas.openxmlformats.org/officeDocument/2006/relationships/hyperlink" Id="rId64" Target="https://doi.org/10.1002/pds.4297" TargetMode="External" /><Relationship Type="http://schemas.openxmlformats.org/officeDocument/2006/relationships/hyperlink" Id="rId113" Target="https://doi.org/10.1002/pds.5079" TargetMode="External" /><Relationship Type="http://schemas.openxmlformats.org/officeDocument/2006/relationships/hyperlink" Id="rId66" Target="https://doi.org/10.1002/pds.5507" TargetMode="External" /><Relationship Type="http://schemas.openxmlformats.org/officeDocument/2006/relationships/hyperlink" Id="rId58" Target="https://doi.org/10.1016/j.jval.2016.12.003" TargetMode="External" /><Relationship Type="http://schemas.openxmlformats.org/officeDocument/2006/relationships/hyperlink" Id="rId70" Target="https://doi.org/10.1038/s41467-021-25974-w" TargetMode="External" /><Relationship Type="http://schemas.openxmlformats.org/officeDocument/2006/relationships/hyperlink" Id="rId82" Target="https://doi.org/10.1093/aje/kwad040" TargetMode="External" /><Relationship Type="http://schemas.openxmlformats.org/officeDocument/2006/relationships/hyperlink" Id="rId101" Target="https://doi.org/10.1093/bioinformatics/btac796" TargetMode="External" /><Relationship Type="http://schemas.openxmlformats.org/officeDocument/2006/relationships/hyperlink" Id="rId105" Target="https://doi.org/10.1093/jamia/ocaa028" TargetMode="External" /><Relationship Type="http://schemas.openxmlformats.org/officeDocument/2006/relationships/hyperlink" Id="rId68" Target="https://doi.org/10.1093/jamia/ocx120" TargetMode="External" /><Relationship Type="http://schemas.openxmlformats.org/officeDocument/2006/relationships/hyperlink" Id="rId76" Target="https://doi.org/10.1093/jamia/ocz007" TargetMode="External" /><Relationship Type="http://schemas.openxmlformats.org/officeDocument/2006/relationships/hyperlink" Id="rId107" Target="https://doi.org/10.1136/amiajnl-2014-002747" TargetMode="External" /><Relationship Type="http://schemas.openxmlformats.org/officeDocument/2006/relationships/hyperlink" Id="rId60" Target="https://doi.org/10.1136/bmj.m4856" TargetMode="External" /><Relationship Type="http://schemas.openxmlformats.org/officeDocument/2006/relationships/hyperlink" Id="rId84" Target="https://doi.org/10.1186/1751-0473-8-7" TargetMode="External" /><Relationship Type="http://schemas.openxmlformats.org/officeDocument/2006/relationships/hyperlink" Id="rId86" Target="https://doi.org/10.1371/journal.pcbi.1004668" TargetMode="External" /><Relationship Type="http://schemas.openxmlformats.org/officeDocument/2006/relationships/hyperlink" Id="rId74" Target="https://doi.org/10.1371/journal.pcbi.1004947" TargetMode="External" /><Relationship Type="http://schemas.openxmlformats.org/officeDocument/2006/relationships/hyperlink" Id="rId111" Target="https://doi.org/10.1371/journal.pdig.0000082" TargetMode="External" /><Relationship Type="http://schemas.openxmlformats.org/officeDocument/2006/relationships/hyperlink" Id="rId72" Target="https://doi.org/10.1371/journal.pone.0205898" TargetMode="External" /><Relationship Type="http://schemas.openxmlformats.org/officeDocument/2006/relationships/hyperlink" Id="rId121" Target="https://doi.org/10.2217/cer-2021-0108" TargetMode="External" /><Relationship Type="http://schemas.openxmlformats.org/officeDocument/2006/relationships/hyperlink" Id="rId95" Target="https://doi.org/10.2777/298228" TargetMode="External" /><Relationship Type="http://schemas.openxmlformats.org/officeDocument/2006/relationships/hyperlink" Id="rId62"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3" Target="https://ohdsi.github.io/TheBookOfOhdsi/" TargetMode="External" /><Relationship Type="http://schemas.openxmlformats.org/officeDocument/2006/relationships/hyperlink" Id="rId78" Target="https://pharmaverse.org/" TargetMode="External" /><Relationship Type="http://schemas.openxmlformats.org/officeDocument/2006/relationships/hyperlink" Id="rId80"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7" Target="https://sharing.nih.gov/data-management-and-sharing-policy/planning-and-budgeting-for-data-management-and-sharing/writing-a-data-management-and-sharing-plan#after" TargetMode="External" /><Relationship Type="http://schemas.openxmlformats.org/officeDocument/2006/relationships/hyperlink" Id="rId52" Target="https://www.fda.gov/downloads/ScienceResearch/SpecialTopics/RealWorldEvidence/UCM627769.pdf" TargetMode="External" /><Relationship Type="http://schemas.openxmlformats.org/officeDocument/2006/relationships/hyperlink" Id="rId115" Target="https://www.fda.gov/regulatory-information/search-fda-guidance-documents/considerations-use-real-world-data-and-real-world-evidence-support-regulatory-decision-making-drug" TargetMode="External" /><Relationship Type="http://schemas.openxmlformats.org/officeDocument/2006/relationships/hyperlink" Id="rId119" Target="https://www.pcori.org/about/governance/policy-data-management-and-data-sharing" TargetMode="External" /><Relationship Type="http://schemas.openxmlformats.org/officeDocument/2006/relationships/hyperlink" Id="rId97" Target="https://zenodo.org" TargetMode="External" /><Relationship Type="http://schemas.openxmlformats.org/officeDocument/2006/relationships/hyperlink" Id="rId99" Target="https://zenodo.org/account/settings/github/"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2023-11-23T19:39:00Z</dcterms:created>
  <dcterms:modified xsi:type="dcterms:W3CDTF">2023-11-23T19:39:00Z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