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142.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3,239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3"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bookmarkEnd w:id="23"/>
    <w:bookmarkStart w:id="24"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 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especially when analyses are implemented via line coding in statistical programming languages like R</w:t>
      </w:r>
      <w:r>
        <w:rPr>
          <w:vertAlign w:val="superscript"/>
        </w:rPr>
        <w:t xml:space="preserve">9</w:t>
      </w:r>
      <w:r>
        <w:t xml:space="preserve">, SAS or Python. Although in other quantitative disciplines such as computational biology</w:t>
      </w:r>
      <w:r>
        <w:rPr>
          <w:vertAlign w:val="superscript"/>
        </w:rPr>
        <w:t xml:space="preserve">10–13</w:t>
      </w:r>
      <w:r>
        <w:t xml:space="preserve"> </w:t>
      </w:r>
      <w:r>
        <w:t xml:space="preserve">or health informatics</w:t>
      </w:r>
      <w:r>
        <w:rPr>
          <w:vertAlign w:val="superscript"/>
        </w:rPr>
        <w:t xml:space="preserve">14</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15</w:t>
      </w:r>
      <w:r>
        <w:t xml:space="preserve"> </w:t>
      </w:r>
      <w:r>
        <w:t xml:space="preserve">become increasingly used for for clinical trial reporting and regulatory submissions</w:t>
      </w:r>
      <w:r>
        <w:rPr>
          <w:vertAlign w:val="superscript"/>
        </w:rPr>
        <w:t xml:space="preserve">16</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17</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18</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19</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4"/>
    <w:bookmarkStart w:id="28"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20</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1"/>
              </w:numPr>
            </w:pPr>
            <w:r>
              <w:t xml:space="preserve">Is an open-source software and distributed version control system</w:t>
            </w:r>
          </w:p>
          <w:p>
            <w:pPr>
              <w:numPr>
                <w:ilvl w:val="0"/>
                <w:numId w:val="1001"/>
              </w:numPr>
            </w:pPr>
            <w:r>
              <w:t xml:space="preserve">Generally operated through command line tools, graphical user interfaces are available</w:t>
            </w:r>
          </w:p>
          <w:p>
            <w:pPr>
              <w:numPr>
                <w:ilvl w:val="0"/>
                <w:numId w:val="1001"/>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2"/>
              </w:numPr>
            </w:pPr>
            <w:r>
              <w:t xml:space="preserve">Web-based services, usually provided by a commercial entity</w:t>
            </w:r>
          </w:p>
          <w:p>
            <w:pPr>
              <w:numPr>
                <w:ilvl w:val="0"/>
                <w:numId w:val="1002"/>
              </w:numPr>
            </w:pPr>
            <w:r>
              <w:t xml:space="preserve">Usually free for basic functions, paid services for more advanced features</w:t>
            </w:r>
          </w:p>
          <w:p>
            <w:pPr>
              <w:numPr>
                <w:ilvl w:val="0"/>
                <w:numId w:val="1002"/>
              </w:numPr>
            </w:pPr>
            <w:r>
              <w:t xml:space="preserve">Needed to collaborate on shared repositories and dissemination of code</w:t>
            </w:r>
          </w:p>
          <w:p>
            <w:pPr>
              <w:numPr>
                <w:ilvl w:val="0"/>
                <w:numId w:val="1002"/>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8"/>
    <w:bookmarkStart w:id="49"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29">
        <w:r>
          <w:rPr>
            <w:rStyle w:val="Hyperlink"/>
          </w:rPr>
          <w:t xml:space="preserve">https://posit.co/download/rstudio-desktop/</w:t>
        </w:r>
      </w:hyperlink>
      <w:r>
        <w:t xml:space="preserve">) and GitHub (</w:t>
      </w:r>
      <w:hyperlink r:id="rId30">
        <w:r>
          <w:rPr>
            <w:rStyle w:val="Hyperlink"/>
          </w:rPr>
          <w:t xml:space="preserve">https://github.com/</w:t>
        </w:r>
      </w:hyperlink>
      <w:r>
        <w:t xml:space="preserve">) as a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20</w:t>
      </w:r>
      <w:r>
        <w:t xml:space="preserve"> </w:t>
      </w:r>
    </w:p>
    <w:bookmarkStart w:id="32"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1">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2"/>
    <w:bookmarkStart w:id="33"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3"/>
    <w:bookmarkStart w:id="36" w:name="Xe9a37a48facf2863a9e00dc8b89c4ec70e700c8"/>
    <w:p>
      <w:pPr>
        <w:pStyle w:val="Heading2"/>
      </w:pPr>
      <w:r>
        <w:t xml:space="preserve">3.3 Initialization of a new Git-controlled repository</w:t>
      </w:r>
    </w:p>
    <w:bookmarkStart w:id="34"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4"/>
    <w:bookmarkStart w:id="35"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5"/>
    <w:bookmarkEnd w:id="36"/>
    <w:bookmarkStart w:id="38" w:name="sec-repository-structure"/>
    <w:p>
      <w:pPr>
        <w:pStyle w:val="Heading2"/>
      </w:pPr>
      <w:r>
        <w:t xml:space="preserve">3.4 Repository structure</w:t>
      </w:r>
    </w:p>
    <w:p>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aftwerwards by creating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7">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21</w:t>
      </w:r>
      <w:r>
        <w:t xml:space="preserve"> </w:t>
      </w:r>
      <w:r>
        <w:t xml:space="preserve">to initiate a new project (see instructions in the template repository).</w:t>
      </w:r>
    </w:p>
    <w:bookmarkEnd w:id="38"/>
    <w:bookmarkStart w:id="40"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39"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bookmarkEnd w:id="39"/>
    <w:bookmarkEnd w:id="40"/>
    <w:bookmarkStart w:id="43" w:name="X62fdf960d46a99a40c44e845a34e4d2d69be0af"/>
    <w:p>
      <w:pPr>
        <w:pStyle w:val="Heading2"/>
      </w:pPr>
      <w:r>
        <w:t xml:space="preserve">3.6 Synchronize changes with remote repository</w:t>
      </w:r>
    </w:p>
    <w:bookmarkStart w:id="41"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for the purpose of collaborating on a project as depicted in</w:t>
      </w:r>
      <w:r>
        <w:t xml:space="preserve"> </w:t>
      </w:r>
      <w:hyperlink w:anchor="fig-collaborate">
        <w:r>
          <w:rPr>
            <w:rStyle w:val="Hyperlink"/>
          </w:rPr>
          <w:t xml:space="preserve">Figure 5</w:t>
        </w:r>
      </w:hyperlink>
      <w:r>
        <w:t xml:space="preserve">.</w:t>
      </w:r>
    </w:p>
    <w:bookmarkEnd w:id="41"/>
    <w:bookmarkStart w:id="42"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CommentTok"/>
        </w:rPr>
        <w:t xml:space="preserve"># pull remote repository version of code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2"/>
    <w:bookmarkEnd w:id="43"/>
    <w:bookmarkStart w:id="44" w:name="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4"/>
    <w:bookmarkStart w:id="48" w:name="Xb825e5486af4f1f64708e8916dbbe22bc870c6f"/>
    <w:p>
      <w:pPr>
        <w:pStyle w:val="Heading2"/>
      </w:pPr>
      <w:r>
        <w:t xml:space="preserve">3.8 Keeping track of R software versions and paths</w:t>
      </w:r>
    </w:p>
    <w:p>
      <w:pPr>
        <w:pStyle w:val="FirstParagraph"/>
      </w:pPr>
      <w:r>
        <w:t xml:space="preserve">A major advantage of modern programming languages is that they provide a large pool of open-source packages. Packages are compilations of functions that automate frequently used procedures (e.g., querying new user cohorts</w:t>
      </w:r>
      <w:r>
        <w:rPr>
          <w:vertAlign w:val="superscript"/>
        </w:rPr>
        <w:t xml:space="preserve">22</w:t>
      </w:r>
      <w:r>
        <w:t xml:space="preserve"> </w:t>
      </w:r>
      <w:r>
        <w:t xml:space="preserve">or propensity score matching</w:t>
      </w:r>
      <w:r>
        <w:rPr>
          <w:vertAlign w:val="superscript"/>
        </w:rPr>
        <w:t xml:space="preserve">23</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6" w:name="reproducible-r-computing-environments"/>
    <w:p>
      <w:pPr>
        <w:pStyle w:val="Heading3"/>
      </w:pPr>
      <w:r>
        <w:t xml:space="preserve">3.8.1 Reproducible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24,25</w:t>
      </w:r>
      <w:r>
        <w:t xml:space="preserve"> </w:t>
      </w:r>
      <w:r>
        <w:t xml:space="preserve">Another more lightweight, yet effective way is by using the</w:t>
      </w:r>
      <w:r>
        <w:t xml:space="preserve"> </w:t>
      </w:r>
      <w:r>
        <w:rPr>
          <w:rStyle w:val="VerbatimChar"/>
        </w:rPr>
        <w:t xml:space="preserve">renv</w:t>
      </w:r>
      <w:r>
        <w:t xml:space="preserve"> </w:t>
      </w:r>
      <w:r>
        <w:t xml:space="preserve">R package</w:t>
      </w:r>
      <w:r>
        <w:rPr>
          <w:vertAlign w:val="superscript"/>
        </w:rPr>
        <w:t xml:space="preserve">26</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as well as all R packages, their versions and the installation source (e.g.,</w:t>
      </w:r>
      <w:r>
        <w:t xml:space="preserve"> </w:t>
      </w:r>
      <w:hyperlink r:id="rId45">
        <w:r>
          <w:rPr>
            <w:rStyle w:val="Hyperlink"/>
          </w:rPr>
          <w:t xml:space="preserve">https://cran.r-project.org/</w:t>
        </w:r>
      </w:hyperlink>
      <w:r>
        <w:t xml:space="preserve">). To synchronize the R environment with that of a collaborator, e.g., after cloning a repository, the only step to necessary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provide further context about the dependencies and versions of an analytic script.</w:t>
      </w:r>
    </w:p>
    <w:p>
      <w:pPr>
        <w:pStyle w:val="SourceCode"/>
      </w:pPr>
      <w:r>
        <w:rPr>
          <w:rStyle w:val="FunctionTok"/>
        </w:rPr>
        <w:t xml:space="preserve">sessionInfo</w:t>
      </w:r>
      <w:r>
        <w:rPr>
          <w:rStyle w:val="NormalTok"/>
        </w:rPr>
        <w:t xml:space="preserve">()</w:t>
      </w:r>
    </w:p>
    <w:bookmarkEnd w:id="46"/>
    <w:bookmarkStart w:id="47" w:name="absolute-versus-relative-paths"/>
    <w:p>
      <w:pPr>
        <w:pStyle w:val="Heading3"/>
      </w:pPr>
      <w:r>
        <w:t xml:space="preserve">3.8.2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'C:/User/Projects/rwe_study/protocol/icd_codes.csv'</w:t>
      </w:r>
      <w:r>
        <w:rPr>
          <w:rStyle w:val="NormalTok"/>
        </w:rPr>
        <w:t xml:space="preserve">)</w:t>
      </w:r>
    </w:p>
    <w:p>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w:t>
      </w:r>
      <w:r>
        <w:rPr>
          <w:vertAlign w:val="superscript"/>
        </w:rPr>
        <w:t xml:space="preserve">27</w:t>
      </w:r>
      <w:r>
        <w:t xml:space="preserve"> </w:t>
      </w:r>
      <w:r>
        <w:t xml:space="preserve">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 the</w:t>
      </w:r>
      <w:r>
        <w:t xml:space="preserve"> </w:t>
      </w:r>
      <w:r>
        <w:rPr>
          <w:rStyle w:val="VerbatimChar"/>
        </w:rPr>
        <w:t xml:space="preserve">rwe_study</w:t>
      </w:r>
      <w:r>
        <w:t xml:space="preserve"> </w:t>
      </w:r>
      <w:r>
        <w:t xml:space="preserve">directory). Applied to our example project, the following command would automatically reference the correct path and could be used without modification by any user re-running this script.</w:t>
      </w:r>
    </w:p>
    <w:p>
      <w:pPr>
        <w:pStyle w:val="SourceCode"/>
      </w:pPr>
      <w:r>
        <w:rPr>
          <w:rStyle w:val="FunctionTok"/>
        </w:rPr>
        <w:t xml:space="preserve">library</w:t>
      </w:r>
      <w:r>
        <w:rPr>
          <w:rStyle w:val="NormalTok"/>
        </w:rPr>
        <w:t xml:space="preserve">(here)</w:t>
      </w:r>
      <w:r>
        <w:br/>
      </w: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"icd_codes.csv"</w:t>
      </w:r>
      <w:r>
        <w:rPr>
          <w:rStyle w:val="NormalTok"/>
        </w:rPr>
        <w:t xml:space="preserve">))</w:t>
      </w:r>
    </w:p>
    <w:bookmarkEnd w:id="47"/>
    <w:bookmarkEnd w:id="48"/>
    <w:bookmarkEnd w:id="49"/>
    <w:bookmarkStart w:id="50"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19</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w:t>
      </w:r>
      <w:r>
        <w:t xml:space="preserve"> </w:t>
      </w:r>
      <w:r>
        <w:rPr>
          <w:rStyle w:val="VerbatimChar"/>
        </w:rPr>
        <w:t xml:space="preserve">.gitignore</w:t>
      </w:r>
      <w:r>
        <w:t xml:space="preserve"> </w:t>
      </w:r>
      <w:r>
        <w:t xml:space="preserve">file before making the first commit or, more preferably, not storing them in the project directory in the first place.</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Git makes it easier for users to go back to any snapshot and resolve errors more efficiently. Further, remote repositories are ideal platforms to deploy and archive scripts and documents, facilitate collaboration and make it very convenient to share code. Although data sharing is unfortunately often prohibited due to privacy and legal reasons, many databases have been mapped to common data models like OMOP</w:t>
      </w:r>
      <w:r>
        <w:rPr>
          <w:vertAlign w:val="superscript"/>
        </w:rPr>
        <w:t xml:space="preserve">28</w:t>
      </w:r>
      <w:r>
        <w:t xml:space="preserve">, Sentinel</w:t>
      </w:r>
      <w:r>
        <w:rPr>
          <w:vertAlign w:val="superscript"/>
        </w:rPr>
        <w:t xml:space="preserve">29</w:t>
      </w:r>
      <w:r>
        <w:t xml:space="preserve"> </w:t>
      </w:r>
      <w:r>
        <w:t xml:space="preserve">and PCORnet</w:t>
      </w:r>
      <w:r>
        <w:rPr>
          <w:vertAlign w:val="superscript"/>
        </w:rPr>
        <w:t xml:space="preserve">30</w:t>
      </w:r>
      <w:r>
        <w:t xml:space="preserve">, which makes shared code interoperable even without direct access to the same data source. Finally, code sharing can enable researchers to learn from each other, build trust</w:t>
      </w:r>
      <w:r>
        <w:rPr>
          <w:vertAlign w:val="superscript"/>
        </w:rPr>
        <w:t xml:space="preserve">31</w:t>
      </w:r>
      <w:r>
        <w:t xml:space="preserve">, expedite the uptake of novel methodologies and knowledge exchange and decrease unnecessary redundancies through sharing of code libraries, functions and algorithms.</w:t>
      </w:r>
    </w:p>
    <w:p>
      <w:pPr>
        <w:pStyle w:val="BodyText"/>
      </w:pPr>
      <w:r>
        <w:t xml:space="preserve">Regulators</w:t>
      </w:r>
      <w:r>
        <w:rPr>
          <w:vertAlign w:val="superscript"/>
        </w:rPr>
        <w:t xml:space="preserve">32</w:t>
      </w:r>
      <w:r>
        <w:t xml:space="preserve">, funding agencies</w:t>
      </w:r>
      <w:r>
        <w:rPr>
          <w:vertAlign w:val="superscript"/>
        </w:rPr>
        <w:t xml:space="preserve">33,34</w:t>
      </w:r>
      <w:r>
        <w:t xml:space="preserve"> </w:t>
      </w:r>
      <w:r>
        <w:t xml:space="preserve">and HTA bodies</w:t>
      </w:r>
      <w:r>
        <w:rPr>
          <w:vertAlign w:val="superscript"/>
        </w:rPr>
        <w:t xml:space="preserve">35</w:t>
      </w:r>
      <w:r>
        <w:t xml:space="preserve"> </w:t>
      </w:r>
      <w:r>
        <w:t xml:space="preserve">have increasing expectations regarding the provenance, sharing and audit trial of study documents including analytic code as a prerequisite for impactful and credible RWE studies. This manuscript addresses this timely topic and will hopefully motivate and enable new and experienced pharmacoepidemiologists to integrate VCS workflows and code sharing into their daily work.</w:t>
      </w:r>
    </w:p>
    <w:p>
      <w:r>
        <w:br w:type="page"/>
      </w:r>
    </w:p>
    <w:bookmarkEnd w:id="50"/>
    <w:bookmarkStart w:id="121" w:name="references"/>
    <w:p>
      <w:pPr>
        <w:pStyle w:val="Heading1"/>
      </w:pPr>
      <w:r>
        <w:t xml:space="preserve">References</w:t>
      </w:r>
    </w:p>
    <w:bookmarkStart w:id="120" w:name="refs"/>
    <w:bookmarkStart w:id="52"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1">
        <w:r>
          <w:rPr>
            <w:rStyle w:val="Hyperlink"/>
          </w:rPr>
          <w:t xml:space="preserve">https://www.fda.gov/downloads/ScienceResearch/SpecialTopics/RealWorldEvidence/UCM627769.pdf</w:t>
        </w:r>
      </w:hyperlink>
      <w:r>
        <w:t xml:space="preserve">.</w:t>
      </w:r>
    </w:p>
    <w:bookmarkEnd w:id="52"/>
    <w:bookmarkStart w:id="54"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3">
        <w:r>
          <w:rPr>
            <w:rStyle w:val="Hyperlink"/>
          </w:rPr>
          <w:t xml:space="preserve">10.1002/cpt.59</w:t>
        </w:r>
      </w:hyperlink>
      <w:r>
        <w:t xml:space="preserve">.</w:t>
      </w:r>
    </w:p>
    <w:bookmarkEnd w:id="54"/>
    <w:bookmarkStart w:id="56"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5">
        <w:r>
          <w:rPr>
            <w:rStyle w:val="Hyperlink"/>
          </w:rPr>
          <w:t xml:space="preserve">https://cioms.ch/wp-content/uploads/2020/03/CIOMS-WG-XIII_6June2023_Draft-report-for-comment-1.pdfA</w:t>
        </w:r>
      </w:hyperlink>
      <w:r>
        <w:t xml:space="preserve">.</w:t>
      </w:r>
    </w:p>
    <w:bookmarkEnd w:id="56"/>
    <w:bookmarkStart w:id="58"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7">
        <w:r>
          <w:rPr>
            <w:rStyle w:val="Hyperlink"/>
          </w:rPr>
          <w:t xml:space="preserve">10.1016/j.jval.2016.12.003</w:t>
        </w:r>
      </w:hyperlink>
      <w:r>
        <w:t xml:space="preserve">.</w:t>
      </w:r>
    </w:p>
    <w:bookmarkEnd w:id="58"/>
    <w:bookmarkStart w:id="60"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59">
        <w:r>
          <w:rPr>
            <w:rStyle w:val="Hyperlink"/>
          </w:rPr>
          <w:t xml:space="preserve">10.1136/bmj.m4856</w:t>
        </w:r>
      </w:hyperlink>
      <w:r>
        <w:t xml:space="preserve">.</w:t>
      </w:r>
    </w:p>
    <w:bookmarkEnd w:id="60"/>
    <w:bookmarkStart w:id="62"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1">
        <w:r>
          <w:rPr>
            <w:rStyle w:val="Hyperlink"/>
          </w:rPr>
          <w:t xml:space="preserve">10.7326/m18-3079</w:t>
        </w:r>
      </w:hyperlink>
      <w:r>
        <w:t xml:space="preserve">.</w:t>
      </w:r>
    </w:p>
    <w:bookmarkEnd w:id="62"/>
    <w:bookmarkStart w:id="64"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3">
        <w:r>
          <w:rPr>
            <w:rStyle w:val="Hyperlink"/>
          </w:rPr>
          <w:t xml:space="preserve">10.1002/pds.4297</w:t>
        </w:r>
      </w:hyperlink>
      <w:r>
        <w:t xml:space="preserve">.</w:t>
      </w:r>
    </w:p>
    <w:bookmarkEnd w:id="64"/>
    <w:bookmarkStart w:id="66"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5">
        <w:r>
          <w:rPr>
            <w:rStyle w:val="Hyperlink"/>
          </w:rPr>
          <w:t xml:space="preserve">10.1002/pds.5507</w:t>
        </w:r>
      </w:hyperlink>
      <w:r>
        <w:t xml:space="preserve">.</w:t>
      </w:r>
    </w:p>
    <w:bookmarkEnd w:id="66"/>
    <w:bookmarkStart w:id="68" w:name="ref-RCore2023"/>
    <w:p>
      <w:pPr>
        <w:pStyle w:val="Bibliography"/>
      </w:pPr>
      <w:r>
        <w:t xml:space="preserve">9.</w:t>
      </w:r>
      <w:r>
        <w:t xml:space="preserve"> </w:t>
      </w:r>
      <w:r>
        <w:t xml:space="preserve">	</w:t>
      </w:r>
      <w:r>
        <w:t xml:space="preserve">R Core Team.</w:t>
      </w:r>
      <w:r>
        <w:t xml:space="preserve"> </w:t>
      </w:r>
      <w:r>
        <w:rPr>
          <w:iCs/>
          <w:i/>
        </w:rPr>
        <w:t xml:space="preserve">R: A language and environment for statistical computing</w:t>
      </w:r>
      <w:r>
        <w:t xml:space="preserve">. Vienna, Austria: R Foundation for Statistical Computing, 2023. Available at:</w:t>
      </w:r>
      <w:r>
        <w:t xml:space="preserve"> </w:t>
      </w:r>
      <w:hyperlink r:id="rId67">
        <w:r>
          <w:rPr>
            <w:rStyle w:val="Hyperlink"/>
          </w:rPr>
          <w:t xml:space="preserve">https://www.R-project.org/</w:t>
        </w:r>
      </w:hyperlink>
      <w:r>
        <w:t xml:space="preserve">.</w:t>
      </w:r>
    </w:p>
    <w:bookmarkEnd w:id="68"/>
    <w:bookmarkStart w:id="70" w:name="ref-almugbel2017"/>
    <w:p>
      <w:pPr>
        <w:pStyle w:val="Bibliography"/>
      </w:pPr>
      <w:r>
        <w:t xml:space="preserve">10.</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9">
        <w:r>
          <w:rPr>
            <w:rStyle w:val="Hyperlink"/>
          </w:rPr>
          <w:t xml:space="preserve">10.1093/jamia/ocx120</w:t>
        </w:r>
      </w:hyperlink>
      <w:r>
        <w:t xml:space="preserve">.</w:t>
      </w:r>
    </w:p>
    <w:bookmarkEnd w:id="70"/>
    <w:bookmarkStart w:id="72" w:name="ref-mammoliti2021"/>
    <w:p>
      <w:pPr>
        <w:pStyle w:val="Bibliography"/>
      </w:pPr>
      <w:r>
        <w:t xml:space="preserve">11.</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1">
        <w:r>
          <w:rPr>
            <w:rStyle w:val="Hyperlink"/>
          </w:rPr>
          <w:t xml:space="preserve">10.1038/s41467-021-25974-w</w:t>
        </w:r>
      </w:hyperlink>
      <w:r>
        <w:t xml:space="preserve">.</w:t>
      </w:r>
    </w:p>
    <w:bookmarkEnd w:id="72"/>
    <w:bookmarkStart w:id="74" w:name="ref-russell2018"/>
    <w:p>
      <w:pPr>
        <w:pStyle w:val="Bibliography"/>
      </w:pPr>
      <w:r>
        <w:t xml:space="preserve">12.</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3">
        <w:r>
          <w:rPr>
            <w:rStyle w:val="Hyperlink"/>
          </w:rPr>
          <w:t xml:space="preserve">10.1371/journal.pone.0205898</w:t>
        </w:r>
      </w:hyperlink>
      <w:r>
        <w:t xml:space="preserve">.</w:t>
      </w:r>
    </w:p>
    <w:bookmarkEnd w:id="74"/>
    <w:bookmarkStart w:id="76" w:name="ref-perez-riverol2016"/>
    <w:p>
      <w:pPr>
        <w:pStyle w:val="Bibliography"/>
      </w:pPr>
      <w:r>
        <w:t xml:space="preserve">13.</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5">
        <w:r>
          <w:rPr>
            <w:rStyle w:val="Hyperlink"/>
          </w:rPr>
          <w:t xml:space="preserve">10.1371/journal.pcbi.1004947</w:t>
        </w:r>
      </w:hyperlink>
      <w:r>
        <w:t xml:space="preserve">.</w:t>
      </w:r>
    </w:p>
    <w:bookmarkEnd w:id="76"/>
    <w:bookmarkStart w:id="78" w:name="ref-bakken2019"/>
    <w:p>
      <w:pPr>
        <w:pStyle w:val="Bibliography"/>
      </w:pPr>
      <w:r>
        <w:t xml:space="preserve">14.</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7">
        <w:r>
          <w:rPr>
            <w:rStyle w:val="Hyperlink"/>
          </w:rPr>
          <w:t xml:space="preserve">10.1093/jamia/ocz007</w:t>
        </w:r>
      </w:hyperlink>
      <w:r>
        <w:t xml:space="preserve">.</w:t>
      </w:r>
    </w:p>
    <w:bookmarkEnd w:id="78"/>
    <w:bookmarkStart w:id="80" w:name="ref-pharmaverse2023"/>
    <w:p>
      <w:pPr>
        <w:pStyle w:val="Bibliography"/>
      </w:pPr>
      <w:r>
        <w:t xml:space="preserve">15.</w:t>
      </w:r>
      <w:r>
        <w:t xml:space="preserve"> </w:t>
      </w:r>
      <w:r>
        <w:t xml:space="preserve">	</w:t>
      </w:r>
      <w:r>
        <w:t xml:space="preserve">Pharmaverse. Accessed 6/30/2023. Available at:</w:t>
      </w:r>
      <w:r>
        <w:t xml:space="preserve"> </w:t>
      </w:r>
      <w:hyperlink r:id="rId79">
        <w:r>
          <w:rPr>
            <w:rStyle w:val="Hyperlink"/>
          </w:rPr>
          <w:t xml:space="preserve">https://pharmaverse.org/</w:t>
        </w:r>
      </w:hyperlink>
      <w:r>
        <w:t xml:space="preserve">.</w:t>
      </w:r>
    </w:p>
    <w:bookmarkEnd w:id="80"/>
    <w:bookmarkStart w:id="82" w:name="ref-positPharma"/>
    <w:p>
      <w:pPr>
        <w:pStyle w:val="Bibliography"/>
      </w:pPr>
      <w:r>
        <w:t xml:space="preserve">16.</w:t>
      </w:r>
      <w:r>
        <w:t xml:space="preserve"> </w:t>
      </w:r>
      <w:r>
        <w:t xml:space="preserve">	</w:t>
      </w:r>
      <w:r>
        <w:t xml:space="preserve">Kephart C. R packages and shiny for FDA clinical trial submissions. Accessed 6/30/2023. Available at:</w:t>
      </w:r>
      <w:r>
        <w:t xml:space="preserve"> </w:t>
      </w:r>
      <w:hyperlink r:id="rId81">
        <w:r>
          <w:rPr>
            <w:rStyle w:val="Hyperlink"/>
          </w:rPr>
          <w:t xml:space="preserve">https://posit.co/blog/fda-shiny-r-package-submissions/</w:t>
        </w:r>
      </w:hyperlink>
      <w:r>
        <w:t xml:space="preserve">.</w:t>
      </w:r>
    </w:p>
    <w:bookmarkEnd w:id="82"/>
    <w:bookmarkStart w:id="84" w:name="ref-garcía-closas2023"/>
    <w:p>
      <w:pPr>
        <w:pStyle w:val="Bibliography"/>
      </w:pPr>
      <w:r>
        <w:t xml:space="preserve">17.</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3">
        <w:r>
          <w:rPr>
            <w:rStyle w:val="Hyperlink"/>
          </w:rPr>
          <w:t xml:space="preserve">10.1093/aje/kwad040</w:t>
        </w:r>
      </w:hyperlink>
      <w:r>
        <w:t xml:space="preserve">.</w:t>
      </w:r>
    </w:p>
    <w:bookmarkEnd w:id="84"/>
    <w:bookmarkStart w:id="86" w:name="ref-ram2013"/>
    <w:p>
      <w:pPr>
        <w:pStyle w:val="Bibliography"/>
      </w:pPr>
      <w:r>
        <w:t xml:space="preserve">18.</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5">
        <w:r>
          <w:rPr>
            <w:rStyle w:val="Hyperlink"/>
          </w:rPr>
          <w:t xml:space="preserve">10.1186/1751-0473-8-7</w:t>
        </w:r>
      </w:hyperlink>
      <w:r>
        <w:t xml:space="preserve">.</w:t>
      </w:r>
    </w:p>
    <w:bookmarkEnd w:id="86"/>
    <w:bookmarkStart w:id="88" w:name="ref-blischak2016"/>
    <w:p>
      <w:pPr>
        <w:pStyle w:val="Bibliography"/>
      </w:pPr>
      <w:r>
        <w:t xml:space="preserve">19.</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7">
        <w:r>
          <w:rPr>
            <w:rStyle w:val="Hyperlink"/>
          </w:rPr>
          <w:t xml:space="preserve">10.1371/journal.pcbi.1004668</w:t>
        </w:r>
      </w:hyperlink>
      <w:r>
        <w:t xml:space="preserve">.</w:t>
      </w:r>
    </w:p>
    <w:bookmarkEnd w:id="88"/>
    <w:bookmarkStart w:id="89" w:name="ref-chacon2014pro"/>
    <w:p>
      <w:pPr>
        <w:pStyle w:val="Bibliography"/>
      </w:pPr>
      <w:r>
        <w:t xml:space="preserve">20.</w:t>
      </w:r>
      <w:r>
        <w:t xml:space="preserve"> </w:t>
      </w:r>
      <w:r>
        <w:t xml:space="preserve">	</w:t>
      </w:r>
      <w:r>
        <w:t xml:space="preserve">Chacon S, Straub B.</w:t>
      </w:r>
      <w:r>
        <w:t xml:space="preserve"> </w:t>
      </w:r>
      <w:r>
        <w:rPr>
          <w:iCs/>
          <w:i/>
        </w:rPr>
        <w:t xml:space="preserve">Pro git</w:t>
      </w:r>
      <w:r>
        <w:t xml:space="preserve">. Springer Nature, 2014.</w:t>
      </w:r>
    </w:p>
    <w:bookmarkEnd w:id="89"/>
    <w:bookmarkStart w:id="91" w:name="ref-GitFork"/>
    <w:p>
      <w:pPr>
        <w:pStyle w:val="Bibliography"/>
      </w:pPr>
      <w:r>
        <w:t xml:space="preserve">21.</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0">
        <w:r>
          <w:rPr>
            <w:rStyle w:val="Hyperlink"/>
          </w:rPr>
          <w:t xml:space="preserve">https://docs.github.com/en/get-started/quickstart/fork-a-repo</w:t>
        </w:r>
      </w:hyperlink>
      <w:r>
        <w:t xml:space="preserve">.</w:t>
      </w:r>
    </w:p>
    <w:bookmarkEnd w:id="91"/>
    <w:bookmarkStart w:id="93" w:name="ref-tidyverse"/>
    <w:p>
      <w:pPr>
        <w:pStyle w:val="Bibliography"/>
      </w:pPr>
      <w:r>
        <w:t xml:space="preserve">22.</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92">
        <w:r>
          <w:rPr>
            <w:rStyle w:val="Hyperlink"/>
          </w:rPr>
          <w:t xml:space="preserve">10.21105/joss.01686</w:t>
        </w:r>
      </w:hyperlink>
      <w:r>
        <w:t xml:space="preserve">.</w:t>
      </w:r>
    </w:p>
    <w:bookmarkEnd w:id="93"/>
    <w:bookmarkStart w:id="95" w:name="ref-MatchIt"/>
    <w:p>
      <w:pPr>
        <w:pStyle w:val="Bibliography"/>
      </w:pPr>
      <w:r>
        <w:t xml:space="preserve">23.</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94">
        <w:r>
          <w:rPr>
            <w:rStyle w:val="Hyperlink"/>
          </w:rPr>
          <w:t xml:space="preserve">10.18637/jss.v042.i08</w:t>
        </w:r>
      </w:hyperlink>
      <w:r>
        <w:t xml:space="preserve">.</w:t>
      </w:r>
    </w:p>
    <w:bookmarkEnd w:id="95"/>
    <w:bookmarkStart w:id="97" w:name="ref-boettiger2017a"/>
    <w:p>
      <w:pPr>
        <w:pStyle w:val="Bibliography"/>
      </w:pPr>
      <w:r>
        <w:t xml:space="preserve">24.</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96">
        <w:r>
          <w:rPr>
            <w:rStyle w:val="Hyperlink"/>
          </w:rPr>
          <w:t xml:space="preserve">10.32614/rj-2017-065</w:t>
        </w:r>
      </w:hyperlink>
      <w:r>
        <w:t xml:space="preserve">.</w:t>
      </w:r>
    </w:p>
    <w:bookmarkEnd w:id="97"/>
    <w:bookmarkStart w:id="99" w:name="ref-nüst2020"/>
    <w:p>
      <w:pPr>
        <w:pStyle w:val="Bibliography"/>
      </w:pPr>
      <w:r>
        <w:t xml:space="preserve">25.</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98">
        <w:r>
          <w:rPr>
            <w:rStyle w:val="Hyperlink"/>
          </w:rPr>
          <w:t xml:space="preserve">10.32614/rj-2020-007</w:t>
        </w:r>
      </w:hyperlink>
      <w:r>
        <w:t xml:space="preserve">.</w:t>
      </w:r>
    </w:p>
    <w:bookmarkEnd w:id="99"/>
    <w:bookmarkStart w:id="101" w:name="ref-renv"/>
    <w:p>
      <w:pPr>
        <w:pStyle w:val="Bibliography"/>
      </w:pPr>
      <w:r>
        <w:t xml:space="preserve">26.</w:t>
      </w:r>
      <w:r>
        <w:t xml:space="preserve"> </w:t>
      </w:r>
      <w:r>
        <w:t xml:space="preserve">	</w:t>
      </w:r>
      <w:r>
        <w:t xml:space="preserve">Ushey K. Renv: Project environments. 2022. Available at:</w:t>
      </w:r>
      <w:r>
        <w:t xml:space="preserve"> </w:t>
      </w:r>
      <w:hyperlink r:id="rId100">
        <w:r>
          <w:rPr>
            <w:rStyle w:val="Hyperlink"/>
          </w:rPr>
          <w:t xml:space="preserve">https://CRAN.R-project.org/package=renv</w:t>
        </w:r>
      </w:hyperlink>
      <w:r>
        <w:t xml:space="preserve">.</w:t>
      </w:r>
    </w:p>
    <w:bookmarkEnd w:id="101"/>
    <w:bookmarkStart w:id="103" w:name="ref-here"/>
    <w:p>
      <w:pPr>
        <w:pStyle w:val="Bibliography"/>
      </w:pPr>
      <w:r>
        <w:t xml:space="preserve">27.</w:t>
      </w:r>
      <w:r>
        <w:t xml:space="preserve"> </w:t>
      </w:r>
      <w:r>
        <w:t xml:space="preserve">	</w:t>
      </w:r>
      <w:r>
        <w:t xml:space="preserve">Müller K. Here: A simpler way to find your files. 2020. Available at:</w:t>
      </w:r>
      <w:r>
        <w:t xml:space="preserve"> </w:t>
      </w:r>
      <w:hyperlink r:id="rId102">
        <w:r>
          <w:rPr>
            <w:rStyle w:val="Hyperlink"/>
          </w:rPr>
          <w:t xml:space="preserve">https://CRAN.R-project.org/package=here</w:t>
        </w:r>
      </w:hyperlink>
      <w:r>
        <w:t xml:space="preserve">.</w:t>
      </w:r>
    </w:p>
    <w:bookmarkEnd w:id="103"/>
    <w:bookmarkStart w:id="105" w:name="ref-ohdsi2019book"/>
    <w:p>
      <w:pPr>
        <w:pStyle w:val="Bibliography"/>
      </w:pPr>
      <w:r>
        <w:t xml:space="preserve">28.</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4">
        <w:r>
          <w:rPr>
            <w:rStyle w:val="Hyperlink"/>
          </w:rPr>
          <w:t xml:space="preserve">https://ohdsi.github.io/TheBookOfOhdsi/</w:t>
        </w:r>
      </w:hyperlink>
      <w:r>
        <w:t xml:space="preserve">.</w:t>
      </w:r>
    </w:p>
    <w:bookmarkEnd w:id="105"/>
    <w:bookmarkStart w:id="107" w:name="ref-brown2020"/>
    <w:p>
      <w:pPr>
        <w:pStyle w:val="Bibliography"/>
      </w:pPr>
      <w:r>
        <w:t xml:space="preserve">29.</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6">
        <w:r>
          <w:rPr>
            <w:rStyle w:val="Hyperlink"/>
          </w:rPr>
          <w:t xml:space="preserve">10.1093/jamia/ocaa028</w:t>
        </w:r>
      </w:hyperlink>
      <w:r>
        <w:t xml:space="preserve">.</w:t>
      </w:r>
    </w:p>
    <w:bookmarkEnd w:id="107"/>
    <w:bookmarkStart w:id="109" w:name="ref-fleurence2014"/>
    <w:p>
      <w:pPr>
        <w:pStyle w:val="Bibliography"/>
      </w:pPr>
      <w:r>
        <w:t xml:space="preserve">30.</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8">
        <w:r>
          <w:rPr>
            <w:rStyle w:val="Hyperlink"/>
          </w:rPr>
          <w:t xml:space="preserve">10.1136/amiajnl-2014-002747</w:t>
        </w:r>
      </w:hyperlink>
      <w:r>
        <w:t xml:space="preserve">.</w:t>
      </w:r>
    </w:p>
    <w:bookmarkEnd w:id="109"/>
    <w:bookmarkStart w:id="111" w:name="ref-orsini2020"/>
    <w:p>
      <w:pPr>
        <w:pStyle w:val="Bibliography"/>
      </w:pPr>
      <w:r>
        <w:t xml:space="preserve">31.</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0">
        <w:r>
          <w:rPr>
            <w:rStyle w:val="Hyperlink"/>
          </w:rPr>
          <w:t xml:space="preserve">10.1002/pds.5079</w:t>
        </w:r>
      </w:hyperlink>
      <w:r>
        <w:t xml:space="preserve">.</w:t>
      </w:r>
    </w:p>
    <w:bookmarkEnd w:id="111"/>
    <w:bookmarkStart w:id="113" w:name="ref-fdaRWE2021"/>
    <w:p>
      <w:pPr>
        <w:pStyle w:val="Bibliography"/>
      </w:pPr>
      <w:r>
        <w:t xml:space="preserve">32.</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2">
        <w:r>
          <w:rPr>
            <w:rStyle w:val="Hyperlink"/>
          </w:rPr>
          <w:t xml:space="preserve">https://www.fda.gov/regulatory-information/search-fda-guidance-documents/considerations-use-real-world-data-and-real-world-evidence-support-regulatory-decision-making-drug</w:t>
        </w:r>
      </w:hyperlink>
      <w:r>
        <w:t xml:space="preserve">.</w:t>
      </w:r>
    </w:p>
    <w:bookmarkEnd w:id="113"/>
    <w:bookmarkStart w:id="115" w:name="ref-NIH2023"/>
    <w:p>
      <w:pPr>
        <w:pStyle w:val="Bibliography"/>
      </w:pPr>
      <w:r>
        <w:t xml:space="preserve">33.</w:t>
      </w:r>
      <w:r>
        <w:t xml:space="preserve"> </w:t>
      </w:r>
      <w:r>
        <w:t xml:space="preserve">	</w:t>
      </w:r>
      <w:r>
        <w:t xml:space="preserve">National Institute of Health (NIH). NIH data management plan policy.). Jan 2023. Accessed 7/03/2023. Available at:</w:t>
      </w:r>
      <w:r>
        <w:t xml:space="preserve"> </w:t>
      </w:r>
      <w:hyperlink r:id="rId114">
        <w:r>
          <w:rPr>
            <w:rStyle w:val="Hyperlink"/>
          </w:rPr>
          <w:t xml:space="preserve">https://sharing.nih.gov/data-management-and-sharing-policy/planning-and-budgeting-for-data-management-and-sharing/writing-a-data-management-and-sharing-plan#after</w:t>
        </w:r>
      </w:hyperlink>
      <w:r>
        <w:t xml:space="preserve">.</w:t>
      </w:r>
    </w:p>
    <w:bookmarkEnd w:id="115"/>
    <w:bookmarkStart w:id="117" w:name="ref-PCORI2023"/>
    <w:p>
      <w:pPr>
        <w:pStyle w:val="Bibliography"/>
      </w:pPr>
      <w:r>
        <w:t xml:space="preserve">34.</w:t>
      </w:r>
      <w:r>
        <w:t xml:space="preserve"> </w:t>
      </w:r>
      <w:r>
        <w:t xml:space="preserve">	</w:t>
      </w:r>
      <w:r>
        <w:t xml:space="preserve">Patient-Centered Outcomes Research Institute (PCORI). Policy for data management and data sharing. Accessed 7/03/2023. Available at:</w:t>
      </w:r>
      <w:r>
        <w:t xml:space="preserve"> </w:t>
      </w:r>
      <w:hyperlink r:id="rId116">
        <w:r>
          <w:rPr>
            <w:rStyle w:val="Hyperlink"/>
          </w:rPr>
          <w:t xml:space="preserve">https://www.pcori.org/about/governance/policy-data-management-and-data-sharing</w:t>
        </w:r>
      </w:hyperlink>
      <w:r>
        <w:t xml:space="preserve">.</w:t>
      </w:r>
    </w:p>
    <w:bookmarkEnd w:id="117"/>
    <w:bookmarkStart w:id="119" w:name="ref-kent2021"/>
    <w:p>
      <w:pPr>
        <w:pStyle w:val="Bibliography"/>
      </w:pPr>
      <w:r>
        <w:t xml:space="preserve">35.</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18">
        <w:r>
          <w:rPr>
            <w:rStyle w:val="Hyperlink"/>
          </w:rPr>
          <w:t xml:space="preserve">10.2217/cer-2021-0108</w:t>
        </w:r>
      </w:hyperlink>
      <w:r>
        <w:t xml:space="preserve">.</w:t>
      </w:r>
    </w:p>
    <w:bookmarkEnd w:id="119"/>
    <w:bookmarkEnd w:id="120"/>
    <w:p>
      <w:r>
        <w:br w:type="page"/>
      </w:r>
    </w:p>
    <w:bookmarkEnd w:id="121"/>
    <w:bookmarkStart w:id="146"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5" w:name="fig-RStudio-gui"/>
          <w:p>
            <w:pPr>
              <w:jc w:val="center"/>
            </w:pPr>
            <w:r>
              <w:drawing>
                <wp:inline>
                  <wp:extent cx="2971800" cy="7102415"/>
                  <wp:effectExtent b="0" l="0" r="0" t="0"/>
                  <wp:docPr descr="" title="" id="123" name="Picture"/>
                  <a:graphic>
                    <a:graphicData uri="http://schemas.openxmlformats.org/drawingml/2006/picture">
                      <pic:pic>
                        <pic:nvPicPr>
                          <pic:cNvPr descr="../figures/Figure_1_RStudio_init.png" id="124" name="Picture"/>
                          <pic:cNvPicPr>
                            <a:picLocks noChangeArrowheads="1" noChangeAspect="1"/>
                          </pic:cNvPicPr>
                        </pic:nvPicPr>
                        <pic:blipFill>
                          <a:blip r:embed="rId122"/>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125"/>
        </w:tc>
      </w:tr>
    </w:tbl>
    <w:p>
      <w:r>
        <w:br w:type="page"/>
      </w:r>
    </w:p>
    <w:tbl>
      <w:tblPr>
        <w:tblStyle w:val="Table"/>
        <w:tblW w:type="pct" w:w="5000"/>
        <w:tblLook w:firstRow="0" w:lastRow="0" w:firstColumn="0" w:lastColumn="0" w:noHBand="0" w:noVBand="0" w:val="0000"/>
        <w:jc w:val="start"/>
      </w:tblPr>
      <w:tblGrid>
        <w:gridCol w:w="7920"/>
      </w:tblGrid>
      <w:tr>
        <w:tc>
          <w:tcPr/>
          <w:bookmarkStart w:id="129" w:name="fig-structure"/>
          <w:p>
            <w:pPr>
              <w:jc w:val="center"/>
            </w:pPr>
            <w:r>
              <w:drawing>
                <wp:inline>
                  <wp:extent cx="3566160" cy="7360720"/>
                  <wp:effectExtent b="0" l="0" r="0" t="0"/>
                  <wp:docPr descr="" title="" id="127" name="Picture"/>
                  <a:graphic>
                    <a:graphicData uri="http://schemas.openxmlformats.org/drawingml/2006/picture">
                      <pic:pic>
                        <pic:nvPicPr>
                          <pic:cNvPr descr="../figures/Figure_2_repo_structure.png" id="128" name="Picture"/>
                          <pic:cNvPicPr>
                            <a:picLocks noChangeArrowheads="1" noChangeAspect="1"/>
                          </pic:cNvPicPr>
                        </pic:nvPicPr>
                        <pic:blipFill>
                          <a:blip r:embed="rId126"/>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w:t>
            </w:r>
          </w:p>
          <w:bookmarkEnd w:id="129"/>
        </w:tc>
      </w:tr>
    </w:tbl>
    <w:p>
      <w:r>
        <w:br w:type="page"/>
      </w:r>
    </w:p>
    <w:tbl>
      <w:tblPr>
        <w:tblStyle w:val="Table"/>
        <w:tblW w:type="pct" w:w="5000"/>
        <w:tblLook w:firstRow="0" w:lastRow="0" w:firstColumn="0" w:lastColumn="0" w:noHBand="0" w:noVBand="0" w:val="0000"/>
        <w:jc w:val="start"/>
      </w:tblPr>
      <w:tblGrid>
        <w:gridCol w:w="7920"/>
      </w:tblGrid>
      <w:tr>
        <w:tc>
          <w:tcPr/>
          <w:bookmarkStart w:id="133" w:name="fig-workflow"/>
          <w:p>
            <w:pPr>
              <w:jc w:val="center"/>
            </w:pPr>
            <w:r>
              <w:drawing>
                <wp:inline>
                  <wp:extent cx="5943600" cy="4301154"/>
                  <wp:effectExtent b="0" l="0" r="0" t="0"/>
                  <wp:docPr descr="" title="" id="131" name="Picture"/>
                  <a:graphic>
                    <a:graphicData uri="http://schemas.openxmlformats.org/drawingml/2006/picture">
                      <pic:pic>
                        <pic:nvPicPr>
                          <pic:cNvPr descr="../figures/Figure_3_workflow.png" id="132" name="Picture"/>
                          <pic:cNvPicPr>
                            <a:picLocks noChangeArrowheads="1" noChangeAspect="1"/>
                          </pic:cNvPicPr>
                        </pic:nvPicPr>
                        <pic:blipFill>
                          <a:blip r:embed="rId130"/>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3"/>
        </w:tc>
      </w:tr>
    </w:tbl>
    <w:p>
      <w:r>
        <w:br w:type="page"/>
      </w:r>
    </w:p>
    <w:tbl>
      <w:tblPr>
        <w:tblStyle w:val="Table"/>
        <w:tblW w:type="pct" w:w="5000"/>
        <w:tblLook w:firstRow="0" w:lastRow="0" w:firstColumn="0" w:lastColumn="0" w:noHBand="0" w:noVBand="0" w:val="0000"/>
        <w:jc w:val="start"/>
      </w:tblPr>
      <w:tblGrid>
        <w:gridCol w:w="7920"/>
      </w:tblGrid>
      <w:tr>
        <w:tc>
          <w:tcPr/>
          <w:bookmarkStart w:id="137" w:name="fig-stage-commit-RStudio-gui"/>
          <w:p>
            <w:pPr>
              <w:jc w:val="center"/>
            </w:pPr>
            <w:r>
              <w:drawing>
                <wp:inline>
                  <wp:extent cx="5943600" cy="3043123"/>
                  <wp:effectExtent b="0" l="0" r="0" t="0"/>
                  <wp:docPr descr="" title="" id="135" name="Picture"/>
                  <a:graphic>
                    <a:graphicData uri="http://schemas.openxmlformats.org/drawingml/2006/picture">
                      <pic:pic>
                        <pic:nvPicPr>
                          <pic:cNvPr descr="../figures/Figure_4_stage_commit.png" id="136" name="Picture"/>
                          <pic:cNvPicPr>
                            <a:picLocks noChangeArrowheads="1" noChangeAspect="1"/>
                          </pic:cNvPicPr>
                        </pic:nvPicPr>
                        <pic:blipFill>
                          <a:blip r:embed="rId134"/>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37"/>
        </w:tc>
      </w:tr>
    </w:tbl>
    <w:p>
      <w:r>
        <w:br w:type="page"/>
      </w:r>
    </w:p>
    <w:tbl>
      <w:tblPr>
        <w:tblStyle w:val="Table"/>
        <w:tblW w:type="pct" w:w="5000"/>
        <w:tblLook w:firstRow="0" w:lastRow="0" w:firstColumn="0" w:lastColumn="0" w:noHBand="0" w:noVBand="0" w:val="0000"/>
        <w:jc w:val="start"/>
      </w:tblPr>
      <w:tblGrid>
        <w:gridCol w:w="7920"/>
      </w:tblGrid>
      <w:tr>
        <w:tc>
          <w:tcPr/>
          <w:bookmarkStart w:id="141" w:name="fig-collaborate"/>
          <w:p>
            <w:pPr>
              <w:jc w:val="center"/>
            </w:pPr>
            <w:r>
              <w:drawing>
                <wp:inline>
                  <wp:extent cx="5943600" cy="3343275"/>
                  <wp:effectExtent b="0" l="0" r="0" t="0"/>
                  <wp:docPr descr="" title="" id="139" name="Picture"/>
                  <a:graphic>
                    <a:graphicData uri="http://schemas.openxmlformats.org/drawingml/2006/picture">
                      <pic:pic>
                        <pic:nvPicPr>
                          <pic:cNvPr descr="../figures/Figure_5_collaboration.png" id="140" name="Picture"/>
                          <pic:cNvPicPr>
                            <a:picLocks noChangeArrowheads="1" noChangeAspect="1"/>
                          </pic:cNvPicPr>
                        </pic:nvPicPr>
                        <pic:blipFill>
                          <a:blip r:embed="rId138"/>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1"/>
        </w:tc>
      </w:tr>
    </w:tbl>
    <w:p>
      <w:r>
        <w:br w:type="page"/>
      </w:r>
    </w:p>
    <w:tbl>
      <w:tblPr>
        <w:tblStyle w:val="Table"/>
        <w:tblW w:type="pct" w:w="5000"/>
        <w:tblLook w:firstRow="0" w:lastRow="0" w:firstColumn="0" w:lastColumn="0" w:noHBand="0" w:noVBand="0" w:val="0000"/>
        <w:jc w:val="start"/>
      </w:tblPr>
      <w:tblGrid>
        <w:gridCol w:w="7920"/>
      </w:tblGrid>
      <w:tr>
        <w:tc>
          <w:tcPr/>
          <w:bookmarkStart w:id="145" w:name="fig-GitHub-gui_changes"/>
          <w:p>
            <w:pPr>
              <w:jc w:val="center"/>
            </w:pPr>
            <w:r>
              <w:drawing>
                <wp:inline>
                  <wp:extent cx="6240780" cy="4820770"/>
                  <wp:effectExtent b="0" l="0" r="0" t="0"/>
                  <wp:docPr descr="" title="" id="143" name="Picture"/>
                  <a:graphic>
                    <a:graphicData uri="http://schemas.openxmlformats.org/drawingml/2006/picture">
                      <pic:pic>
                        <pic:nvPicPr>
                          <pic:cNvPr descr="../figures/Figure_6_commit_GitHub_gui.png" id="144" name="Picture"/>
                          <pic:cNvPicPr>
                            <a:picLocks noChangeArrowheads="1" noChangeAspect="1"/>
                          </pic:cNvPicPr>
                        </pic:nvPicPr>
                        <pic:blipFill>
                          <a:blip r:embed="rId142"/>
                          <a:stretch>
                            <a:fillRect/>
                          </a:stretch>
                        </pic:blipFill>
                        <pic:spPr bwMode="auto">
                          <a:xfrm>
                            <a:off x="0" y="0"/>
                            <a:ext cx="6240780" cy="48207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w:t>
            </w:r>
          </w:p>
          <w:bookmarkEnd w:id="145"/>
        </w:tc>
      </w:tr>
    </w:tbl>
    <w:bookmarkEnd w:id="146"/>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25" Target="media/rId25.png" /><Relationship Type="http://schemas.openxmlformats.org/officeDocument/2006/relationships/hyperlink" Id="rId102" Target="https://CRAN.R-project.org/package=here" TargetMode="External" /><Relationship Type="http://schemas.openxmlformats.org/officeDocument/2006/relationships/hyperlink" Id="rId100" Target="https://CRAN.R-project.org/package=renv" TargetMode="External" /><Relationship Type="http://schemas.openxmlformats.org/officeDocument/2006/relationships/hyperlink" Id="rId55" Target="https://cioms.ch/wp-content/uploads/2020/03/CIOMS-WG-XIII_6June2023_Draft-report-for-comment-1.pdfA" TargetMode="External" /><Relationship Type="http://schemas.openxmlformats.org/officeDocument/2006/relationships/hyperlink" Id="rId45"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53" Target="https://doi.org/10.1002/cpt.59" TargetMode="External" /><Relationship Type="http://schemas.openxmlformats.org/officeDocument/2006/relationships/hyperlink" Id="rId63"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5" Target="https://doi.org/10.1002/pds.5507" TargetMode="External" /><Relationship Type="http://schemas.openxmlformats.org/officeDocument/2006/relationships/hyperlink" Id="rId57"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59"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94" Target="https://doi.org/10.18637/jss.v042.i08" TargetMode="External" /><Relationship Type="http://schemas.openxmlformats.org/officeDocument/2006/relationships/hyperlink" Id="rId92" Target="https://doi.org/10.21105/joss.01686" TargetMode="External" /><Relationship Type="http://schemas.openxmlformats.org/officeDocument/2006/relationships/hyperlink" Id="rId118" Target="https://doi.org/10.2217/cer-2021-0108" TargetMode="External" /><Relationship Type="http://schemas.openxmlformats.org/officeDocument/2006/relationships/hyperlink" Id="rId96" Target="https://doi.org/10.32614/rj-2017-065" TargetMode="External" /><Relationship Type="http://schemas.openxmlformats.org/officeDocument/2006/relationships/hyperlink" Id="rId98" Target="https://doi.org/10.32614/rj-2020-007" TargetMode="External" /><Relationship Type="http://schemas.openxmlformats.org/officeDocument/2006/relationships/hyperlink" Id="rId61"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67" Target="https://www.R-project.org/" TargetMode="External" /><Relationship Type="http://schemas.openxmlformats.org/officeDocument/2006/relationships/hyperlink" Id="rId51"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here" TargetMode="External" /><Relationship Type="http://schemas.openxmlformats.org/officeDocument/2006/relationships/hyperlink" Id="rId100" Target="https://CRAN.R-project.org/package=renv" TargetMode="External" /><Relationship Type="http://schemas.openxmlformats.org/officeDocument/2006/relationships/hyperlink" Id="rId55" Target="https://cioms.ch/wp-content/uploads/2020/03/CIOMS-WG-XIII_6June2023_Draft-report-for-comment-1.pdfA" TargetMode="External" /><Relationship Type="http://schemas.openxmlformats.org/officeDocument/2006/relationships/hyperlink" Id="rId45"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53" Target="https://doi.org/10.1002/cpt.59" TargetMode="External" /><Relationship Type="http://schemas.openxmlformats.org/officeDocument/2006/relationships/hyperlink" Id="rId63" Target="https://doi.org/10.1002/pds.4297" TargetMode="External" /><Relationship Type="http://schemas.openxmlformats.org/officeDocument/2006/relationships/hyperlink" Id="rId110" Target="https://doi.org/10.1002/pds.5079" TargetMode="External" /><Relationship Type="http://schemas.openxmlformats.org/officeDocument/2006/relationships/hyperlink" Id="rId65" Target="https://doi.org/10.1002/pds.5507" TargetMode="External" /><Relationship Type="http://schemas.openxmlformats.org/officeDocument/2006/relationships/hyperlink" Id="rId57"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06"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08" Target="https://doi.org/10.1136/amiajnl-2014-002747" TargetMode="External" /><Relationship Type="http://schemas.openxmlformats.org/officeDocument/2006/relationships/hyperlink" Id="rId59"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94" Target="https://doi.org/10.18637/jss.v042.i08" TargetMode="External" /><Relationship Type="http://schemas.openxmlformats.org/officeDocument/2006/relationships/hyperlink" Id="rId92" Target="https://doi.org/10.21105/joss.01686" TargetMode="External" /><Relationship Type="http://schemas.openxmlformats.org/officeDocument/2006/relationships/hyperlink" Id="rId118" Target="https://doi.org/10.2217/cer-2021-0108" TargetMode="External" /><Relationship Type="http://schemas.openxmlformats.org/officeDocument/2006/relationships/hyperlink" Id="rId96" Target="https://doi.org/10.32614/rj-2017-065" TargetMode="External" /><Relationship Type="http://schemas.openxmlformats.org/officeDocument/2006/relationships/hyperlink" Id="rId98" Target="https://doi.org/10.32614/rj-2020-007" TargetMode="External" /><Relationship Type="http://schemas.openxmlformats.org/officeDocument/2006/relationships/hyperlink" Id="rId61" Target="https://doi.org/10.7326/m18-3079" TargetMode="External" /><Relationship Type="http://schemas.openxmlformats.org/officeDocument/2006/relationships/hyperlink" Id="rId31" Target="https://git-scm.com/book/en/v2/Getting-Started-Installing-Git" TargetMode="External" /><Relationship Type="http://schemas.openxmlformats.org/officeDocument/2006/relationships/hyperlink" Id="rId30" Target="https://github.com/" TargetMode="External" /><Relationship Type="http://schemas.openxmlformats.org/officeDocument/2006/relationships/hyperlink" Id="rId22" Target="https://gitlab-scm.partners.org/drugepi/fair-epi" TargetMode="External" /><Relationship Type="http://schemas.openxmlformats.org/officeDocument/2006/relationships/hyperlink" Id="rId37" Target="https://gitlab-scm.partners.org/drugepi/harper" TargetMode="External" /><Relationship Type="http://schemas.openxmlformats.org/officeDocument/2006/relationships/hyperlink" Id="rId104"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29"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4" Target="https://sharing.nih.gov/data-management-and-sharing-policy/planning-and-budgeting-for-data-management-and-sharing/writing-a-data-management-and-sharing-plan#after" TargetMode="External" /><Relationship Type="http://schemas.openxmlformats.org/officeDocument/2006/relationships/hyperlink" Id="rId67" Target="https://www.R-project.org/" TargetMode="External" /><Relationship Type="http://schemas.openxmlformats.org/officeDocument/2006/relationships/hyperlink" Id="rId51" Target="https://www.fda.gov/downloads/ScienceResearch/SpecialTopics/RealWorldEvidence/UCM627769.pdf" TargetMode="External" /><Relationship Type="http://schemas.openxmlformats.org/officeDocument/2006/relationships/hyperlink" Id="rId112" Target="https://www.fda.gov/regulatory-information/search-fda-guidance-documents/considerations-use-real-world-data-and-real-world-evidence-support-regulatory-decision-making-drug" TargetMode="External" /><Relationship Type="http://schemas.openxmlformats.org/officeDocument/2006/relationships/hyperlink" Id="rId116" Target="https://www.pcori.org/about/governance/policy-data-management-and-data-sharing"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2023-07-03T22:47:04Z</dcterms:created>
  <dcterms:modified xsi:type="dcterms:W3CDTF">2023-07-03T22:47:04Z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