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94.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3,033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reports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1.3.353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meaningful real-world evidence (RWE) studies. Many advances have been made in the documentation and reporting of study protocols and results, but the version control and sharing of analytic code in RWE is not as established yet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workflows to facilitate reproducible analyses. We further discuss and showcase how these tools can be used to track changes, collaborate, disseminate and archive RWE studies through dedicated project repositories maintaining a complete audit trail of all relevant study documents.</w:t>
      </w:r>
    </w:p>
    <w:p>
      <w:r>
        <w:br w:type="page"/>
      </w:r>
    </w:p>
    <w:bookmarkEnd w:id="23"/>
    <w:bookmarkStart w:id="24" w:name="introduction"/>
    <w:p>
      <w:pPr>
        <w:pStyle w:val="Heading1"/>
      </w:pPr>
      <w:r>
        <w:t xml:space="preserve">1. Introduction</w:t>
      </w:r>
    </w:p>
    <w:p>
      <w:pPr>
        <w:pStyle w:val="FirstParagraph"/>
      </w:pPr>
      <w:r>
        <w:t xml:space="preserve">Transparency and reproducibility in conducting real-world evidence (RWE) studies are critical scientific requirements for meaningful research. While many advances have been made in the documentation and reporting of study protocols and results</w:t>
      </w:r>
      <w:r>
        <w:rPr>
          <w:vertAlign w:val="superscript"/>
        </w:rPr>
        <w:t xml:space="preserve">1–4</w:t>
      </w:r>
      <w:r>
        <w:t xml:space="preserve">, the transparency around the actual implementation and analytic steps is still significantly lacking, especially when analyses are implemented via line coding in statistical programming languages like R</w:t>
      </w:r>
      <w:r>
        <w:rPr>
          <w:vertAlign w:val="superscript"/>
        </w:rPr>
        <w:t xml:space="preserve">5</w:t>
      </w:r>
      <w:r>
        <w:t xml:space="preserve"> </w:t>
      </w:r>
      <w:r>
        <w:t xml:space="preserve">or Python. Although in other quantitative disciplines such as computational biology</w:t>
      </w:r>
      <w:r>
        <w:rPr>
          <w:vertAlign w:val="superscript"/>
        </w:rPr>
        <w:t xml:space="preserve">6–8</w:t>
      </w:r>
      <w:r>
        <w:t xml:space="preserve"> </w:t>
      </w:r>
      <w:r>
        <w:t xml:space="preserve">or health informatics</w:t>
      </w:r>
      <w:r>
        <w:rPr>
          <w:vertAlign w:val="superscript"/>
        </w:rPr>
        <w:t xml:space="preserve">9</w:t>
      </w:r>
      <w:r>
        <w:t xml:space="preserve">, the sharing of code is rather the rule than the exception, this practice is not as common in the (pharmaco-) epidemiological community.</w:t>
      </w:r>
    </w:p>
    <w:p>
      <w:pPr>
        <w:pStyle w:val="BodyText"/>
      </w:pPr>
      <w:r>
        <w:t xml:space="preserve">Version control systems (VCS), such as</w:t>
      </w:r>
      <w:r>
        <w:t xml:space="preserve"> </w:t>
      </w:r>
      <w:r>
        <w:rPr>
          <w:iCs/>
          <w:i/>
        </w:rPr>
        <w:t xml:space="preserve">Git</w:t>
      </w:r>
      <w:r>
        <w:t xml:space="preserve">, can thereby provide easy and powerful tools to keep track of the versioning of important files and documents such as protocols, analytic code, tables and figures. Thereby, it can extend the principles of</w:t>
      </w:r>
      <w:r>
        <w:t xml:space="preserve"> </w:t>
      </w:r>
      <w:r>
        <w:rPr>
          <w:iCs/>
          <w:i/>
        </w:rPr>
        <w:t xml:space="preserve">FAIR</w:t>
      </w:r>
      <w:r>
        <w:t xml:space="preserve"> </w:t>
      </w:r>
      <w:r>
        <w:rPr>
          <w:iCs/>
          <w:i/>
        </w:rPr>
        <w:t xml:space="preserve">data</w:t>
      </w:r>
      <w:r>
        <w:rPr>
          <w:vertAlign w:val="superscript"/>
        </w:rPr>
        <w:t xml:space="preserve">10</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all documents.</w:t>
      </w:r>
      <w:r>
        <w:rPr>
          <w:vertAlign w:val="superscript"/>
        </w:rPr>
        <w:t xml:space="preserve">11</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12</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13</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RStudio.app/Contents/Resources/app/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1"/>
              </w:numPr>
            </w:pPr>
            <w:r>
              <w:t xml:space="preserve">Is an open-source software and distributed version control system</w:t>
            </w:r>
          </w:p>
          <w:p>
            <w:pPr>
              <w:numPr>
                <w:ilvl w:val="0"/>
                <w:numId w:val="1001"/>
              </w:numPr>
            </w:pPr>
            <w:r>
              <w:t xml:space="preserve">Generally operated through command line tools, graphical user interfaces are available</w:t>
            </w:r>
          </w:p>
          <w:p>
            <w:pPr>
              <w:numPr>
                <w:ilvl w:val="0"/>
                <w:numId w:val="1001"/>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2"/>
              </w:numPr>
            </w:pPr>
            <w:r>
              <w:t xml:space="preserve">Web-based services, usually provided by a commercial entity</w:t>
            </w:r>
          </w:p>
          <w:p>
            <w:pPr>
              <w:numPr>
                <w:ilvl w:val="0"/>
                <w:numId w:val="1002"/>
              </w:numPr>
            </w:pPr>
            <w:r>
              <w:t xml:space="preserve">Usually free for basic functions, paid services for more advanced features</w:t>
            </w:r>
          </w:p>
          <w:p>
            <w:pPr>
              <w:numPr>
                <w:ilvl w:val="0"/>
                <w:numId w:val="1002"/>
              </w:numPr>
            </w:pPr>
            <w:r>
              <w:t xml:space="preserve">Needed to collaborate on shared repositories and dissemination of code</w:t>
            </w:r>
          </w:p>
          <w:p>
            <w:pPr>
              <w:numPr>
                <w:ilvl w:val="0"/>
                <w:numId w:val="1002"/>
              </w:numPr>
            </w:pPr>
            <w:r>
              <w:t xml:space="preserve">Offer a graphical user interface and other functionalities that complement basic Git functions</w:t>
            </w:r>
          </w:p>
        </w:tc>
      </w:tr>
    </w:tbl>
    <w:p>
      <w:pPr>
        <w:pStyle w:val="FirstParagraph"/>
      </w:pPr>
      <w:r>
        <w:t xml:space="preserve">These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13</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 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aftwerwards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4</w:t>
      </w:r>
      <w:r>
        <w:t xml:space="preserve"> </w:t>
      </w:r>
      <w:r>
        <w:t xml:space="preserve">under</w:t>
      </w:r>
      <w:r>
        <w:t xml:space="preserve"> </w:t>
      </w:r>
      <w:hyperlink r:id="rId37">
        <w:r>
          <w:rPr>
            <w:rStyle w:val="Hyperlink"/>
          </w:rPr>
          <w:t xml:space="preserve">https://gitlab-scm.partners.org/drugepi/harper</w:t>
        </w:r>
      </w:hyperlink>
      <w:r>
        <w:t xml:space="preserve">.</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14</w:t>
      </w:r>
      <w:r>
        <w:t xml:space="preserve"> </w:t>
      </w:r>
      <w:r>
        <w:t xml:space="preserve">or propensity score matching</w:t>
      </w:r>
      <w:r>
        <w:rPr>
          <w:vertAlign w:val="superscript"/>
        </w:rPr>
        <w:t xml:space="preserve">15</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16,17</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18</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to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19</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user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amount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12</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first commit or, more preferably, not storing them in the project directory in the first place.</w:t>
      </w:r>
    </w:p>
    <w:p>
      <w:pPr>
        <w:pStyle w:val="BodyText"/>
      </w:pPr>
      <w:r>
        <w:t xml:space="preserve">Despite the potential initial complexities to get acquanited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20</w:t>
      </w:r>
      <w:r>
        <w:t xml:space="preserve"> </w:t>
      </w:r>
      <w:r>
        <w:t xml:space="preserve">which makes shared code interoperable even without direct access to the raw data. Finally, code sharing can enable researchers to learn from each other, build trust</w:t>
      </w:r>
      <w:r>
        <w:rPr>
          <w:vertAlign w:val="superscript"/>
        </w:rPr>
        <w:t xml:space="preserve">21</w:t>
      </w:r>
      <w:r>
        <w:t xml:space="preserve">, expedite the uptake of novel methodologies and knowledge exchange and decrease unneccesary redundancies through sharing of code libraries, functions and algorithms.</w:t>
      </w:r>
    </w:p>
    <w:p>
      <w:r>
        <w:br w:type="page"/>
      </w:r>
    </w:p>
    <w:bookmarkEnd w:id="50"/>
    <w:bookmarkStart w:id="93" w:name="references"/>
    <w:p>
      <w:pPr>
        <w:pStyle w:val="Heading1"/>
      </w:pPr>
      <w:r>
        <w:t xml:space="preserve">References</w:t>
      </w:r>
    </w:p>
    <w:bookmarkStart w:id="92" w:name="refs"/>
    <w:bookmarkStart w:id="52" w:name="ref-wang2021"/>
    <w:p>
      <w:pPr>
        <w:pStyle w:val="Bibliography"/>
      </w:pPr>
      <w:r>
        <w:t xml:space="preserve">1.</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1">
        <w:r>
          <w:rPr>
            <w:rStyle w:val="Hyperlink"/>
          </w:rPr>
          <w:t xml:space="preserve">10.1136/bmj.m4856</w:t>
        </w:r>
      </w:hyperlink>
      <w:r>
        <w:t xml:space="preserve">.</w:t>
      </w:r>
    </w:p>
    <w:bookmarkEnd w:id="52"/>
    <w:bookmarkStart w:id="54" w:name="ref-schneeweiss2019"/>
    <w:p>
      <w:pPr>
        <w:pStyle w:val="Bibliography"/>
      </w:pPr>
      <w:r>
        <w:t xml:space="preserve">2.</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53">
        <w:r>
          <w:rPr>
            <w:rStyle w:val="Hyperlink"/>
          </w:rPr>
          <w:t xml:space="preserve">10.7326/m18-3079</w:t>
        </w:r>
      </w:hyperlink>
      <w:r>
        <w:t xml:space="preserve">.</w:t>
      </w:r>
    </w:p>
    <w:bookmarkEnd w:id="54"/>
    <w:bookmarkStart w:id="56" w:name="ref-berger2017"/>
    <w:p>
      <w:pPr>
        <w:pStyle w:val="Bibliography"/>
      </w:pPr>
      <w:r>
        <w:t xml:space="preserve">3.</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55">
        <w:r>
          <w:rPr>
            <w:rStyle w:val="Hyperlink"/>
          </w:rPr>
          <w:t xml:space="preserve">10.1002/pds.4297</w:t>
        </w:r>
      </w:hyperlink>
      <w:r>
        <w:t xml:space="preserve">.</w:t>
      </w:r>
    </w:p>
    <w:bookmarkEnd w:id="56"/>
    <w:bookmarkStart w:id="58" w:name="ref-wang2022"/>
    <w:p>
      <w:pPr>
        <w:pStyle w:val="Bibliography"/>
      </w:pPr>
      <w:r>
        <w:t xml:space="preserve">4.</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57">
        <w:r>
          <w:rPr>
            <w:rStyle w:val="Hyperlink"/>
          </w:rPr>
          <w:t xml:space="preserve">10.1002/pds.5507</w:t>
        </w:r>
      </w:hyperlink>
      <w:r>
        <w:t xml:space="preserve">.</w:t>
      </w:r>
    </w:p>
    <w:bookmarkEnd w:id="58"/>
    <w:bookmarkStart w:id="60" w:name="ref-RCore2023"/>
    <w:p>
      <w:pPr>
        <w:pStyle w:val="Bibliography"/>
      </w:pPr>
      <w:r>
        <w:t xml:space="preserve">5.</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59">
        <w:r>
          <w:rPr>
            <w:rStyle w:val="Hyperlink"/>
          </w:rPr>
          <w:t xml:space="preserve">https://www.R-project.org/</w:t>
        </w:r>
      </w:hyperlink>
      <w:r>
        <w:t xml:space="preserve">.</w:t>
      </w:r>
    </w:p>
    <w:bookmarkEnd w:id="60"/>
    <w:bookmarkStart w:id="62" w:name="ref-almugbel2017"/>
    <w:p>
      <w:pPr>
        <w:pStyle w:val="Bibliography"/>
      </w:pPr>
      <w:r>
        <w:t xml:space="preserve">6.</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1">
        <w:r>
          <w:rPr>
            <w:rStyle w:val="Hyperlink"/>
          </w:rPr>
          <w:t xml:space="preserve">10.1093/jamia/ocx120</w:t>
        </w:r>
      </w:hyperlink>
      <w:r>
        <w:t xml:space="preserve">.</w:t>
      </w:r>
    </w:p>
    <w:bookmarkEnd w:id="62"/>
    <w:bookmarkStart w:id="64" w:name="ref-mammoliti2021"/>
    <w:p>
      <w:pPr>
        <w:pStyle w:val="Bibliography"/>
      </w:pPr>
      <w:r>
        <w:t xml:space="preserve">7.</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63">
        <w:r>
          <w:rPr>
            <w:rStyle w:val="Hyperlink"/>
          </w:rPr>
          <w:t xml:space="preserve">10.1038/s41467-021-25974-w</w:t>
        </w:r>
      </w:hyperlink>
      <w:r>
        <w:t xml:space="preserve">.</w:t>
      </w:r>
    </w:p>
    <w:bookmarkEnd w:id="64"/>
    <w:bookmarkStart w:id="66" w:name="ref-russell2018"/>
    <w:p>
      <w:pPr>
        <w:pStyle w:val="Bibliography"/>
      </w:pPr>
      <w:r>
        <w:t xml:space="preserve">8.</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65">
        <w:r>
          <w:rPr>
            <w:rStyle w:val="Hyperlink"/>
          </w:rPr>
          <w:t xml:space="preserve">10.1371/journal.pone.0205898</w:t>
        </w:r>
      </w:hyperlink>
      <w:r>
        <w:t xml:space="preserve">.</w:t>
      </w:r>
    </w:p>
    <w:bookmarkEnd w:id="66"/>
    <w:bookmarkStart w:id="68" w:name="ref-bakken2019"/>
    <w:p>
      <w:pPr>
        <w:pStyle w:val="Bibliography"/>
      </w:pPr>
      <w:r>
        <w:t xml:space="preserve">9.</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67">
        <w:r>
          <w:rPr>
            <w:rStyle w:val="Hyperlink"/>
          </w:rPr>
          <w:t xml:space="preserve">10.1093/jamia/ocz007</w:t>
        </w:r>
      </w:hyperlink>
      <w:r>
        <w:t xml:space="preserve">.</w:t>
      </w:r>
    </w:p>
    <w:bookmarkEnd w:id="68"/>
    <w:bookmarkStart w:id="70" w:name="ref-garcía-closas2023"/>
    <w:p>
      <w:pPr>
        <w:pStyle w:val="Bibliography"/>
      </w:pPr>
      <w:r>
        <w:t xml:space="preserve">10.</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69">
        <w:r>
          <w:rPr>
            <w:rStyle w:val="Hyperlink"/>
          </w:rPr>
          <w:t xml:space="preserve">10.1093/aje/kwad040</w:t>
        </w:r>
      </w:hyperlink>
      <w:r>
        <w:t xml:space="preserve">.</w:t>
      </w:r>
    </w:p>
    <w:bookmarkEnd w:id="70"/>
    <w:bookmarkStart w:id="72" w:name="ref-ram2013"/>
    <w:p>
      <w:pPr>
        <w:pStyle w:val="Bibliography"/>
      </w:pPr>
      <w:r>
        <w:t xml:space="preserve">11.</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71">
        <w:r>
          <w:rPr>
            <w:rStyle w:val="Hyperlink"/>
          </w:rPr>
          <w:t xml:space="preserve">10.1186/1751-0473-8-7</w:t>
        </w:r>
      </w:hyperlink>
      <w:r>
        <w:t xml:space="preserve">.</w:t>
      </w:r>
    </w:p>
    <w:bookmarkEnd w:id="72"/>
    <w:bookmarkStart w:id="74" w:name="ref-blischak2016"/>
    <w:p>
      <w:pPr>
        <w:pStyle w:val="Bibliography"/>
      </w:pPr>
      <w:r>
        <w:t xml:space="preserve">12.</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73">
        <w:r>
          <w:rPr>
            <w:rStyle w:val="Hyperlink"/>
          </w:rPr>
          <w:t xml:space="preserve">10.1371/journal.pcbi.1004668</w:t>
        </w:r>
      </w:hyperlink>
      <w:r>
        <w:t xml:space="preserve">.</w:t>
      </w:r>
    </w:p>
    <w:bookmarkEnd w:id="74"/>
    <w:bookmarkStart w:id="75" w:name="ref-chacon2014pro"/>
    <w:p>
      <w:pPr>
        <w:pStyle w:val="Bibliography"/>
      </w:pPr>
      <w:r>
        <w:t xml:space="preserve">13.</w:t>
      </w:r>
      <w:r>
        <w:t xml:space="preserve"> </w:t>
      </w:r>
      <w:r>
        <w:t xml:space="preserve">	</w:t>
      </w:r>
      <w:r>
        <w:t xml:space="preserve">Chacon S, Straub B.</w:t>
      </w:r>
      <w:r>
        <w:t xml:space="preserve"> </w:t>
      </w:r>
      <w:r>
        <w:rPr>
          <w:iCs/>
          <w:i/>
        </w:rPr>
        <w:t xml:space="preserve">Pro git</w:t>
      </w:r>
      <w:r>
        <w:t xml:space="preserve">. Springer Nature, 2014.</w:t>
      </w:r>
    </w:p>
    <w:bookmarkEnd w:id="75"/>
    <w:bookmarkStart w:id="77" w:name="ref-tidyverse"/>
    <w:p>
      <w:pPr>
        <w:pStyle w:val="Bibliography"/>
      </w:pPr>
      <w:r>
        <w:t xml:space="preserve">14.</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76">
        <w:r>
          <w:rPr>
            <w:rStyle w:val="Hyperlink"/>
          </w:rPr>
          <w:t xml:space="preserve">10.21105/joss.01686</w:t>
        </w:r>
      </w:hyperlink>
      <w:r>
        <w:t xml:space="preserve">.</w:t>
      </w:r>
    </w:p>
    <w:bookmarkEnd w:id="77"/>
    <w:bookmarkStart w:id="79" w:name="ref-MatchIt"/>
    <w:p>
      <w:pPr>
        <w:pStyle w:val="Bibliography"/>
      </w:pPr>
      <w:r>
        <w:t xml:space="preserve">15.</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78">
        <w:r>
          <w:rPr>
            <w:rStyle w:val="Hyperlink"/>
          </w:rPr>
          <w:t xml:space="preserve">10.18637/jss.v042.i08</w:t>
        </w:r>
      </w:hyperlink>
      <w:r>
        <w:t xml:space="preserve">.</w:t>
      </w:r>
    </w:p>
    <w:bookmarkEnd w:id="79"/>
    <w:bookmarkStart w:id="81" w:name="ref-boettiger2017a"/>
    <w:p>
      <w:pPr>
        <w:pStyle w:val="Bibliography"/>
      </w:pPr>
      <w:r>
        <w:t xml:space="preserve">16.</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80">
        <w:r>
          <w:rPr>
            <w:rStyle w:val="Hyperlink"/>
          </w:rPr>
          <w:t xml:space="preserve">10.32614/rj-2017-065</w:t>
        </w:r>
      </w:hyperlink>
      <w:r>
        <w:t xml:space="preserve">.</w:t>
      </w:r>
    </w:p>
    <w:bookmarkEnd w:id="81"/>
    <w:bookmarkStart w:id="83" w:name="ref-nüst2020"/>
    <w:p>
      <w:pPr>
        <w:pStyle w:val="Bibliography"/>
      </w:pPr>
      <w:r>
        <w:t xml:space="preserve">17.</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82">
        <w:r>
          <w:rPr>
            <w:rStyle w:val="Hyperlink"/>
          </w:rPr>
          <w:t xml:space="preserve">10.32614/rj-2020-007</w:t>
        </w:r>
      </w:hyperlink>
      <w:r>
        <w:t xml:space="preserve">.</w:t>
      </w:r>
    </w:p>
    <w:bookmarkEnd w:id="83"/>
    <w:bookmarkStart w:id="85" w:name="ref-renv"/>
    <w:p>
      <w:pPr>
        <w:pStyle w:val="Bibliography"/>
      </w:pPr>
      <w:r>
        <w:t xml:space="preserve">18.</w:t>
      </w:r>
      <w:r>
        <w:t xml:space="preserve"> </w:t>
      </w:r>
      <w:r>
        <w:t xml:space="preserve">	</w:t>
      </w:r>
      <w:r>
        <w:t xml:space="preserve">Ushey K. Renv: Project environments. 2022. Available at:</w:t>
      </w:r>
      <w:r>
        <w:t xml:space="preserve"> </w:t>
      </w:r>
      <w:hyperlink r:id="rId84">
        <w:r>
          <w:rPr>
            <w:rStyle w:val="Hyperlink"/>
          </w:rPr>
          <w:t xml:space="preserve">https://CRAN.R-project.org/package=renv</w:t>
        </w:r>
      </w:hyperlink>
      <w:r>
        <w:t xml:space="preserve">.</w:t>
      </w:r>
    </w:p>
    <w:bookmarkEnd w:id="85"/>
    <w:bookmarkStart w:id="87" w:name="ref-here"/>
    <w:p>
      <w:pPr>
        <w:pStyle w:val="Bibliography"/>
      </w:pPr>
      <w:r>
        <w:t xml:space="preserve">19.</w:t>
      </w:r>
      <w:r>
        <w:t xml:space="preserve"> </w:t>
      </w:r>
      <w:r>
        <w:t xml:space="preserve">	</w:t>
      </w:r>
      <w:r>
        <w:t xml:space="preserve">Müller K. Here: A simpler way to find your files. 2020. Available at:</w:t>
      </w:r>
      <w:r>
        <w:t xml:space="preserve"> </w:t>
      </w:r>
      <w:hyperlink r:id="rId86">
        <w:r>
          <w:rPr>
            <w:rStyle w:val="Hyperlink"/>
          </w:rPr>
          <w:t xml:space="preserve">https://CRAN.R-project.org/package=here</w:t>
        </w:r>
      </w:hyperlink>
      <w:r>
        <w:t xml:space="preserve">.</w:t>
      </w:r>
    </w:p>
    <w:bookmarkEnd w:id="87"/>
    <w:bookmarkStart w:id="89" w:name="ref-ohdsi2019book"/>
    <w:p>
      <w:pPr>
        <w:pStyle w:val="Bibliography"/>
      </w:pPr>
      <w:r>
        <w:t xml:space="preserve">20.</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88">
        <w:r>
          <w:rPr>
            <w:rStyle w:val="Hyperlink"/>
          </w:rPr>
          <w:t xml:space="preserve">https://ohdsi.github.io/TheBookOfOhdsi/</w:t>
        </w:r>
      </w:hyperlink>
      <w:r>
        <w:t xml:space="preserve">.</w:t>
      </w:r>
    </w:p>
    <w:bookmarkEnd w:id="89"/>
    <w:bookmarkStart w:id="91" w:name="ref-orsini2020"/>
    <w:p>
      <w:pPr>
        <w:pStyle w:val="Bibliography"/>
      </w:pPr>
      <w:r>
        <w:t xml:space="preserve">21.</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w:t>
      </w:r>
      <w:r>
        <w:t xml:space="preserve">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90">
        <w:r>
          <w:rPr>
            <w:rStyle w:val="Hyperlink"/>
          </w:rPr>
          <w:t xml:space="preserve">10.1002/pds.5079</w:t>
        </w:r>
      </w:hyperlink>
      <w:r>
        <w:t xml:space="preserve">.</w:t>
      </w:r>
    </w:p>
    <w:bookmarkEnd w:id="91"/>
    <w:bookmarkEnd w:id="92"/>
    <w:p>
      <w:r>
        <w:br w:type="page"/>
      </w:r>
    </w:p>
    <w:bookmarkEnd w:id="93"/>
    <w:bookmarkStart w:id="11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97" w:name="fig-RStudio-gui"/>
          <w:p>
            <w:pPr>
              <w:jc w:val="center"/>
            </w:pPr>
            <w:r>
              <w:drawing>
                <wp:inline>
                  <wp:extent cx="2971800" cy="7102415"/>
                  <wp:effectExtent b="0" l="0" r="0" t="0"/>
                  <wp:docPr descr="" title="" id="95" name="Picture"/>
                  <a:graphic>
                    <a:graphicData uri="http://schemas.openxmlformats.org/drawingml/2006/picture">
                      <pic:pic>
                        <pic:nvPicPr>
                          <pic:cNvPr descr="../figures/Figure_1_RStudio_init.png" id="96" name="Picture"/>
                          <pic:cNvPicPr>
                            <a:picLocks noChangeArrowheads="1" noChangeAspect="1"/>
                          </pic:cNvPicPr>
                        </pic:nvPicPr>
                        <pic:blipFill>
                          <a:blip r:embed="rId94"/>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97"/>
        </w:tc>
      </w:tr>
    </w:tbl>
    <w:p>
      <w:r>
        <w:br w:type="page"/>
      </w:r>
    </w:p>
    <w:tbl>
      <w:tblPr>
        <w:tblStyle w:val="Table"/>
        <w:tblW w:type="pct" w:w="5000"/>
        <w:tblLook w:firstRow="0" w:lastRow="0" w:firstColumn="0" w:lastColumn="0" w:noHBand="0" w:noVBand="0" w:val="0000"/>
        <w:jc w:val="start"/>
      </w:tblPr>
      <w:tblGrid>
        <w:gridCol w:w="7920"/>
      </w:tblGrid>
      <w:tr>
        <w:tc>
          <w:tcPr/>
          <w:bookmarkStart w:id="101" w:name="fig-structure"/>
          <w:p>
            <w:pPr>
              <w:jc w:val="center"/>
            </w:pPr>
            <w:r>
              <w:drawing>
                <wp:inline>
                  <wp:extent cx="3566160" cy="5823377"/>
                  <wp:effectExtent b="0" l="0" r="0" t="0"/>
                  <wp:docPr descr="" title="" id="99" name="Picture"/>
                  <a:graphic>
                    <a:graphicData uri="http://schemas.openxmlformats.org/drawingml/2006/picture">
                      <pic:pic>
                        <pic:nvPicPr>
                          <pic:cNvPr descr="../figures/Figure_2_repo_structure.png" id="100" name="Picture"/>
                          <pic:cNvPicPr>
                            <a:picLocks noChangeArrowheads="1" noChangeAspect="1"/>
                          </pic:cNvPicPr>
                        </pic:nvPicPr>
                        <pic:blipFill>
                          <a:blip r:embed="rId98"/>
                          <a:stretch>
                            <a:fillRect/>
                          </a:stretch>
                        </pic:blipFill>
                        <pic:spPr bwMode="auto">
                          <a:xfrm>
                            <a:off x="0" y="0"/>
                            <a:ext cx="3566160" cy="58233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w:t>
            </w:r>
          </w:p>
          <w:bookmarkEnd w:id="101"/>
        </w:tc>
      </w:tr>
    </w:tbl>
    <w:p>
      <w:r>
        <w:br w:type="page"/>
      </w:r>
    </w:p>
    <w:tbl>
      <w:tblPr>
        <w:tblStyle w:val="Table"/>
        <w:tblW w:type="pct" w:w="5000"/>
        <w:tblLook w:firstRow="0" w:lastRow="0" w:firstColumn="0" w:lastColumn="0" w:noHBand="0" w:noVBand="0" w:val="0000"/>
        <w:jc w:val="start"/>
      </w:tblPr>
      <w:tblGrid>
        <w:gridCol w:w="7920"/>
      </w:tblGrid>
      <w:tr>
        <w:tc>
          <w:tcPr/>
          <w:bookmarkStart w:id="105" w:name="fig-workflow"/>
          <w:p>
            <w:pPr>
              <w:jc w:val="center"/>
            </w:pPr>
            <w:r>
              <w:drawing>
                <wp:inline>
                  <wp:extent cx="5943600" cy="4301154"/>
                  <wp:effectExtent b="0" l="0" r="0" t="0"/>
                  <wp:docPr descr="" title="" id="103" name="Picture"/>
                  <a:graphic>
                    <a:graphicData uri="http://schemas.openxmlformats.org/drawingml/2006/picture">
                      <pic:pic>
                        <pic:nvPicPr>
                          <pic:cNvPr descr="../figures/Figure_3_workflow.png" id="104" name="Picture"/>
                          <pic:cNvPicPr>
                            <a:picLocks noChangeArrowheads="1" noChangeAspect="1"/>
                          </pic:cNvPicPr>
                        </pic:nvPicPr>
                        <pic:blipFill>
                          <a:blip r:embed="rId102"/>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05"/>
        </w:tc>
      </w:tr>
    </w:tbl>
    <w:p>
      <w:r>
        <w:br w:type="page"/>
      </w:r>
    </w:p>
    <w:tbl>
      <w:tblPr>
        <w:tblStyle w:val="Table"/>
        <w:tblW w:type="pct" w:w="5000"/>
        <w:tblLook w:firstRow="0" w:lastRow="0" w:firstColumn="0" w:lastColumn="0" w:noHBand="0" w:noVBand="0" w:val="0000"/>
        <w:jc w:val="start"/>
      </w:tblPr>
      <w:tblGrid>
        <w:gridCol w:w="7920"/>
      </w:tblGrid>
      <w:tr>
        <w:tc>
          <w:tcPr/>
          <w:bookmarkStart w:id="109" w:name="fig-stage-commit-RStudio-gui"/>
          <w:p>
            <w:pPr>
              <w:jc w:val="center"/>
            </w:pPr>
            <w:r>
              <w:drawing>
                <wp:inline>
                  <wp:extent cx="5943600" cy="3043123"/>
                  <wp:effectExtent b="0" l="0" r="0" t="0"/>
                  <wp:docPr descr="" title="" id="107" name="Picture"/>
                  <a:graphic>
                    <a:graphicData uri="http://schemas.openxmlformats.org/drawingml/2006/picture">
                      <pic:pic>
                        <pic:nvPicPr>
                          <pic:cNvPr descr="../figures/Figure_4_stage_commit.png" id="108" name="Picture"/>
                          <pic:cNvPicPr>
                            <a:picLocks noChangeArrowheads="1" noChangeAspect="1"/>
                          </pic:cNvPicPr>
                        </pic:nvPicPr>
                        <pic:blipFill>
                          <a:blip r:embed="rId106"/>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09"/>
        </w:tc>
      </w:tr>
    </w:tbl>
    <w:p>
      <w:r>
        <w:br w:type="page"/>
      </w:r>
    </w:p>
    <w:tbl>
      <w:tblPr>
        <w:tblStyle w:val="Table"/>
        <w:tblW w:type="pct" w:w="5000"/>
        <w:tblLook w:firstRow="0" w:lastRow="0" w:firstColumn="0" w:lastColumn="0" w:noHBand="0" w:noVBand="0" w:val="0000"/>
        <w:jc w:val="start"/>
      </w:tblPr>
      <w:tblGrid>
        <w:gridCol w:w="7920"/>
      </w:tblGrid>
      <w:tr>
        <w:tc>
          <w:tcPr/>
          <w:bookmarkStart w:id="113" w:name="fig-collaborate"/>
          <w:p>
            <w:pPr>
              <w:jc w:val="center"/>
            </w:pPr>
            <w:r>
              <w:drawing>
                <wp:inline>
                  <wp:extent cx="5943600" cy="3343275"/>
                  <wp:effectExtent b="0" l="0" r="0" t="0"/>
                  <wp:docPr descr="" title="" id="111" name="Picture"/>
                  <a:graphic>
                    <a:graphicData uri="http://schemas.openxmlformats.org/drawingml/2006/picture">
                      <pic:pic>
                        <pic:nvPicPr>
                          <pic:cNvPr descr="../figures/Figure_5_collaboration.png" id="112" name="Picture"/>
                          <pic:cNvPicPr>
                            <a:picLocks noChangeArrowheads="1" noChangeAspect="1"/>
                          </pic:cNvPicPr>
                        </pic:nvPicPr>
                        <pic:blipFill>
                          <a:blip r:embed="rId110"/>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13"/>
        </w:tc>
      </w:tr>
    </w:tbl>
    <w:p>
      <w:r>
        <w:br w:type="page"/>
      </w:r>
    </w:p>
    <w:tbl>
      <w:tblPr>
        <w:tblStyle w:val="Table"/>
        <w:tblW w:type="pct" w:w="5000"/>
        <w:tblLook w:firstRow="0" w:lastRow="0" w:firstColumn="0" w:lastColumn="0" w:noHBand="0" w:noVBand="0" w:val="0000"/>
        <w:jc w:val="start"/>
      </w:tblPr>
      <w:tblGrid>
        <w:gridCol w:w="7920"/>
      </w:tblGrid>
      <w:tr>
        <w:tc>
          <w:tcPr/>
          <w:bookmarkStart w:id="117" w:name="fig-GitHub-gui_changes"/>
          <w:p>
            <w:pPr>
              <w:jc w:val="center"/>
            </w:pPr>
            <w:r>
              <w:drawing>
                <wp:inline>
                  <wp:extent cx="6240780" cy="4820770"/>
                  <wp:effectExtent b="0" l="0" r="0" t="0"/>
                  <wp:docPr descr="" title="" id="115" name="Picture"/>
                  <a:graphic>
                    <a:graphicData uri="http://schemas.openxmlformats.org/drawingml/2006/picture">
                      <pic:pic>
                        <pic:nvPicPr>
                          <pic:cNvPr descr="../figures/Figure_6_commit_GitHub_gui.png" id="116" name="Picture"/>
                          <pic:cNvPicPr>
                            <a:picLocks noChangeArrowheads="1" noChangeAspect="1"/>
                          </pic:cNvPicPr>
                        </pic:nvPicPr>
                        <pic:blipFill>
                          <a:blip r:embed="rId114"/>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hash and message), a side-by-side comparison of the previous (upper left) and modified (upper right) version of the figure and the corresponding changes made to the R code (bottom).</w:t>
            </w:r>
          </w:p>
          <w:bookmarkEnd w:id="117"/>
        </w:tc>
      </w:tr>
    </w:tbl>
    <w:bookmarkEnd w:id="118"/>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25" Target="media/rId25.png" /><Relationship Type="http://schemas.openxmlformats.org/officeDocument/2006/relationships/hyperlink" Id="rId86" Target="https://CRAN.R-project.org/package=here" TargetMode="External" /><Relationship Type="http://schemas.openxmlformats.org/officeDocument/2006/relationships/hyperlink" Id="rId84"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90"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69"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7"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1" Target="https://doi.org/10.1186/1751-0473-8-7" TargetMode="External" /><Relationship Type="http://schemas.openxmlformats.org/officeDocument/2006/relationships/hyperlink" Id="rId73" Target="https://doi.org/10.1371/journal.pcbi.1004668" TargetMode="External" /><Relationship Type="http://schemas.openxmlformats.org/officeDocument/2006/relationships/hyperlink" Id="rId65" Target="https://doi.org/10.1371/journal.pone.0205898" TargetMode="External" /><Relationship Type="http://schemas.openxmlformats.org/officeDocument/2006/relationships/hyperlink" Id="rId78" Target="https://doi.org/10.18637/jss.v042.i08" TargetMode="External" /><Relationship Type="http://schemas.openxmlformats.org/officeDocument/2006/relationships/hyperlink" Id="rId76" Target="https://doi.org/10.21105/joss.01686" TargetMode="External" /><Relationship Type="http://schemas.openxmlformats.org/officeDocument/2006/relationships/hyperlink" Id="rId80" Target="https://doi.org/10.32614/rj-2017-065" TargetMode="External" /><Relationship Type="http://schemas.openxmlformats.org/officeDocument/2006/relationships/hyperlink" Id="rId82"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88"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86" Target="https://CRAN.R-project.org/package=here" TargetMode="External" /><Relationship Type="http://schemas.openxmlformats.org/officeDocument/2006/relationships/hyperlink" Id="rId84"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90"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69"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7"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1" Target="https://doi.org/10.1186/1751-0473-8-7" TargetMode="External" /><Relationship Type="http://schemas.openxmlformats.org/officeDocument/2006/relationships/hyperlink" Id="rId73" Target="https://doi.org/10.1371/journal.pcbi.1004668" TargetMode="External" /><Relationship Type="http://schemas.openxmlformats.org/officeDocument/2006/relationships/hyperlink" Id="rId65" Target="https://doi.org/10.1371/journal.pone.0205898" TargetMode="External" /><Relationship Type="http://schemas.openxmlformats.org/officeDocument/2006/relationships/hyperlink" Id="rId78" Target="https://doi.org/10.18637/jss.v042.i08" TargetMode="External" /><Relationship Type="http://schemas.openxmlformats.org/officeDocument/2006/relationships/hyperlink" Id="rId76" Target="https://doi.org/10.21105/joss.01686" TargetMode="External" /><Relationship Type="http://schemas.openxmlformats.org/officeDocument/2006/relationships/hyperlink" Id="rId80" Target="https://doi.org/10.32614/rj-2017-065" TargetMode="External" /><Relationship Type="http://schemas.openxmlformats.org/officeDocument/2006/relationships/hyperlink" Id="rId82"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88"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2023-06-30T16:55:39Z</dcterms:created>
  <dcterms:modified xsi:type="dcterms:W3CDTF">2023-06-30T16:55:39Z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