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4,309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thought of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RStudio.app/Contents/Resources/app/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0"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platforms,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2"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the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End w:id="42"/>
    <w:bookmarkStart w:id="43" w:name="sec-tags"/>
    <w:p>
      <w:pPr>
        <w:pStyle w:val="Heading3"/>
      </w:pPr>
      <w:r>
        <w:t xml:space="preserve">3.5.3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a regulatory submission or the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3"/>
    <w:bookmarkEnd w:id="44"/>
    <w:bookmarkStart w:id="46"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3.5.3</w:t>
        </w:r>
      </w:hyperlink>
      <w:r>
        <w:t xml:space="preserve">, need to be separately pushed, e.g.,</w:t>
      </w:r>
    </w:p>
    <w:p>
      <w:pPr>
        <w:pStyle w:val="SourceCode"/>
      </w:pPr>
      <w:r>
        <w:rPr>
          <w:rStyle w:val="FunctionTok"/>
        </w:rPr>
        <w:t xml:space="preserve">git</w:t>
      </w:r>
      <w:r>
        <w:rPr>
          <w:rStyle w:val="NormalTok"/>
        </w:rPr>
        <w:t xml:space="preserve"> push origin v2.0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End w:id="46"/>
    <w:bookmarkStart w:id="47"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7"/>
    <w:bookmarkStart w:id="48"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8"/>
    <w:bookmarkStart w:id="49"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that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file</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 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repository platforms are appropriately configured, granting only necessary access levels to collaborators unless it is intended to share the repository with the public. All major remote repositories offer the option to configure a repository to be private or public.</w:t>
      </w:r>
    </w:p>
    <w:bookmarkEnd w:id="49"/>
    <w:bookmarkEnd w:id="50"/>
    <w:bookmarkStart w:id="51"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along with the source data is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Moreover, many larger research data sources have already provided synthetic data using identical formats and variable names while protecting patient privacy (e.g., Medicare Claims Synthetic Public Use Files).</w:t>
      </w:r>
      <w:r>
        <w:rPr>
          <w:vertAlign w:val="superscript"/>
        </w:rPr>
        <w:t xml:space="preserve">31</w:t>
      </w:r>
      <w:r>
        <w:t xml:space="preserve"> </w:t>
      </w:r>
      <w:r>
        <w:t xml:space="preserve">Authors may also include a sample of dummy data to give readers a better understanding of the underlying source code and enhance transparency, but, by definition, reproducibility can only be achieved by having access to real data.</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1"/>
    <w:bookmarkStart w:id="124" w:name="references"/>
    <w:p>
      <w:pPr>
        <w:pStyle w:val="Heading1"/>
      </w:pPr>
      <w:r>
        <w:t xml:space="preserve">References</w:t>
      </w:r>
    </w:p>
    <w:bookmarkStart w:id="123" w:name="refs"/>
    <w:bookmarkStart w:id="53"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2">
        <w:r>
          <w:rPr>
            <w:rStyle w:val="Hyperlink"/>
          </w:rPr>
          <w:t xml:space="preserve">https://www.fda.gov/downloads/ScienceResearch/SpecialTopics/RealWorldEvidence/UCM627769.pdf</w:t>
        </w:r>
      </w:hyperlink>
      <w:r>
        <w:t xml:space="preserve">.</w:t>
      </w:r>
    </w:p>
    <w:bookmarkEnd w:id="53"/>
    <w:bookmarkStart w:id="55"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4">
        <w:r>
          <w:rPr>
            <w:rStyle w:val="Hyperlink"/>
          </w:rPr>
          <w:t xml:space="preserve">10.1002/cpt.59</w:t>
        </w:r>
      </w:hyperlink>
      <w:r>
        <w:t xml:space="preserve">.</w:t>
      </w:r>
    </w:p>
    <w:bookmarkEnd w:id="55"/>
    <w:bookmarkStart w:id="57"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6">
        <w:r>
          <w:rPr>
            <w:rStyle w:val="Hyperlink"/>
          </w:rPr>
          <w:t xml:space="preserve">https://cioms.ch/wp-content/uploads/2020/03/CIOMS-WG-XIII_6June2023_Draft-report-for-comment-1.pdfA</w:t>
        </w:r>
      </w:hyperlink>
      <w:r>
        <w:t xml:space="preserve">.</w:t>
      </w:r>
    </w:p>
    <w:bookmarkEnd w:id="57"/>
    <w:bookmarkStart w:id="59"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8">
        <w:r>
          <w:rPr>
            <w:rStyle w:val="Hyperlink"/>
          </w:rPr>
          <w:t xml:space="preserve">10.1016/j.jval.2016.12.003</w:t>
        </w:r>
      </w:hyperlink>
      <w:r>
        <w:t xml:space="preserve">.</w:t>
      </w:r>
    </w:p>
    <w:bookmarkEnd w:id="59"/>
    <w:bookmarkStart w:id="61"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0">
        <w:r>
          <w:rPr>
            <w:rStyle w:val="Hyperlink"/>
          </w:rPr>
          <w:t xml:space="preserve">10.1136/bmj.m4856</w:t>
        </w:r>
      </w:hyperlink>
      <w:r>
        <w:t xml:space="preserve">.</w:t>
      </w:r>
    </w:p>
    <w:bookmarkEnd w:id="61"/>
    <w:bookmarkStart w:id="63"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2">
        <w:r>
          <w:rPr>
            <w:rStyle w:val="Hyperlink"/>
          </w:rPr>
          <w:t xml:space="preserve">10.7326/m18-3079</w:t>
        </w:r>
      </w:hyperlink>
      <w:r>
        <w:t xml:space="preserve">.</w:t>
      </w:r>
    </w:p>
    <w:bookmarkEnd w:id="63"/>
    <w:bookmarkStart w:id="65"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4">
        <w:r>
          <w:rPr>
            <w:rStyle w:val="Hyperlink"/>
          </w:rPr>
          <w:t xml:space="preserve">10.1002/pds.4297</w:t>
        </w:r>
      </w:hyperlink>
      <w:r>
        <w:t xml:space="preserve">.</w:t>
      </w:r>
    </w:p>
    <w:bookmarkEnd w:id="65"/>
    <w:bookmarkStart w:id="67"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6">
        <w:r>
          <w:rPr>
            <w:rStyle w:val="Hyperlink"/>
          </w:rPr>
          <w:t xml:space="preserve">10.1002/pds.5507</w:t>
        </w:r>
      </w:hyperlink>
      <w:r>
        <w:t xml:space="preserve">.</w:t>
      </w:r>
    </w:p>
    <w:bookmarkEnd w:id="67"/>
    <w:bookmarkStart w:id="69"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8">
        <w:r>
          <w:rPr>
            <w:rStyle w:val="Hyperlink"/>
          </w:rPr>
          <w:t xml:space="preserve">10.1093/jamia/ocx120</w:t>
        </w:r>
      </w:hyperlink>
      <w:r>
        <w:t xml:space="preserve">.</w:t>
      </w:r>
    </w:p>
    <w:bookmarkEnd w:id="69"/>
    <w:bookmarkStart w:id="71"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0">
        <w:r>
          <w:rPr>
            <w:rStyle w:val="Hyperlink"/>
          </w:rPr>
          <w:t xml:space="preserve">10.1038/s41467-021-25974-w</w:t>
        </w:r>
      </w:hyperlink>
      <w:r>
        <w:t xml:space="preserve">.</w:t>
      </w:r>
    </w:p>
    <w:bookmarkEnd w:id="71"/>
    <w:bookmarkStart w:id="73"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2">
        <w:r>
          <w:rPr>
            <w:rStyle w:val="Hyperlink"/>
          </w:rPr>
          <w:t xml:space="preserve">10.1371/journal.pone.0205898</w:t>
        </w:r>
      </w:hyperlink>
      <w:r>
        <w:t xml:space="preserve">.</w:t>
      </w:r>
    </w:p>
    <w:bookmarkEnd w:id="73"/>
    <w:bookmarkStart w:id="75"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4">
        <w:r>
          <w:rPr>
            <w:rStyle w:val="Hyperlink"/>
          </w:rPr>
          <w:t xml:space="preserve">10.1371/journal.pcbi.1004947</w:t>
        </w:r>
      </w:hyperlink>
      <w:r>
        <w:t xml:space="preserve">.</w:t>
      </w:r>
    </w:p>
    <w:bookmarkEnd w:id="75"/>
    <w:bookmarkStart w:id="77"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6">
        <w:r>
          <w:rPr>
            <w:rStyle w:val="Hyperlink"/>
          </w:rPr>
          <w:t xml:space="preserve">10.1093/jamia/ocz007</w:t>
        </w:r>
      </w:hyperlink>
      <w:r>
        <w:t xml:space="preserve">.</w:t>
      </w:r>
    </w:p>
    <w:bookmarkEnd w:id="77"/>
    <w:bookmarkStart w:id="79" w:name="ref-pharmaverse2023"/>
    <w:p>
      <w:pPr>
        <w:pStyle w:val="Bibliography"/>
      </w:pPr>
      <w:r>
        <w:t xml:space="preserve">14.</w:t>
      </w:r>
      <w:r>
        <w:t xml:space="preserve"> </w:t>
      </w:r>
      <w:r>
        <w:t xml:space="preserve">	</w:t>
      </w:r>
      <w:r>
        <w:t xml:space="preserve">Pharmaverse. Accessed 6/30/2023. Available at:</w:t>
      </w:r>
      <w:r>
        <w:t xml:space="preserve"> </w:t>
      </w:r>
      <w:hyperlink r:id="rId78">
        <w:r>
          <w:rPr>
            <w:rStyle w:val="Hyperlink"/>
          </w:rPr>
          <w:t xml:space="preserve">https://pharmaverse.org/</w:t>
        </w:r>
      </w:hyperlink>
      <w:r>
        <w:t xml:space="preserve">.</w:t>
      </w:r>
    </w:p>
    <w:bookmarkEnd w:id="79"/>
    <w:bookmarkStart w:id="81"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0">
        <w:r>
          <w:rPr>
            <w:rStyle w:val="Hyperlink"/>
          </w:rPr>
          <w:t xml:space="preserve">https://posit.co/blog/fda-shiny-r-package-submissions/</w:t>
        </w:r>
      </w:hyperlink>
      <w:r>
        <w:t xml:space="preserve">.</w:t>
      </w:r>
    </w:p>
    <w:bookmarkEnd w:id="81"/>
    <w:bookmarkStart w:id="83"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2">
        <w:r>
          <w:rPr>
            <w:rStyle w:val="Hyperlink"/>
          </w:rPr>
          <w:t xml:space="preserve">10.1093/aje/kwad040</w:t>
        </w:r>
      </w:hyperlink>
      <w:r>
        <w:t xml:space="preserve">.</w:t>
      </w:r>
    </w:p>
    <w:bookmarkEnd w:id="83"/>
    <w:bookmarkStart w:id="85"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4">
        <w:r>
          <w:rPr>
            <w:rStyle w:val="Hyperlink"/>
          </w:rPr>
          <w:t xml:space="preserve">10.1186/1751-0473-8-7</w:t>
        </w:r>
      </w:hyperlink>
      <w:r>
        <w:t xml:space="preserve">.</w:t>
      </w:r>
    </w:p>
    <w:bookmarkEnd w:id="85"/>
    <w:bookmarkStart w:id="87"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6">
        <w:r>
          <w:rPr>
            <w:rStyle w:val="Hyperlink"/>
          </w:rPr>
          <w:t xml:space="preserve">10.1371/journal.pcbi.1004668</w:t>
        </w:r>
      </w:hyperlink>
      <w:r>
        <w:t xml:space="preserve">.</w:t>
      </w:r>
    </w:p>
    <w:bookmarkEnd w:id="87"/>
    <w:bookmarkStart w:id="88"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8"/>
    <w:bookmarkStart w:id="90"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89">
        <w:r>
          <w:rPr>
            <w:rStyle w:val="Hyperlink"/>
          </w:rPr>
          <w:t xml:space="preserve">10.1002/pds.4295</w:t>
        </w:r>
      </w:hyperlink>
      <w:r>
        <w:t xml:space="preserve">.</w:t>
      </w:r>
    </w:p>
    <w:bookmarkEnd w:id="90"/>
    <w:bookmarkStart w:id="92"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1">
        <w:r>
          <w:rPr>
            <w:rStyle w:val="Hyperlink"/>
          </w:rPr>
          <w:t xml:space="preserve">https://arxiv.org/abs/2301.11791</w:t>
        </w:r>
      </w:hyperlink>
      <w:r>
        <w:t xml:space="preserve">.</w:t>
      </w:r>
    </w:p>
    <w:bookmarkEnd w:id="92"/>
    <w:bookmarkStart w:id="94"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3">
        <w:r>
          <w:rPr>
            <w:rStyle w:val="Hyperlink"/>
          </w:rPr>
          <w:t xml:space="preserve">https://docs.github.com/en/get-started/quickstart/fork-a-repo</w:t>
        </w:r>
      </w:hyperlink>
      <w:r>
        <w:t xml:space="preserve">.</w:t>
      </w:r>
    </w:p>
    <w:bookmarkEnd w:id="94"/>
    <w:bookmarkStart w:id="96"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5">
        <w:r>
          <w:rPr>
            <w:rStyle w:val="Hyperlink"/>
          </w:rPr>
          <w:t xml:space="preserve">10.2777/298228</w:t>
        </w:r>
      </w:hyperlink>
      <w:r>
        <w:t xml:space="preserve">.</w:t>
      </w:r>
    </w:p>
    <w:bookmarkEnd w:id="96"/>
    <w:bookmarkStart w:id="98" w:name="ref-zenodo"/>
    <w:p>
      <w:pPr>
        <w:pStyle w:val="Bibliography"/>
      </w:pPr>
      <w:r>
        <w:t xml:space="preserve">24.</w:t>
      </w:r>
      <w:r>
        <w:t xml:space="preserve"> </w:t>
      </w:r>
      <w:r>
        <w:t xml:space="preserve">	</w:t>
      </w:r>
      <w:r>
        <w:t xml:space="preserve">Available at:</w:t>
      </w:r>
      <w:r>
        <w:t xml:space="preserve"> </w:t>
      </w:r>
      <w:hyperlink r:id="rId97">
        <w:r>
          <w:rPr>
            <w:rStyle w:val="Hyperlink"/>
          </w:rPr>
          <w:t xml:space="preserve">https://zenodo.org</w:t>
        </w:r>
      </w:hyperlink>
      <w:r>
        <w:t xml:space="preserve">. Accessed November 15, 2023.</w:t>
      </w:r>
    </w:p>
    <w:bookmarkEnd w:id="98"/>
    <w:bookmarkStart w:id="100" w:name="ref-zenodoGitHub"/>
    <w:p>
      <w:pPr>
        <w:pStyle w:val="Bibliography"/>
      </w:pPr>
      <w:r>
        <w:t xml:space="preserve">25.</w:t>
      </w:r>
      <w:r>
        <w:t xml:space="preserve"> </w:t>
      </w:r>
      <w:r>
        <w:t xml:space="preserve">	</w:t>
      </w:r>
      <w:r>
        <w:t xml:space="preserve">Available at:</w:t>
      </w:r>
      <w:r>
        <w:t xml:space="preserve"> </w:t>
      </w:r>
      <w:hyperlink r:id="rId99">
        <w:r>
          <w:rPr>
            <w:rStyle w:val="Hyperlink"/>
          </w:rPr>
          <w:t xml:space="preserve">https://zenodo.org/account/settings/github/</w:t>
        </w:r>
      </w:hyperlink>
      <w:r>
        <w:t xml:space="preserve">. Accessed November 15, 2023.</w:t>
      </w:r>
    </w:p>
    <w:bookmarkEnd w:id="100"/>
    <w:bookmarkStart w:id="102"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1">
        <w:r>
          <w:rPr>
            <w:rStyle w:val="Hyperlink"/>
          </w:rPr>
          <w:t xml:space="preserve">10.1093/bioinformatics/btac796</w:t>
        </w:r>
      </w:hyperlink>
      <w:r>
        <w:t xml:space="preserve">.</w:t>
      </w:r>
    </w:p>
    <w:bookmarkEnd w:id="102"/>
    <w:bookmarkStart w:id="104"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3">
        <w:r>
          <w:rPr>
            <w:rStyle w:val="Hyperlink"/>
          </w:rPr>
          <w:t xml:space="preserve">https://ohdsi.github.io/TheBookOfOhdsi/</w:t>
        </w:r>
      </w:hyperlink>
      <w:r>
        <w:t xml:space="preserve">.</w:t>
      </w:r>
    </w:p>
    <w:bookmarkEnd w:id="104"/>
    <w:bookmarkStart w:id="106"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5">
        <w:r>
          <w:rPr>
            <w:rStyle w:val="Hyperlink"/>
          </w:rPr>
          <w:t xml:space="preserve">10.1093/jamia/ocaa028</w:t>
        </w:r>
      </w:hyperlink>
      <w:r>
        <w:t xml:space="preserve">.</w:t>
      </w:r>
    </w:p>
    <w:bookmarkEnd w:id="106"/>
    <w:bookmarkStart w:id="108"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7">
        <w:r>
          <w:rPr>
            <w:rStyle w:val="Hyperlink"/>
          </w:rPr>
          <w:t xml:space="preserve">10.1136/amiajnl-2014-002747</w:t>
        </w:r>
      </w:hyperlink>
      <w:r>
        <w:t xml:space="preserve">.</w:t>
      </w:r>
    </w:p>
    <w:bookmarkEnd w:id="108"/>
    <w:bookmarkStart w:id="110"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9">
        <w:r>
          <w:rPr>
            <w:rStyle w:val="Hyperlink"/>
          </w:rPr>
          <w:t xml:space="preserve">10.1002/cpt.2476</w:t>
        </w:r>
      </w:hyperlink>
      <w:r>
        <w:t xml:space="preserve">.</w:t>
      </w:r>
    </w:p>
    <w:bookmarkEnd w:id="110"/>
    <w:bookmarkStart w:id="112"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1">
        <w:r>
          <w:rPr>
            <w:rStyle w:val="Hyperlink"/>
          </w:rPr>
          <w:t xml:space="preserve">10.1371/journal.pdig.0000082</w:t>
        </w:r>
      </w:hyperlink>
      <w:r>
        <w:t xml:space="preserve">.</w:t>
      </w:r>
    </w:p>
    <w:bookmarkEnd w:id="112"/>
    <w:bookmarkStart w:id="114"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3">
        <w:r>
          <w:rPr>
            <w:rStyle w:val="Hyperlink"/>
          </w:rPr>
          <w:t xml:space="preserve">10.1002/pds.5079</w:t>
        </w:r>
      </w:hyperlink>
      <w:r>
        <w:t xml:space="preserve">.</w:t>
      </w:r>
    </w:p>
    <w:bookmarkEnd w:id="114"/>
    <w:bookmarkStart w:id="116"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5">
        <w:r>
          <w:rPr>
            <w:rStyle w:val="Hyperlink"/>
          </w:rPr>
          <w:t xml:space="preserve">https://www.fda.gov/regulatory-information/search-fda-guidance-documents/considerations-use-real-world-data-and-real-world-evidence-support-regulatory-decision-making-drug</w:t>
        </w:r>
      </w:hyperlink>
      <w:r>
        <w:t xml:space="preserve">.</w:t>
      </w:r>
    </w:p>
    <w:bookmarkEnd w:id="116"/>
    <w:bookmarkStart w:id="118"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7">
        <w:r>
          <w:rPr>
            <w:rStyle w:val="Hyperlink"/>
          </w:rPr>
          <w:t xml:space="preserve">https://sharing.nih.gov/data-management-and-sharing-policy/planning-and-budgeting-for-data-management-and-sharing/writing-a-data-management-and-sharing-plan#after</w:t>
        </w:r>
      </w:hyperlink>
      <w:r>
        <w:t xml:space="preserve">.</w:t>
      </w:r>
    </w:p>
    <w:bookmarkEnd w:id="118"/>
    <w:bookmarkStart w:id="120"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19">
        <w:r>
          <w:rPr>
            <w:rStyle w:val="Hyperlink"/>
          </w:rPr>
          <w:t xml:space="preserve">https://www.pcori.org/about/governance/policy-data-management-and-data-sharing</w:t>
        </w:r>
      </w:hyperlink>
      <w:r>
        <w:t xml:space="preserve">.</w:t>
      </w:r>
    </w:p>
    <w:bookmarkEnd w:id="120"/>
    <w:bookmarkStart w:id="122"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1">
        <w:r>
          <w:rPr>
            <w:rStyle w:val="Hyperlink"/>
          </w:rPr>
          <w:t xml:space="preserve">10.2217/cer-2021-0108</w:t>
        </w:r>
      </w:hyperlink>
      <w:r>
        <w:t xml:space="preserve">.</w:t>
      </w:r>
    </w:p>
    <w:bookmarkEnd w:id="122"/>
    <w:bookmarkEnd w:id="123"/>
    <w:p>
      <w:r>
        <w:br w:type="page"/>
      </w:r>
    </w:p>
    <w:bookmarkEnd w:id="124"/>
    <w:bookmarkStart w:id="149"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RStudio-gui"/>
          <w:p>
            <w:pPr>
              <w:jc w:val="center"/>
            </w:pPr>
            <w:r>
              <w:drawing>
                <wp:inline>
                  <wp:extent cx="2971800" cy="7102415"/>
                  <wp:effectExtent b="0" l="0" r="0" t="0"/>
                  <wp:docPr descr="" title="" id="126" name="Picture"/>
                  <a:graphic>
                    <a:graphicData uri="http://schemas.openxmlformats.org/drawingml/2006/picture">
                      <pic:pic>
                        <pic:nvPicPr>
                          <pic:cNvPr descr="../figures/Figure_1_RStudio_init.png" id="127" name="Picture"/>
                          <pic:cNvPicPr>
                            <a:picLocks noChangeArrowheads="1" noChangeAspect="1"/>
                          </pic:cNvPicPr>
                        </pic:nvPicPr>
                        <pic:blipFill>
                          <a:blip r:embed="rId12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integrated development environment (IDE) graphical user interface (GUI).</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tructure"/>
          <w:p>
            <w:pPr>
              <w:jc w:val="center"/>
            </w:pPr>
            <w:r>
              <w:drawing>
                <wp:inline>
                  <wp:extent cx="3566160" cy="7360720"/>
                  <wp:effectExtent b="0" l="0" r="0" t="0"/>
                  <wp:docPr descr="" title="" id="130" name="Picture"/>
                  <a:graphic>
                    <a:graphicData uri="http://schemas.openxmlformats.org/drawingml/2006/picture">
                      <pic:pic>
                        <pic:nvPicPr>
                          <pic:cNvPr descr="../figures/Figure_2_repo_structure.png" id="131" name="Picture"/>
                          <pic:cNvPicPr>
                            <a:picLocks noChangeArrowheads="1" noChangeAspect="1"/>
                          </pic:cNvPicPr>
                        </pic:nvPicPr>
                        <pic:blipFill>
                          <a:blip r:embed="rId129"/>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workflow"/>
          <w:p>
            <w:pPr>
              <w:jc w:val="center"/>
            </w:pPr>
            <w:r>
              <w:drawing>
                <wp:inline>
                  <wp:extent cx="5943600" cy="4310511"/>
                  <wp:effectExtent b="0" l="0" r="0" t="0"/>
                  <wp:docPr descr="" title="" id="134" name="Picture"/>
                  <a:graphic>
                    <a:graphicData uri="http://schemas.openxmlformats.org/drawingml/2006/picture">
                      <pic:pic>
                        <pic:nvPicPr>
                          <pic:cNvPr descr="../figures/Figure_3_workflow.png" id="135" name="Picture"/>
                          <pic:cNvPicPr>
                            <a:picLocks noChangeArrowheads="1" noChangeAspect="1"/>
                          </pic:cNvPicPr>
                        </pic:nvPicPr>
                        <pic:blipFill>
                          <a:blip r:embed="rId133"/>
                          <a:stretch>
                            <a:fillRect/>
                          </a:stretch>
                        </pic:blipFill>
                        <pic:spPr bwMode="auto">
                          <a:xfrm>
                            <a:off x="0" y="0"/>
                            <a:ext cx="5943600" cy="43105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6"/>
        </w:tc>
      </w:tr>
    </w:tbl>
    <w:p>
      <w:r>
        <w:br w:type="page"/>
      </w:r>
    </w:p>
    <w:tbl>
      <w:tblPr>
        <w:tblStyle w:val="Table"/>
        <w:tblW w:type="pct" w:w="5000"/>
        <w:tblLook w:firstRow="0" w:lastRow="0" w:firstColumn="0" w:lastColumn="0" w:noHBand="0" w:noVBand="0" w:val="0000"/>
        <w:jc w:val="start"/>
      </w:tblPr>
      <w:tblGrid>
        <w:gridCol w:w="7920"/>
      </w:tblGrid>
      <w:tr>
        <w:tc>
          <w:tcPr/>
          <w:bookmarkStart w:id="140" w:name="fig-stage-commit-RStudio-gui"/>
          <w:p>
            <w:pPr>
              <w:jc w:val="center"/>
            </w:pPr>
            <w:r>
              <w:drawing>
                <wp:inline>
                  <wp:extent cx="5943600" cy="3043123"/>
                  <wp:effectExtent b="0" l="0" r="0" t="0"/>
                  <wp:docPr descr="" title="" id="138" name="Picture"/>
                  <a:graphic>
                    <a:graphicData uri="http://schemas.openxmlformats.org/drawingml/2006/picture">
                      <pic:pic>
                        <pic:nvPicPr>
                          <pic:cNvPr descr="../figures/Figure_4_stage_commit.png" id="139" name="Picture"/>
                          <pic:cNvPicPr>
                            <a:picLocks noChangeArrowheads="1" noChangeAspect="1"/>
                          </pic:cNvPicPr>
                        </pic:nvPicPr>
                        <pic:blipFill>
                          <a:blip r:embed="rId13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RStudio integrated development environment (IDE) provides a graphical user interface (GUI) as an alternative to command line prompts to interact with Git and to perform command equivalent to git add, git commit and git push/pull (red circles). This view can be accessed in the right upper pane of the RStudio IDE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example, a title was added to a propensity score plot which is also expressed in the commit message.</w:t>
            </w:r>
          </w:p>
          <w:bookmarkEnd w:id="140"/>
        </w:tc>
      </w:tr>
    </w:tbl>
    <w:p>
      <w:r>
        <w:br w:type="page"/>
      </w:r>
    </w:p>
    <w:tbl>
      <w:tblPr>
        <w:tblStyle w:val="Table"/>
        <w:tblW w:type="pct" w:w="5000"/>
        <w:tblLook w:firstRow="0" w:lastRow="0" w:firstColumn="0" w:lastColumn="0" w:noHBand="0" w:noVBand="0" w:val="0000"/>
        <w:jc w:val="start"/>
      </w:tblPr>
      <w:tblGrid>
        <w:gridCol w:w="7920"/>
      </w:tblGrid>
      <w:tr>
        <w:tc>
          <w:tcPr/>
          <w:bookmarkStart w:id="144" w:name="fig-collaborate"/>
          <w:p>
            <w:pPr>
              <w:jc w:val="center"/>
            </w:pPr>
            <w:r>
              <w:drawing>
                <wp:inline>
                  <wp:extent cx="5943600" cy="3343275"/>
                  <wp:effectExtent b="0" l="0" r="0" t="0"/>
                  <wp:docPr descr="" title="" id="142" name="Picture"/>
                  <a:graphic>
                    <a:graphicData uri="http://schemas.openxmlformats.org/drawingml/2006/picture">
                      <pic:pic>
                        <pic:nvPicPr>
                          <pic:cNvPr descr="../figures/Figure_5_collaboration.png" id="143" name="Picture"/>
                          <pic:cNvPicPr>
                            <a:picLocks noChangeArrowheads="1" noChangeAspect="1"/>
                          </pic:cNvPicPr>
                        </pic:nvPicPr>
                        <pic:blipFill>
                          <a:blip r:embed="rId14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4"/>
        </w:tc>
      </w:tr>
    </w:tbl>
    <w:p>
      <w:r>
        <w:br w:type="page"/>
      </w:r>
    </w:p>
    <w:tbl>
      <w:tblPr>
        <w:tblStyle w:val="Table"/>
        <w:tblW w:type="pct" w:w="5000"/>
        <w:tblLook w:firstRow="0" w:lastRow="0" w:firstColumn="0" w:lastColumn="0" w:noHBand="0" w:noVBand="0" w:val="0000"/>
        <w:jc w:val="start"/>
      </w:tblPr>
      <w:tblGrid>
        <w:gridCol w:w="7920"/>
      </w:tblGrid>
      <w:tr>
        <w:tc>
          <w:tcPr/>
          <w:bookmarkStart w:id="148" w:name="fig-GitHub-gui_changes"/>
          <w:p>
            <w:pPr>
              <w:jc w:val="center"/>
            </w:pPr>
            <w:r>
              <w:drawing>
                <wp:inline>
                  <wp:extent cx="5943600" cy="4591210"/>
                  <wp:effectExtent b="0" l="0" r="0" t="0"/>
                  <wp:docPr descr="" title="" id="146" name="Picture"/>
                  <a:graphic>
                    <a:graphicData uri="http://schemas.openxmlformats.org/drawingml/2006/picture">
                      <pic:pic>
                        <pic:nvPicPr>
                          <pic:cNvPr descr="../figures/Figure_6_commit_GitHub_gui.png" id="147" name="Picture"/>
                          <pic:cNvPicPr>
                            <a:picLocks noChangeArrowheads="1" noChangeAspect="1"/>
                          </pic:cNvPicPr>
                        </pic:nvPicPr>
                        <pic:blipFill>
                          <a:blip r:embed="rId145"/>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8"/>
        </w:tc>
      </w:tr>
    </w:tbl>
    <w:bookmarkEnd w:id="14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6" Target="media/rId26.png" /><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2023-11-29T15:37:43Z</dcterms:created>
  <dcterms:modified xsi:type="dcterms:W3CDTF">2023-11-29T15:37:43Z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