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pharmacoepidemiological</w:t>
      </w:r>
      <w:r>
        <w:t xml:space="preserve"> </w:t>
      </w:r>
      <w:r>
        <w:t xml:space="preserve">research:</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xxxx words</w:t>
      </w:r>
    </w:p>
    <w:p>
      <w:pPr>
        <w:pStyle w:val="BodyText"/>
      </w:pPr>
      <w:r>
        <w:rPr>
          <w:bCs/>
          <w:b/>
          <w:u w:val="single"/>
        </w:rPr>
        <w:t xml:space="preserve">Tables:</w:t>
      </w:r>
      <w:r>
        <w:t xml:space="preserve"> </w:t>
      </w:r>
      <w:r>
        <w:t xml:space="preserve">1</w:t>
      </w:r>
    </w:p>
    <w:p>
      <w:pPr>
        <w:pStyle w:val="BodyText"/>
      </w:pPr>
      <w:r>
        <w:rPr>
          <w:bCs/>
          <w:b/>
          <w:u w:val="single"/>
        </w:rPr>
        <w:t xml:space="preserve">Figures:</w:t>
      </w:r>
      <w:r>
        <w:t xml:space="preserve"> </w:t>
      </w:r>
      <w:r>
        <w:t xml:space="preserve">5</w:t>
      </w:r>
    </w:p>
    <w:p>
      <w:pPr>
        <w:pStyle w:val="BodyText"/>
      </w:pPr>
      <w:r>
        <w:rPr>
          <w:bCs/>
          <w:b/>
          <w:u w:val="single"/>
        </w:rPr>
        <w:t xml:space="preserve">Supplementary material:</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under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The authors would like to thank …</w:t>
      </w:r>
    </w:p>
    <w:p>
      <w:r>
        <w:br w:type="page"/>
      </w:r>
    </w:p>
    <w:bookmarkStart w:id="23" w:name="abstract"/>
    <w:p>
      <w:pPr>
        <w:pStyle w:val="Heading1"/>
      </w:pPr>
      <w:r>
        <w:t xml:space="preserve">Abstract</w:t>
      </w:r>
    </w:p>
    <w:p>
      <w:pPr>
        <w:pStyle w:val="FirstParagraph"/>
      </w:pPr>
      <w:r>
        <w:rPr>
          <w:bCs/>
          <w:b/>
        </w:rPr>
        <w:t xml:space="preserve">Objective</w:t>
      </w:r>
    </w:p>
    <w:p>
      <w:pPr>
        <w:pStyle w:val="BodyText"/>
      </w:pPr>
      <w:r>
        <w:rPr>
          <w:bCs/>
          <w:b/>
        </w:rPr>
        <w:t xml:space="preserve">Study Design and Settings</w:t>
      </w:r>
    </w:p>
    <w:p>
      <w:pPr>
        <w:pStyle w:val="BodyText"/>
      </w:pPr>
      <w:r>
        <w:rPr>
          <w:bCs/>
          <w:b/>
        </w:rPr>
        <w:t xml:space="preserve">Results</w:t>
      </w:r>
    </w:p>
    <w:p>
      <w:pPr>
        <w:pStyle w:val="BodyText"/>
      </w:pPr>
      <w:r>
        <w:rPr>
          <w:bCs/>
          <w:b/>
        </w:rPr>
        <w:t xml:space="preserve">Conclusions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healthcare database studies in pharmacoepidemiology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analytical steps is still significantly lacking, especially when analyses are implemented via line programming steps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programming code is rather the rule than the exception, this practice is not as common in the (pharmaco-)epidemiological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analytical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submission or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collaborating project members and outside personnel, and changes are difficult to track and reconcile. Particularly in disciplines like pharmacoepidemiology, where analyses can have far reaching impact on healthcare decisions, analytical code needs to be accessible and reproducible by anyone, not only the analyst who originally carried out the analysis.</w:t>
      </w:r>
    </w:p>
    <w:p>
      <w:pPr>
        <w:pStyle w:val="BodyText"/>
      </w:pPr>
      <w:r>
        <w:t xml:space="preserve">To increase the adoption of transparent and reproducible workflows in real-world evidence (RWE) studies using VCS, this tutorial aims to give a practical introduction tailored for pharmacoepidemiologists on how to set up, structure, and implement workflows using</w:t>
      </w:r>
      <w:r>
        <w:t xml:space="preserve"> </w:t>
      </w:r>
      <w:r>
        <w:rPr>
          <w:iCs/>
          <w:i/>
        </w:rPr>
        <w:t xml:space="preserve">Git</w:t>
      </w:r>
      <w:r>
        <w:t xml:space="preserve">, which is the most frequently used VCS to date.</w:t>
      </w:r>
      <w:r>
        <w:rPr>
          <w:vertAlign w:val="superscript"/>
        </w:rPr>
        <w:t xml:space="preserve">12</w:t>
      </w:r>
      <w:r>
        <w:t xml:space="preserve"> </w:t>
      </w:r>
      <w:r>
        <w:t xml:space="preserve">We will first provide a brief introduction to Git and how it can be used for collaboration and dissemination of study results using project repositories. Then we will provide a technical step-by-step guidance on how to integrate Git in an analytical workflow using line commands. We will additionally showcase examples using the R open-source programming language, although the basic principles can be applied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50" w:name="Xa89688eb98b2b467fb9c2eab1b445b40528c68c"/>
    <w:p>
      <w:pPr>
        <w:pStyle w:val="Heading1"/>
      </w:pPr>
      <w:r>
        <w:t xml:space="preserve">3. A step-by-step introduction on how to use Git in a pharmacoepidemiology research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and show the available version, the following prompt in the CLI can be used.</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creating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 such as if the repository should be private or public and if a</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https://gitlab.com/USERNAME/rwe_study.gitlab.io.git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To enhance clarity, it is recommended to use a logical structure and informative and transparent sub-directory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that a peer or outside personnel should know concerning the project, in the</w:t>
      </w:r>
      <w:r>
        <w:t xml:space="preserve"> </w:t>
      </w:r>
      <w:r>
        <w:rPr>
          <w:rStyle w:val="VerbatimChar"/>
        </w:rPr>
        <w:t xml:space="preserve">README.md</w:t>
      </w:r>
      <w:r>
        <w:t xml:space="preserve"> </w:t>
      </w:r>
      <w:r>
        <w:t xml:space="preserve">file. This file can be auto-generated when a project is initialized in a remote repository (see prior step in</w:t>
      </w:r>
      <w:r>
        <w:t xml:space="preserve"> </w:t>
      </w:r>
      <w:hyperlink w:anchor="sec-gui-initialization-and-git-clone">
        <w:r>
          <w:rPr>
            <w:rStyle w:val="Hyperlink"/>
          </w:rPr>
          <w:t xml:space="preserve">Section 3.3.2</w:t>
        </w:r>
      </w:hyperlink>
      <w:r>
        <w:t xml:space="preserve">) or can be added manually aftwerwards by creating and adding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w:t>
      </w:r>
      <w:r>
        <w:t xml:space="preserve">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 and made changes, Git 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 to comprehend every change made and revert back to any snapshot of the repository.</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files can be specified in the</w:t>
      </w:r>
      <w:r>
        <w:t xml:space="preserve"> </w:t>
      </w:r>
      <w:r>
        <w:rPr>
          <w:rStyle w:val="VerbatimChar"/>
        </w:rPr>
        <w:t xml:space="preserve">.gitignore</w:t>
      </w:r>
      <w:r>
        <w:t xml:space="preserve"> </w:t>
      </w:r>
      <w:r>
        <w:t xml:space="preserve">file which needs to be located in the root directory of the repository. To create a</w:t>
      </w:r>
      <w:r>
        <w:t xml:space="preserve"> </w:t>
      </w:r>
      <w:r>
        <w:rPr>
          <w:rStyle w:val="VerbatimChar"/>
        </w:rPr>
        <w:t xml:space="preserve">.gitignore</w:t>
      </w:r>
      <w:r>
        <w:t xml:space="preserve"> </w:t>
      </w:r>
      <w:r>
        <w:t xml:space="preserve">file,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p>
      <w:pPr>
        <w:pStyle w:val="BodyText"/>
      </w:pPr>
      <w:hyperlink w:anchor="fig-stage-commit-RStudio-gui">
        <w:r>
          <w:rPr>
            <w:rStyle w:val="Hyperlink"/>
          </w:rPr>
          <w:t xml:space="preserve">Figure 4</w:t>
        </w:r>
      </w:hyperlink>
      <w:r>
        <w:t xml:space="preserve"> </w:t>
      </w:r>
      <w:r>
        <w:t xml:space="preserve">illustrates the equivalent step by using the RStudio GUI.</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made to our files, the next step involves synchronizing our commits with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already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configured using the following commands.</w:t>
      </w:r>
    </w:p>
    <w:p>
      <w:pPr>
        <w:pStyle w:val="SourceCode"/>
      </w:pPr>
      <w:r>
        <w:rPr>
          <w:rStyle w:val="FunctionTok"/>
        </w:rPr>
        <w:t xml:space="preserve">git</w:t>
      </w:r>
      <w:r>
        <w:rPr>
          <w:rStyle w:val="NormalTok"/>
        </w:rPr>
        <w:t xml:space="preserve"> remote add origin https://github.com/USERNAME/rwe_study.git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intention to share code, collaborate with others or work across different systems. However, most of the times researchers use</w:t>
      </w:r>
      <w:r>
        <w:t xml:space="preserve"> </w:t>
      </w:r>
      <w:r>
        <w:rPr>
          <w:rStyle w:val="VerbatimChar"/>
        </w:rPr>
        <w:t xml:space="preserve">Git</w:t>
      </w:r>
      <w:r>
        <w:t xml:space="preserve"> </w:t>
      </w:r>
      <w:r>
        <w:t xml:space="preserve">to collaborate on a project and remote repositories such as GitHub can improve collaborative work significantly (</w:t>
      </w:r>
      <w:hyperlink w:anchor="fig-collaborate">
        <w:r>
          <w:rPr>
            <w:rStyle w:val="Hyperlink"/>
          </w:rPr>
          <w:t xml:space="preserve">Figure 5</w:t>
        </w:r>
      </w:hyperlink>
      <w:r>
        <w:t xml:space="preserve">).</w:t>
      </w:r>
    </w:p>
    <w:bookmarkEnd w:id="41"/>
    <w:bookmarkStart w:id="42" w:name="synchronize-remote-to-local"/>
    <w:p>
      <w:pPr>
        <w:pStyle w:val="Heading3"/>
      </w:pPr>
      <w:r>
        <w:t xml:space="preserve">3.6.2 Synchronize remote to local</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when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reasons to adhere to this workflow is that in return we get rewarded with a detailed audit trail of changes made to our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r>
        <w:rPr>
          <w:bCs/>
          <w:b/>
        </w:rPr>
        <w:t xml:space="preserve">Supplementary Figure 4</w:t>
      </w:r>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is also provided in the RStudio GUI as displayed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SHA hash, author, email, time and commit messages can be accessed via</w:t>
      </w:r>
    </w:p>
    <w:p>
      <w:pPr>
        <w:pStyle w:val="SourceCode"/>
      </w:pPr>
      <w:r>
        <w:rPr>
          <w:rStyle w:val="FunctionTok"/>
        </w:rPr>
        <w:t xml:space="preserve">git</w:t>
      </w:r>
      <w:r>
        <w:rPr>
          <w:rStyle w:val="NormalTok"/>
        </w:rPr>
        <w:t xml:space="preserve"> log</w:t>
      </w:r>
    </w:p>
    <w:bookmarkEnd w:id="44"/>
    <w:bookmarkStart w:id="45" w:name="branching"/>
    <w:p>
      <w:pPr>
        <w:pStyle w:val="Heading2"/>
      </w:pPr>
      <w:r>
        <w:t xml:space="preserve">3.8 Branching</w:t>
      </w:r>
    </w:p>
    <w:bookmarkEnd w:id="45"/>
    <w:bookmarkStart w:id="49" w:name="Xb825e5486af4f1f64708e8916dbbe22bc870c6f"/>
    <w:p>
      <w:pPr>
        <w:pStyle w:val="Heading2"/>
      </w:pPr>
      <w:r>
        <w:t xml:space="preserve">3.9 Keeping track of R software versions and paths</w:t>
      </w:r>
    </w:p>
    <w:p>
      <w:pPr>
        <w:pStyle w:val="FirstParagraph"/>
      </w:pPr>
      <w:r>
        <w:t xml:space="preserve">A major advantage of modern programming languages, particularly R and Python, is that they provide a large pool of open-source packages. Packages are compilations of functions that automate frequently used procedures (e.g., querying new user cohorts</w:t>
      </w:r>
      <w:r>
        <w:rPr>
          <w:vertAlign w:val="superscript"/>
        </w:rPr>
        <w:t xml:space="preserve">14</w:t>
      </w:r>
      <w:r>
        <w:t xml:space="preserve"> </w:t>
      </w:r>
      <w:r>
        <w:t xml:space="preserve">or propensity score matching</w:t>
      </w:r>
      <w:r>
        <w:rPr>
          <w:vertAlign w:val="superscript"/>
        </w:rPr>
        <w:t xml:space="preserve">15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7" w:name="r-computing-environments"/>
    <w:p>
      <w:pPr>
        <w:pStyle w:val="Heading3"/>
      </w:pPr>
      <w:r>
        <w:t xml:space="preserve">3.9.1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16,17</w:t>
      </w:r>
      <w:r>
        <w:t xml:space="preserve">. A more lightweight, yet effective way is by using the</w:t>
      </w:r>
      <w:r>
        <w:t xml:space="preserve"> </w:t>
      </w:r>
      <w:r>
        <w:rPr>
          <w:rStyle w:val="VerbatimChar"/>
        </w:rPr>
        <w:t xml:space="preserve">renv</w:t>
      </w:r>
      <w:r>
        <w:t xml:space="preserve"> </w:t>
      </w:r>
      <w:r>
        <w:t xml:space="preserve">R package</w:t>
      </w:r>
      <w:r>
        <w:rPr>
          <w:vertAlign w:val="superscript"/>
        </w:rPr>
        <w:t xml:space="preserve">18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all R packages, their versions and the installation source (e.g.,</w:t>
      </w:r>
      <w:r>
        <w:t xml:space="preserve"> </w:t>
      </w:r>
      <w:hyperlink r:id="rId46">
        <w:r>
          <w:rPr>
            <w:rStyle w:val="Hyperlink"/>
          </w:rPr>
          <w:t xml:space="preserve">https://cran.r-project.org/</w:t>
        </w:r>
      </w:hyperlink>
      <w:r>
        <w:t xml:space="preserve">). To synchronize the R environment with that of a collaborator, e.g., after cloning a repository, all that needs to be done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give further context and information.</w:t>
      </w:r>
    </w:p>
    <w:p>
      <w:pPr>
        <w:pStyle w:val="SourceCode"/>
      </w:pPr>
      <w:r>
        <w:rPr>
          <w:rStyle w:val="FunctionTok"/>
        </w:rPr>
        <w:t xml:space="preserve">sessionInfo</w:t>
      </w:r>
      <w:r>
        <w:rPr>
          <w:rStyle w:val="NormalTok"/>
        </w:rPr>
        <w:t xml:space="preserve">()</w:t>
      </w:r>
    </w:p>
    <w:bookmarkEnd w:id="47"/>
    <w:bookmarkStart w:id="48" w:name="absolute-versus-relative-paths"/>
    <w:p>
      <w:pPr>
        <w:pStyle w:val="Heading3"/>
      </w:pPr>
      <w:r>
        <w:t xml:space="preserve">3.9.2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new_user_cohort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"C:\Users\Username\Projects</w:t>
      </w:r>
      <w:r>
        <w:rPr>
          <w:rStyle w:val="SpecialCharTok"/>
        </w:rPr>
        <w:t xml:space="preserve">\r</w:t>
      </w:r>
      <w:r>
        <w:rPr>
          <w:rStyle w:val="StringTok"/>
        </w:rPr>
        <w:t xml:space="preserve">we_study\protocol\icd_codes.csv"</w:t>
      </w:r>
      <w:r>
        <w:rPr>
          <w:rStyle w:val="NormalTok"/>
        </w:rPr>
        <w:t xml:space="preserve">)</w:t>
      </w:r>
    </w:p>
    <w:p>
      <w:pPr>
        <w:pStyle w:val="FirstParagraph"/>
      </w:pPr>
      <w:r>
        <w:t xml:space="preserve">The use of absolute paths will make it impossible for anyone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 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w:t>
      </w:r>
      <w:r>
        <w:t xml:space="preserve"> </w:t>
      </w:r>
      <w:r>
        <w:rPr>
          <w:rStyle w:val="VerbatimChar"/>
        </w:rPr>
        <w:t xml:space="preserve">rwe_study</w:t>
      </w:r>
      <w:r>
        <w:t xml:space="preserve">). Applied to our example project, the following command would automatically reference the correct path and would be reproducible by any user re-running this script.</w:t>
      </w:r>
    </w:p>
    <w:p>
      <w:pPr>
        <w:pStyle w:val="SourceCode"/>
      </w:pPr>
      <w:r>
        <w:rPr>
          <w:rStyle w:val="FunctionTok"/>
        </w:rPr>
        <w:t xml:space="preserve">library</w:t>
      </w:r>
      <w:r>
        <w:rPr>
          <w:rStyle w:val="NormalTok"/>
        </w:rPr>
        <w:t xml:space="preserve">(here)</w:t>
      </w:r>
      <w:r>
        <w:br/>
      </w:r>
      <w:r>
        <w:rPr>
          <w:rStyle w:val="NormalTok"/>
        </w:rPr>
        <w:t xml:space="preserve">new_user_cohort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8"/>
    <w:bookmarkEnd w:id="49"/>
    <w:bookmarkEnd w:id="50"/>
    <w:bookmarkStart w:id="51" w:name="discussion"/>
    <w:p>
      <w:pPr>
        <w:pStyle w:val="Heading1"/>
      </w:pPr>
      <w:r>
        <w:t xml:space="preserve">4. Discussion</w:t>
      </w:r>
    </w:p>
    <w:p>
      <w:pPr>
        <w:pStyle w:val="FirstParagraph"/>
      </w:pPr>
      <w:r>
        <w:t xml:space="preserve">Also other GUIs to interact with Git…</w:t>
      </w:r>
    </w:p>
    <w:p>
      <w:pPr>
        <w:pStyle w:val="BodyText"/>
      </w:pPr>
      <w:r>
        <w:t xml:space="preserve">Docker</w:t>
      </w:r>
    </w:p>
    <w:p>
      <w:pPr>
        <w:pStyle w:val="BodyText"/>
      </w:pPr>
      <w:r>
        <w:t xml:space="preserve">Advantages of distributed VCS (Git):</w:t>
      </w:r>
    </w:p>
    <w:p>
      <w:pPr>
        <w:numPr>
          <w:ilvl w:val="0"/>
          <w:numId w:val="1003"/>
        </w:numPr>
      </w:pPr>
      <w:r>
        <w:t xml:space="preserve">Full audit trail of which changes were made by whom, when and why</w:t>
      </w:r>
    </w:p>
    <w:p>
      <w:pPr>
        <w:numPr>
          <w:ilvl w:val="0"/>
          <w:numId w:val="1003"/>
        </w:numPr>
      </w:pPr>
      <w:r>
        <w:t xml:space="preserve">Even if the code is not shared, Git makes it easier for an individual to go back to the code</w:t>
      </w:r>
    </w:p>
    <w:p>
      <w:pPr>
        <w:numPr>
          <w:ilvl w:val="0"/>
          <w:numId w:val="1003"/>
        </w:numPr>
      </w:pPr>
      <w:r>
        <w:t xml:space="preserve">Git can serve as internal and external repository for code and made accessible to everyone, e.g. along with manuscript without copy-paste into word files or similar</w:t>
      </w:r>
    </w:p>
    <w:p>
      <w:pPr>
        <w:numPr>
          <w:ilvl w:val="0"/>
          <w:numId w:val="1003"/>
        </w:numPr>
      </w:pPr>
      <w:r>
        <w:t xml:space="preserve">It is free and open-source and reliable</w:t>
      </w:r>
    </w:p>
    <w:p>
      <w:pPr>
        <w:numPr>
          <w:ilvl w:val="0"/>
          <w:numId w:val="1003"/>
        </w:numPr>
      </w:pPr>
      <w:r>
        <w:t xml:space="preserve">Distributed VCS fully mirror entire repositories and hence every local clone is a full backup of the data</w:t>
      </w:r>
    </w:p>
    <w:p>
      <w:r>
        <w:br w:type="page"/>
      </w:r>
    </w:p>
    <w:bookmarkEnd w:id="51"/>
    <w:bookmarkStart w:id="52" w:name="tables"/>
    <w:p>
      <w:pPr>
        <w:pStyle w:val="Heading1"/>
      </w:pPr>
      <w:r>
        <w:t xml:space="preserve">5. Tables</w:t>
      </w:r>
    </w:p>
    <w:p>
      <w:pPr>
        <w:pStyle w:val="FirstParagraph"/>
      </w:pPr>
      <w:r>
        <w:t xml:space="preserve">Create a table with most important git commands</w:t>
      </w:r>
    </w:p>
    <w:bookmarkEnd w:id="52"/>
    <w:bookmarkStart w:id="73" w:name="figures"/>
    <w:p>
      <w:pPr>
        <w:pStyle w:val="Heading1"/>
      </w:pPr>
      <w:r>
        <w:t xml:space="preserve">6. Figures</w:t>
      </w:r>
    </w:p>
    <w:tbl>
      <w:tblPr>
        <w:tblStyle w:val="Table"/>
        <w:tblW w:type="pct" w:w="5000"/>
        <w:tblLook w:firstRow="0" w:lastRow="0" w:firstColumn="0" w:lastColumn="0" w:noHBand="0" w:noVBand="0" w:val="0000"/>
        <w:jc w:val="start"/>
      </w:tblPr>
      <w:tblGrid>
        <w:gridCol w:w="7920"/>
      </w:tblGrid>
      <w:tr>
        <w:tc>
          <w:tcPr/>
          <w:bookmarkStart w:id="56" w:name="fig-RStudio-gui"/>
          <w:p>
            <w:pPr>
              <w:jc w:val="center"/>
            </w:pPr>
            <w:r>
              <w:drawing>
                <wp:inline>
                  <wp:extent cx="2971800" cy="7102415"/>
                  <wp:effectExtent b="0" l="0" r="0" t="0"/>
                  <wp:docPr descr="" title="" id="54" name="Picture"/>
                  <a:graphic>
                    <a:graphicData uri="http://schemas.openxmlformats.org/drawingml/2006/picture">
                      <pic:pic>
                        <pic:nvPicPr>
                          <pic:cNvPr descr="../figures/Figure_1_RStudio_init.png" id="55" name="Picture"/>
                          <pic:cNvPicPr>
                            <a:picLocks noChangeArrowheads="1" noChangeAspect="1"/>
                          </pic:cNvPicPr>
                        </pic:nvPicPr>
                        <pic:blipFill>
                          <a:blip r:embed="rId53"/>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Clone a remote repository using the RStudio graphical user interface.</w:t>
            </w:r>
          </w:p>
          <w:bookmarkEnd w:id="56"/>
        </w:tc>
      </w:tr>
    </w:tbl>
    <w:p>
      <w:r>
        <w:br w:type="page"/>
      </w:r>
    </w:p>
    <w:tbl>
      <w:tblPr>
        <w:tblStyle w:val="Table"/>
        <w:tblW w:type="pct" w:w="5000"/>
        <w:tblLook w:firstRow="0" w:lastRow="0" w:firstColumn="0" w:lastColumn="0" w:noHBand="0" w:noVBand="0" w:val="0000"/>
        <w:jc w:val="start"/>
      </w:tblPr>
      <w:tblGrid>
        <w:gridCol w:w="7920"/>
      </w:tblGrid>
      <w:tr>
        <w:tc>
          <w:tcPr/>
          <w:bookmarkStart w:id="60" w:name="fig-structure"/>
          <w:p>
            <w:pPr>
              <w:jc w:val="center"/>
            </w:pPr>
            <w:r>
              <w:drawing>
                <wp:inline>
                  <wp:extent cx="3566160" cy="5823377"/>
                  <wp:effectExtent b="0" l="0" r="0" t="0"/>
                  <wp:docPr descr="" title="" id="58" name="Picture"/>
                  <a:graphic>
                    <a:graphicData uri="http://schemas.openxmlformats.org/drawingml/2006/picture">
                      <pic:pic>
                        <pic:nvPicPr>
                          <pic:cNvPr descr="../figures/Figure_2_repo_structure.png" id="59" name="Picture"/>
                          <pic:cNvPicPr>
                            <a:picLocks noChangeArrowheads="1" noChangeAspect="1"/>
                          </pic:cNvPicPr>
                        </pic:nvPicPr>
                        <pic:blipFill>
                          <a:blip r:embed="rId57"/>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60"/>
        </w:tc>
      </w:tr>
    </w:tbl>
    <w:p>
      <w:r>
        <w:br w:type="page"/>
      </w:r>
    </w:p>
    <w:tbl>
      <w:tblPr>
        <w:tblStyle w:val="Table"/>
        <w:tblW w:type="pct" w:w="5000"/>
        <w:tblLook w:firstRow="0" w:lastRow="0" w:firstColumn="0" w:lastColumn="0" w:noHBand="0" w:noVBand="0" w:val="0000"/>
        <w:jc w:val="start"/>
      </w:tblPr>
      <w:tblGrid>
        <w:gridCol w:w="7920"/>
      </w:tblGrid>
      <w:tr>
        <w:tc>
          <w:tcPr/>
          <w:bookmarkStart w:id="64" w:name="fig-workflow"/>
          <w:p>
            <w:pPr>
              <w:jc w:val="center"/>
            </w:pPr>
            <w:r>
              <w:drawing>
                <wp:inline>
                  <wp:extent cx="5943600" cy="4301154"/>
                  <wp:effectExtent b="0" l="0" r="0" t="0"/>
                  <wp:docPr descr="" title="" id="62" name="Picture"/>
                  <a:graphic>
                    <a:graphicData uri="http://schemas.openxmlformats.org/drawingml/2006/picture">
                      <pic:pic>
                        <pic:nvPicPr>
                          <pic:cNvPr descr="../figures/Figure_3_workflow.png" id="63" name="Picture"/>
                          <pic:cNvPicPr>
                            <a:picLocks noChangeArrowheads="1" noChangeAspect="1"/>
                          </pic:cNvPicPr>
                        </pic:nvPicPr>
                        <pic:blipFill>
                          <a:blip r:embed="rId61"/>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64"/>
        </w:tc>
      </w:tr>
    </w:tbl>
    <w:p>
      <w:r>
        <w:br w:type="page"/>
      </w:r>
    </w:p>
    <w:tbl>
      <w:tblPr>
        <w:tblStyle w:val="Table"/>
        <w:tblW w:type="pct" w:w="5000"/>
        <w:tblLook w:firstRow="0" w:lastRow="0" w:firstColumn="0" w:lastColumn="0" w:noHBand="0" w:noVBand="0" w:val="0000"/>
        <w:jc w:val="start"/>
      </w:tblPr>
      <w:tblGrid>
        <w:gridCol w:w="7920"/>
      </w:tblGrid>
      <w:tr>
        <w:tc>
          <w:tcPr/>
          <w:bookmarkStart w:id="68" w:name="fig-stage-commit-RStudio-gui"/>
          <w:p>
            <w:pPr>
              <w:jc w:val="center"/>
            </w:pPr>
            <w:r>
              <w:drawing>
                <wp:inline>
                  <wp:extent cx="5943600" cy="3043123"/>
                  <wp:effectExtent b="0" l="0" r="0" t="0"/>
                  <wp:docPr descr="" title="" id="66" name="Picture"/>
                  <a:graphic>
                    <a:graphicData uri="http://schemas.openxmlformats.org/drawingml/2006/picture">
                      <pic:pic>
                        <pic:nvPicPr>
                          <pic:cNvPr descr="../figures/Figure_4_stage_commit.png" id="67" name="Picture"/>
                          <pic:cNvPicPr>
                            <a:picLocks noChangeArrowheads="1" noChangeAspect="1"/>
                          </pic:cNvPicPr>
                        </pic:nvPicPr>
                        <pic:blipFill>
                          <a:blip r:embed="rId65"/>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68"/>
        </w:tc>
      </w:tr>
    </w:tbl>
    <w:p>
      <w:r>
        <w:br w:type="page"/>
      </w:r>
    </w:p>
    <w:tbl>
      <w:tblPr>
        <w:tblStyle w:val="Table"/>
        <w:tblW w:type="pct" w:w="5000"/>
        <w:tblLook w:firstRow="0" w:lastRow="0" w:firstColumn="0" w:lastColumn="0" w:noHBand="0" w:noVBand="0" w:val="0000"/>
        <w:jc w:val="start"/>
      </w:tblPr>
      <w:tblGrid>
        <w:gridCol w:w="7920"/>
      </w:tblGrid>
      <w:tr>
        <w:tc>
          <w:tcPr/>
          <w:bookmarkStart w:id="72" w:name="fig-collaborate"/>
          <w:p>
            <w:pPr>
              <w:jc w:val="center"/>
            </w:pPr>
            <w:r>
              <w:drawing>
                <wp:inline>
                  <wp:extent cx="5943600" cy="3343275"/>
                  <wp:effectExtent b="0" l="0" r="0" t="0"/>
                  <wp:docPr descr="" title="" id="70" name="Picture"/>
                  <a:graphic>
                    <a:graphicData uri="http://schemas.openxmlformats.org/drawingml/2006/picture">
                      <pic:pic>
                        <pic:nvPicPr>
                          <pic:cNvPr descr="../figures/Figure_5_collaboration.png" id="71"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72"/>
        </w:tc>
      </w:tr>
    </w:tbl>
    <w:p>
      <w:r>
        <w:br w:type="page"/>
      </w:r>
    </w:p>
    <w:bookmarkEnd w:id="73"/>
    <w:bookmarkStart w:id="110" w:name="references"/>
    <w:p>
      <w:pPr>
        <w:pStyle w:val="Heading1"/>
      </w:pPr>
      <w:r>
        <w:t xml:space="preserve">References</w:t>
      </w:r>
    </w:p>
    <w:bookmarkStart w:id="109" w:name="refs"/>
    <w:bookmarkStart w:id="75"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74">
        <w:r>
          <w:rPr>
            <w:rStyle w:val="Hyperlink"/>
          </w:rPr>
          <w:t xml:space="preserve">10.1136/bmj.m4856</w:t>
        </w:r>
      </w:hyperlink>
      <w:r>
        <w:t xml:space="preserve">.</w:t>
      </w:r>
    </w:p>
    <w:bookmarkEnd w:id="75"/>
    <w:bookmarkStart w:id="77"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76">
        <w:r>
          <w:rPr>
            <w:rStyle w:val="Hyperlink"/>
          </w:rPr>
          <w:t xml:space="preserve">10.7326/m18-3079</w:t>
        </w:r>
      </w:hyperlink>
      <w:r>
        <w:t xml:space="preserve">.</w:t>
      </w:r>
    </w:p>
    <w:bookmarkEnd w:id="77"/>
    <w:bookmarkStart w:id="79"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78">
        <w:r>
          <w:rPr>
            <w:rStyle w:val="Hyperlink"/>
          </w:rPr>
          <w:t xml:space="preserve">10.1002/pds.4297</w:t>
        </w:r>
      </w:hyperlink>
      <w:r>
        <w:t xml:space="preserve">.</w:t>
      </w:r>
    </w:p>
    <w:bookmarkEnd w:id="79"/>
    <w:bookmarkStart w:id="81"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80">
        <w:r>
          <w:rPr>
            <w:rStyle w:val="Hyperlink"/>
          </w:rPr>
          <w:t xml:space="preserve">10.1002/pds.5507</w:t>
        </w:r>
      </w:hyperlink>
      <w:r>
        <w:t xml:space="preserve">.</w:t>
      </w:r>
    </w:p>
    <w:bookmarkEnd w:id="81"/>
    <w:bookmarkStart w:id="83"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82">
        <w:r>
          <w:rPr>
            <w:rStyle w:val="Hyperlink"/>
          </w:rPr>
          <w:t xml:space="preserve">https://www.R-project.org/</w:t>
        </w:r>
      </w:hyperlink>
      <w:r>
        <w:t xml:space="preserve">.</w:t>
      </w:r>
    </w:p>
    <w:bookmarkEnd w:id="83"/>
    <w:bookmarkStart w:id="85"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84">
        <w:r>
          <w:rPr>
            <w:rStyle w:val="Hyperlink"/>
          </w:rPr>
          <w:t xml:space="preserve">10.1093/jamia/ocx120</w:t>
        </w:r>
      </w:hyperlink>
      <w:r>
        <w:t xml:space="preserve">.</w:t>
      </w:r>
    </w:p>
    <w:bookmarkEnd w:id="85"/>
    <w:bookmarkStart w:id="87"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86">
        <w:r>
          <w:rPr>
            <w:rStyle w:val="Hyperlink"/>
          </w:rPr>
          <w:t xml:space="preserve">10.1038/s41467-021-25974-w</w:t>
        </w:r>
      </w:hyperlink>
      <w:r>
        <w:t xml:space="preserve">.</w:t>
      </w:r>
    </w:p>
    <w:bookmarkEnd w:id="87"/>
    <w:bookmarkStart w:id="89"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88">
        <w:r>
          <w:rPr>
            <w:rStyle w:val="Hyperlink"/>
          </w:rPr>
          <w:t xml:space="preserve">10.1371/journal.pone.0205898</w:t>
        </w:r>
      </w:hyperlink>
      <w:r>
        <w:t xml:space="preserve">.</w:t>
      </w:r>
    </w:p>
    <w:bookmarkEnd w:id="89"/>
    <w:bookmarkStart w:id="91"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90">
        <w:r>
          <w:rPr>
            <w:rStyle w:val="Hyperlink"/>
          </w:rPr>
          <w:t xml:space="preserve">10.1093/jamia/ocz007</w:t>
        </w:r>
      </w:hyperlink>
      <w:r>
        <w:t xml:space="preserve">.</w:t>
      </w:r>
    </w:p>
    <w:bookmarkEnd w:id="91"/>
    <w:bookmarkStart w:id="93"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92">
        <w:r>
          <w:rPr>
            <w:rStyle w:val="Hyperlink"/>
          </w:rPr>
          <w:t xml:space="preserve">10.1093/aje/kwad040</w:t>
        </w:r>
      </w:hyperlink>
      <w:r>
        <w:t xml:space="preserve">.</w:t>
      </w:r>
    </w:p>
    <w:bookmarkEnd w:id="93"/>
    <w:bookmarkStart w:id="95"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94">
        <w:r>
          <w:rPr>
            <w:rStyle w:val="Hyperlink"/>
          </w:rPr>
          <w:t xml:space="preserve">10.1186/1751-0473-8-7</w:t>
        </w:r>
      </w:hyperlink>
      <w:r>
        <w:t xml:space="preserve">.</w:t>
      </w:r>
    </w:p>
    <w:bookmarkEnd w:id="95"/>
    <w:bookmarkStart w:id="97"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96">
        <w:r>
          <w:rPr>
            <w:rStyle w:val="Hyperlink"/>
          </w:rPr>
          <w:t xml:space="preserve">10.1371/journal.pcbi.1004668</w:t>
        </w:r>
      </w:hyperlink>
      <w:r>
        <w:t xml:space="preserve">.</w:t>
      </w:r>
    </w:p>
    <w:bookmarkEnd w:id="97"/>
    <w:bookmarkStart w:id="98"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98"/>
    <w:bookmarkStart w:id="100" w:name="ref-tidyverse"/>
    <w:p>
      <w:pPr>
        <w:pStyle w:val="Bibliography"/>
      </w:pPr>
      <w:r>
        <w:t xml:space="preserve">14.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9">
        <w:r>
          <w:rPr>
            <w:rStyle w:val="Hyperlink"/>
          </w:rPr>
          <w:t xml:space="preserve">10.21105/joss.01686</w:t>
        </w:r>
      </w:hyperlink>
      <w:r>
        <w:t xml:space="preserve">.</w:t>
      </w:r>
    </w:p>
    <w:bookmarkEnd w:id="100"/>
    <w:bookmarkStart w:id="102" w:name="ref-MatchIt"/>
    <w:p>
      <w:pPr>
        <w:pStyle w:val="Bibliography"/>
      </w:pPr>
      <w:r>
        <w:t xml:space="preserve">15.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101">
        <w:r>
          <w:rPr>
            <w:rStyle w:val="Hyperlink"/>
          </w:rPr>
          <w:t xml:space="preserve">10.18637/jss.v042.i08</w:t>
        </w:r>
      </w:hyperlink>
      <w:r>
        <w:t xml:space="preserve">.</w:t>
      </w:r>
    </w:p>
    <w:bookmarkEnd w:id="102"/>
    <w:bookmarkStart w:id="104" w:name="ref-boettiger2017a"/>
    <w:p>
      <w:pPr>
        <w:pStyle w:val="Bibliography"/>
      </w:pPr>
      <w:r>
        <w:t xml:space="preserve">16.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103">
        <w:r>
          <w:rPr>
            <w:rStyle w:val="Hyperlink"/>
          </w:rPr>
          <w:t xml:space="preserve">10.32614/rj-2017-065</w:t>
        </w:r>
      </w:hyperlink>
      <w:r>
        <w:t xml:space="preserve">.</w:t>
      </w:r>
    </w:p>
    <w:bookmarkEnd w:id="104"/>
    <w:bookmarkStart w:id="106" w:name="ref-nüst2020"/>
    <w:p>
      <w:pPr>
        <w:pStyle w:val="Bibliography"/>
      </w:pPr>
      <w:r>
        <w:t xml:space="preserve">17.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105">
        <w:r>
          <w:rPr>
            <w:rStyle w:val="Hyperlink"/>
          </w:rPr>
          <w:t xml:space="preserve">10.32614/rj-2020-007</w:t>
        </w:r>
      </w:hyperlink>
      <w:r>
        <w:t xml:space="preserve">.</w:t>
      </w:r>
    </w:p>
    <w:bookmarkEnd w:id="106"/>
    <w:bookmarkStart w:id="108" w:name="ref-renv"/>
    <w:p>
      <w:pPr>
        <w:pStyle w:val="Bibliography"/>
      </w:pPr>
      <w:r>
        <w:t xml:space="preserve">18.</w:t>
      </w:r>
      <w:r>
        <w:t xml:space="preserve"> </w:t>
      </w:r>
      <w:r>
        <w:t xml:space="preserve">	</w:t>
      </w:r>
      <w:r>
        <w:t xml:space="preserve">Ushey K. Renv: Project environments. 2022. Available at:</w:t>
      </w:r>
      <w:r>
        <w:t xml:space="preserve"> </w:t>
      </w:r>
      <w:hyperlink r:id="rId107">
        <w:r>
          <w:rPr>
            <w:rStyle w:val="Hyperlink"/>
          </w:rPr>
          <w:t xml:space="preserve">https://CRAN.R-project.org/package=renv</w:t>
        </w:r>
      </w:hyperlink>
      <w:r>
        <w:t xml:space="preserve">.</w:t>
      </w:r>
    </w:p>
    <w:bookmarkEnd w:id="108"/>
    <w:bookmarkEnd w:id="109"/>
    <w:bookmarkEnd w:id="110"/>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hyperlink" Id="rId107" Target="https://CRAN.R-project.org/package=renv" TargetMode="External" /><Relationship Type="http://schemas.openxmlformats.org/officeDocument/2006/relationships/hyperlink" Id="rId46" Target="https://cran.r-project.org/" TargetMode="External" /><Relationship Type="http://schemas.openxmlformats.org/officeDocument/2006/relationships/hyperlink" Id="rId78" Target="https://doi.org/10.1002/pds.4297" TargetMode="External" /><Relationship Type="http://schemas.openxmlformats.org/officeDocument/2006/relationships/hyperlink" Id="rId80" Target="https://doi.org/10.1002/pds.5507" TargetMode="External" /><Relationship Type="http://schemas.openxmlformats.org/officeDocument/2006/relationships/hyperlink" Id="rId86" Target="https://doi.org/10.1038/s41467-021-25974-w" TargetMode="External" /><Relationship Type="http://schemas.openxmlformats.org/officeDocument/2006/relationships/hyperlink" Id="rId92" Target="https://doi.org/10.1093/aje/kwad040" TargetMode="External" /><Relationship Type="http://schemas.openxmlformats.org/officeDocument/2006/relationships/hyperlink" Id="rId84" Target="https://doi.org/10.1093/jamia/ocx120" TargetMode="External" /><Relationship Type="http://schemas.openxmlformats.org/officeDocument/2006/relationships/hyperlink" Id="rId90" Target="https://doi.org/10.1093/jamia/ocz007" TargetMode="External" /><Relationship Type="http://schemas.openxmlformats.org/officeDocument/2006/relationships/hyperlink" Id="rId74" Target="https://doi.org/10.1136/bmj.m4856" TargetMode="External" /><Relationship Type="http://schemas.openxmlformats.org/officeDocument/2006/relationships/hyperlink" Id="rId94" Target="https://doi.org/10.1186/1751-0473-8-7" TargetMode="External" /><Relationship Type="http://schemas.openxmlformats.org/officeDocument/2006/relationships/hyperlink" Id="rId96" Target="https://doi.org/10.1371/journal.pcbi.1004668" TargetMode="External" /><Relationship Type="http://schemas.openxmlformats.org/officeDocument/2006/relationships/hyperlink" Id="rId88" Target="https://doi.org/10.1371/journal.pone.0205898" TargetMode="External" /><Relationship Type="http://schemas.openxmlformats.org/officeDocument/2006/relationships/hyperlink" Id="rId101" Target="https://doi.org/10.18637/jss.v042.i08" TargetMode="External" /><Relationship Type="http://schemas.openxmlformats.org/officeDocument/2006/relationships/hyperlink" Id="rId99" Target="https://doi.org/10.21105/joss.01686" TargetMode="External" /><Relationship Type="http://schemas.openxmlformats.org/officeDocument/2006/relationships/hyperlink" Id="rId103" Target="https://doi.org/10.32614/rj-2017-065" TargetMode="External" /><Relationship Type="http://schemas.openxmlformats.org/officeDocument/2006/relationships/hyperlink" Id="rId105" Target="https://doi.org/10.32614/rj-2020-007" TargetMode="External" /><Relationship Type="http://schemas.openxmlformats.org/officeDocument/2006/relationships/hyperlink" Id="rId76"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82"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7" Target="https://CRAN.R-project.org/package=renv" TargetMode="External" /><Relationship Type="http://schemas.openxmlformats.org/officeDocument/2006/relationships/hyperlink" Id="rId46" Target="https://cran.r-project.org/" TargetMode="External" /><Relationship Type="http://schemas.openxmlformats.org/officeDocument/2006/relationships/hyperlink" Id="rId78" Target="https://doi.org/10.1002/pds.4297" TargetMode="External" /><Relationship Type="http://schemas.openxmlformats.org/officeDocument/2006/relationships/hyperlink" Id="rId80" Target="https://doi.org/10.1002/pds.5507" TargetMode="External" /><Relationship Type="http://schemas.openxmlformats.org/officeDocument/2006/relationships/hyperlink" Id="rId86" Target="https://doi.org/10.1038/s41467-021-25974-w" TargetMode="External" /><Relationship Type="http://schemas.openxmlformats.org/officeDocument/2006/relationships/hyperlink" Id="rId92" Target="https://doi.org/10.1093/aje/kwad040" TargetMode="External" /><Relationship Type="http://schemas.openxmlformats.org/officeDocument/2006/relationships/hyperlink" Id="rId84" Target="https://doi.org/10.1093/jamia/ocx120" TargetMode="External" /><Relationship Type="http://schemas.openxmlformats.org/officeDocument/2006/relationships/hyperlink" Id="rId90" Target="https://doi.org/10.1093/jamia/ocz007" TargetMode="External" /><Relationship Type="http://schemas.openxmlformats.org/officeDocument/2006/relationships/hyperlink" Id="rId74" Target="https://doi.org/10.1136/bmj.m4856" TargetMode="External" /><Relationship Type="http://schemas.openxmlformats.org/officeDocument/2006/relationships/hyperlink" Id="rId94" Target="https://doi.org/10.1186/1751-0473-8-7" TargetMode="External" /><Relationship Type="http://schemas.openxmlformats.org/officeDocument/2006/relationships/hyperlink" Id="rId96" Target="https://doi.org/10.1371/journal.pcbi.1004668" TargetMode="External" /><Relationship Type="http://schemas.openxmlformats.org/officeDocument/2006/relationships/hyperlink" Id="rId88" Target="https://doi.org/10.1371/journal.pone.0205898" TargetMode="External" /><Relationship Type="http://schemas.openxmlformats.org/officeDocument/2006/relationships/hyperlink" Id="rId101" Target="https://doi.org/10.18637/jss.v042.i08" TargetMode="External" /><Relationship Type="http://schemas.openxmlformats.org/officeDocument/2006/relationships/hyperlink" Id="rId99" Target="https://doi.org/10.21105/joss.01686" TargetMode="External" /><Relationship Type="http://schemas.openxmlformats.org/officeDocument/2006/relationships/hyperlink" Id="rId103" Target="https://doi.org/10.32614/rj-2017-065" TargetMode="External" /><Relationship Type="http://schemas.openxmlformats.org/officeDocument/2006/relationships/hyperlink" Id="rId105" Target="https://doi.org/10.32614/rj-2020-007" TargetMode="External" /><Relationship Type="http://schemas.openxmlformats.org/officeDocument/2006/relationships/hyperlink" Id="rId76"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82"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pharmacoepidemiological research: A practical introduction to reproducible analytic workflows using git and R</dc:title>
  <dc:creator/>
  <cp:keywords/>
  <dcterms:created xsi:type="dcterms:W3CDTF">2023-06-28T20:25:09Z</dcterms:created>
  <dcterms:modified xsi:type="dcterms:W3CDTF">2023-06-28T20:25:09Z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