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14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and hence can be seen as a</w:t>
      </w:r>
      <w:r>
        <w:t xml:space="preserve"> </w:t>
      </w:r>
      <w:r>
        <w:t xml:space="preserve">“</w:t>
      </w:r>
      <w:r>
        <w:rPr>
          <w:iCs/>
          <w:i/>
        </w:rPr>
        <w:t xml:space="preserve">time machine</w:t>
      </w:r>
      <w:r>
        <w:t xml:space="preserve">”</w:t>
      </w:r>
      <w:r>
        <w:t xml:space="preserve"> </w:t>
      </w:r>
      <w:r>
        <w:t xml:space="preserve">that enables researchers and developers to compare code and repositories across different versions over time. For our purposes, a repository can be seen as an isolated project directory which includes all necessary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1"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R/the RStudio integrated development environment (IDE) GUI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3.5.2</w:t>
        </w:r>
      </w:hyperlink>
      <w:r>
        <w:t xml:space="preserve"> </w:t>
      </w:r>
      <w:r>
        <w:t xml:space="preserve">and</w:t>
      </w:r>
      <w:r>
        <w:t xml:space="preserve"> </w:t>
      </w:r>
      <w:hyperlink w:anchor="sec-security">
        <w:r>
          <w:rPr>
            <w:rStyle w:val="Hyperlink"/>
          </w:rPr>
          <w:t xml:space="preserve">Section 3.9</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p>
      <w:pPr>
        <w:pStyle w:val="BodyText"/>
      </w:pPr>
      <w:r>
        <w:t xml:space="preserve">In case a users wants to join or contribute to an already existing project,</w:t>
      </w:r>
      <w:r>
        <w:t xml:space="preserve"> </w:t>
      </w:r>
      <w:r>
        <w:rPr>
          <w:rStyle w:val="VerbatimChar"/>
        </w:rPr>
        <w:t xml:space="preserve">git clone</w:t>
      </w:r>
      <w:r>
        <w:t xml:space="preserve"> </w:t>
      </w:r>
      <w:r>
        <w:t xml:space="preserve">works the same way with the only difference that the repository already contains some files and is not empty.</w:t>
      </w:r>
    </w:p>
    <w:bookmarkEnd w:id="36"/>
    <w:bookmarkEnd w:id="37"/>
    <w:bookmarkStart w:id="40" w:name="sec-repository-structure"/>
    <w:p>
      <w:pPr>
        <w:pStyle w:val="Heading2"/>
      </w:pPr>
      <w:r>
        <w:t xml:space="preserve">3.4 Repository structure, README file and licenses</w:t>
      </w:r>
    </w:p>
    <w:p>
      <w:pPr>
        <w:pStyle w:val="FirstParagraph"/>
      </w:pPr>
      <w:r>
        <w:t xml:space="preserve">At this step, we now can populate the repository and start working on study-relevant files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w:t>
      </w:r>
    </w:p>
    <w:p>
      <w:pPr>
        <w:pStyle w:val="BodyText"/>
      </w:pPr>
      <w:r>
        <w:t xml:space="preserve">All relevant metadata, instructions and information about a project should be documented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 Essential information to include contain a brief summary about the project’s background and objectives, instructions on how to install software or manage computation environments and dependencies, important files and the organization of the repository, contribution guidelines, contact information and the project’s license to outline the terms under which others can use, modify, and distribute the project. Especially for open-source software projects choosing a suitable license is critical for which GitHub provides helpful guidance and information under</w:t>
      </w:r>
      <w:r>
        <w:t xml:space="preserve"> </w:t>
      </w:r>
      <w:hyperlink r:id="rId38">
        <w:r>
          <w:rPr>
            <w:rStyle w:val="Hyperlink"/>
          </w:rPr>
          <w:t xml:space="preserve">https://choosealicense.com/</w:t>
        </w:r>
      </w:hyperlink>
      <w:r>
        <w:t xml:space="preserve">.</w:t>
      </w:r>
    </w:p>
    <w:p>
      <w:pPr>
        <w:pStyle w:val="BodyText"/>
      </w:pPr>
      <w:r>
        <w:t xml:space="preserve">A special aspect about real-world data, such as administrative insurance claims and electronic health records, is that these data are typically not collected for the primary purposes of doing research but rather for reasons of billing or clinical documentation. Hence, being transparent about the data provenance, pre-processing steps and operationalization of exposures, outcomes and covariates is of critical importance</w:t>
      </w:r>
      <w:r>
        <w:rPr>
          <w:vertAlign w:val="superscript"/>
        </w:rPr>
        <w:t xml:space="preserve">20</w:t>
      </w:r>
      <w:r>
        <w:t xml:space="preserve"> </w:t>
      </w:r>
      <w:r>
        <w:t xml:space="preserve">and should be part of the repository’s metadata. This can come in form of codebooks, data dictionaries, literate programming scripts (e.g., Quarto) or other applicable documentation files. Applying and documenting naming conventions of files, data structures and variables as developing reproducible and well documented functions or packages as well as inline commenting of programming code can further enhance the transparency and readability of analytic code.</w:t>
      </w:r>
      <w:r>
        <w:rPr>
          <w:vertAlign w:val="superscript"/>
        </w:rPr>
        <w:t xml:space="preserve">21</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9">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22</w:t>
      </w:r>
      <w:r>
        <w:t xml:space="preserve"> </w:t>
      </w:r>
      <w:r>
        <w:t xml:space="preserve">to initiate a new project (see instructions in the template repository under the provided link).</w:t>
      </w:r>
    </w:p>
    <w:bookmarkEnd w:id="40"/>
    <w:bookmarkStart w:id="44"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1" w:name="pull-fetch-merge"/>
    <w:p>
      <w:pPr>
        <w:pStyle w:val="Heading3"/>
      </w:pPr>
      <w:r>
        <w:t xml:space="preserve">3.5.1 Synchronize changes from a remote repository to a local repository (</w:t>
      </w:r>
      <w:r>
        <w:rPr>
          <w:rStyle w:val="VerbatimChar"/>
        </w:rPr>
        <w:t xml:space="preserve">pull</w:t>
      </w:r>
      <w:r>
        <w:t xml:space="preserve">,</w:t>
      </w:r>
      <w:r>
        <w:t xml:space="preserve"> </w:t>
      </w:r>
      <w:r>
        <w:rPr>
          <w:rStyle w:val="VerbatimChar"/>
        </w:rPr>
        <w:t xml:space="preserve">fetch</w:t>
      </w:r>
      <w:r>
        <w:t xml:space="preserve">,</w:t>
      </w:r>
      <w:r>
        <w:t xml:space="preserve"> </w:t>
      </w:r>
      <w:r>
        <w:rPr>
          <w:rStyle w:val="VerbatimChar"/>
        </w:rPr>
        <w:t xml:space="preserve">merge</w:t>
      </w:r>
      <w:r>
        <w:t xml:space="preserve"> </w:t>
      </w:r>
      <w:r>
        <w:t xml:space="preserve">and</w:t>
      </w:r>
      <w:r>
        <w:t xml:space="preserve"> </w:t>
      </w:r>
      <w:r>
        <w:rPr>
          <w:rStyle w:val="VerbatimChar"/>
        </w:rPr>
        <w:t xml:space="preserve">rebase</w:t>
      </w:r>
      <w:r>
        <w:t xml:space="preserve">)</w:t>
      </w:r>
    </w:p>
    <w:p>
      <w:pPr>
        <w:pStyle w:val="FirstParagraph"/>
      </w:pPr>
      <w:r>
        <w:t xml:space="preserve">Especially when working collaboratively with multiple users on a remote repository, it is usually good practice to synchronize the status of one’s local repository and the remote repository before making any changes since there could be potential modifications and updates already made by others. To avoid any conflicts between two different versions and always work with the most recent version of a file, the first step of the git workflow involves a</w:t>
      </w:r>
      <w:r>
        <w:t xml:space="preserve"> </w:t>
      </w:r>
      <w:r>
        <w:rPr>
          <w:rStyle w:val="VerbatimChar"/>
        </w:rPr>
        <w:t xml:space="preserve">git pull</w:t>
      </w:r>
      <w:r>
        <w:t xml:space="preserve"> </w:t>
      </w:r>
      <w:r>
        <w:t xml:space="preserve">or</w:t>
      </w:r>
      <w:r>
        <w:t xml:space="preserve"> </w:t>
      </w:r>
      <w:r>
        <w:rPr>
          <w:rStyle w:val="VerbatimChar"/>
        </w:rPr>
        <w:t xml:space="preserve">git fetch</w:t>
      </w:r>
      <w:r>
        <w:t xml:space="preserve"> </w:t>
      </w:r>
      <w:r>
        <w:t xml:space="preserve">command.</w:t>
      </w:r>
    </w:p>
    <w:p>
      <w:pPr>
        <w:numPr>
          <w:ilvl w:val="0"/>
          <w:numId w:val="1004"/>
        </w:numPr>
        <w:pStyle w:val="Compact"/>
      </w:pPr>
      <w:r>
        <w:rPr>
          <w:rStyle w:val="VerbatimChar"/>
        </w:rPr>
        <w:t xml:space="preserve">git fetch</w:t>
      </w:r>
      <w:r>
        <w:t xml:space="preserve"> </w:t>
      </w:r>
      <w:r>
        <w:t xml:space="preserve">downloads any changes made to a remote repository into a user’s local repository. However, the command isolates the potentially modified files from the state of the existing local files. This is useful since it enables users to safely review changes using</w:t>
      </w:r>
      <w:r>
        <w:t xml:space="preserve"> </w:t>
      </w:r>
      <w:r>
        <w:rPr>
          <w:rStyle w:val="VerbatimChar"/>
        </w:rPr>
        <w:t xml:space="preserve">git log</w:t>
      </w:r>
      <w:r>
        <w:t xml:space="preserve"> </w:t>
      </w:r>
      <w:r>
        <w:t xml:space="preserve">(we will cover this in more detail in</w:t>
      </w:r>
      <w:r>
        <w:t xml:space="preserve"> </w:t>
      </w:r>
      <w:hyperlink w:anchor="sec-tracking-changes">
        <w:r>
          <w:rPr>
            <w:rStyle w:val="Hyperlink"/>
          </w:rPr>
          <w:t xml:space="preserve">Section 3.7</w:t>
        </w:r>
      </w:hyperlink>
      <w:r>
        <w:t xml:space="preserve">) before integrating those locally. To eventually allow the integration of these changes locally, users can do so using the</w:t>
      </w:r>
      <w:r>
        <w:t xml:space="preserve"> </w:t>
      </w:r>
      <w:r>
        <w:rPr>
          <w:rStyle w:val="VerbatimChar"/>
        </w:rPr>
        <w:t xml:space="preserve">git merge</w:t>
      </w:r>
      <w:r>
        <w:t xml:space="preserve"> </w:t>
      </w:r>
      <w:r>
        <w:t xml:space="preserve">or</w:t>
      </w:r>
      <w:r>
        <w:t xml:space="preserve"> </w:t>
      </w:r>
      <w:r>
        <w:rPr>
          <w:rStyle w:val="VerbatimChar"/>
        </w:rPr>
        <w:t xml:space="preserve">git rebase</w:t>
      </w:r>
      <w:r>
        <w:t xml:space="preserve"> </w:t>
      </w:r>
      <w:r>
        <w:t xml:space="preserve">command. The difference between these two commands is how the history of the versions between different snapshots of the repository is tracked, for which</w:t>
      </w:r>
      <w:r>
        <w:t xml:space="preserve"> </w:t>
      </w:r>
      <w:r>
        <w:rPr>
          <w:rStyle w:val="VerbatimChar"/>
        </w:rPr>
        <w:t xml:space="preserve">git merge</w:t>
      </w:r>
      <w:r>
        <w:t xml:space="preserve"> </w:t>
      </w:r>
      <w:r>
        <w:t xml:space="preserve">is more common, simpler and less error-prone and</w:t>
      </w:r>
      <w:r>
        <w:t xml:space="preserve"> </w:t>
      </w:r>
      <w:r>
        <w:rPr>
          <w:rStyle w:val="VerbatimChar"/>
        </w:rPr>
        <w:t xml:space="preserve">git rebase</w:t>
      </w:r>
      <w:r>
        <w:t xml:space="preserve"> </w:t>
      </w:r>
      <w:r>
        <w:t xml:space="preserve">is a more advanced feature (for the purpose of this manuscript we will mostly focus on</w:t>
      </w:r>
      <w:r>
        <w:t xml:space="preserve"> </w:t>
      </w:r>
      <w:r>
        <w:rPr>
          <w:rStyle w:val="VerbatimChar"/>
        </w:rPr>
        <w:t xml:space="preserve">git merge</w:t>
      </w:r>
      <w:r>
        <w:t xml:space="preserve">).</w:t>
      </w:r>
    </w:p>
    <w:p>
      <w:pPr>
        <w:pStyle w:val="SourceCode"/>
      </w:pPr>
      <w:r>
        <w:rPr>
          <w:rStyle w:val="CommentTok"/>
        </w:rPr>
        <w:t xml:space="preserve"># fetch ("download") updated version of a remote repository</w:t>
      </w:r>
      <w:r>
        <w:br/>
      </w:r>
      <w:r>
        <w:rPr>
          <w:rStyle w:val="FunctionTok"/>
        </w:rPr>
        <w:t xml:space="preserve">git</w:t>
      </w:r>
      <w:r>
        <w:rPr>
          <w:rStyle w:val="NormalTok"/>
        </w:rPr>
        <w:t xml:space="preserve"> fetch </w:t>
      </w:r>
      <w:r>
        <w:br/>
      </w:r>
      <w:r>
        <w:br/>
      </w:r>
      <w:r>
        <w:rPr>
          <w:rStyle w:val="CommentTok"/>
        </w:rPr>
        <w:t xml:space="preserve"># use merge to integrate these changes into local files using merge</w:t>
      </w:r>
      <w:r>
        <w:br/>
      </w:r>
      <w:r>
        <w:rPr>
          <w:rStyle w:val="FunctionTok"/>
        </w:rPr>
        <w:t xml:space="preserve">git</w:t>
      </w:r>
      <w:r>
        <w:rPr>
          <w:rStyle w:val="NormalTok"/>
        </w:rPr>
        <w:t xml:space="preserve"> merge</w:t>
      </w:r>
    </w:p>
    <w:p>
      <w:pPr>
        <w:numPr>
          <w:ilvl w:val="0"/>
          <w:numId w:val="1005"/>
        </w:numPr>
        <w:pStyle w:val="Compact"/>
      </w:pPr>
      <w:r>
        <w:rPr>
          <w:rStyle w:val="VerbatimChar"/>
        </w:rPr>
        <w:t xml:space="preserve">git pull</w:t>
      </w:r>
      <w:r>
        <w:t xml:space="preserve"> </w:t>
      </w:r>
      <w:r>
        <w:t xml:space="preserve">combines</w:t>
      </w:r>
      <w:r>
        <w:t xml:space="preserve"> </w:t>
      </w:r>
      <w:r>
        <w:rPr>
          <w:rStyle w:val="VerbatimChar"/>
        </w:rPr>
        <w:t xml:space="preserve">git fetch</w:t>
      </w:r>
      <w:r>
        <w:t xml:space="preserve"> </w:t>
      </w:r>
      <w:r>
        <w:t xml:space="preserve">and</w:t>
      </w:r>
      <w:r>
        <w:t xml:space="preserve"> </w:t>
      </w:r>
      <w:r>
        <w:rPr>
          <w:rStyle w:val="VerbatimChar"/>
        </w:rPr>
        <w:t xml:space="preserve">git merge</w:t>
      </w:r>
      <w:r>
        <w:t xml:space="preserve"> </w:t>
      </w:r>
      <w:r>
        <w:t xml:space="preserve">in one command and directly downloads</w:t>
      </w:r>
      <w:r>
        <w:t xml:space="preserve"> </w:t>
      </w:r>
      <w:r>
        <w:rPr>
          <w:u w:val="single"/>
        </w:rPr>
        <w:t xml:space="preserve">and</w:t>
      </w:r>
      <w:r>
        <w:t xml:space="preserve"> </w:t>
      </w:r>
      <w:r>
        <w:t xml:space="preserve">integrates all changes from a remote repository locally.</w:t>
      </w:r>
    </w:p>
    <w:p>
      <w:pPr>
        <w:pStyle w:val="SourceCode"/>
      </w:pPr>
      <w:r>
        <w:rPr>
          <w:rStyle w:val="CommentTok"/>
        </w:rPr>
        <w:t xml:space="preserve"># download and integrate content from remote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1"/>
    <w:bookmarkStart w:id="43" w:name="sec-stage-and-commit-changes"/>
    <w:p>
      <w:pPr>
        <w:pStyle w:val="Heading3"/>
      </w:pPr>
      <w:r>
        <w:t xml:space="preserve">3.5.2 Stage and commit changes</w:t>
      </w:r>
    </w:p>
    <w:p>
      <w:pPr>
        <w:pStyle w:val="FirstParagraph"/>
      </w:pPr>
      <w:r>
        <w:t xml:space="preserve">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w:t>
      </w:r>
      <w:r>
        <w:t xml:space="preserve">and it enables users to compare code versions across snapshots. Generally, it is up to the user when to commit, which files to commit and how the commit should be documented in a</w:t>
      </w:r>
      <w:r>
        <w:t xml:space="preserve"> </w:t>
      </w:r>
      <w:r>
        <w:rPr>
          <w:rStyle w:val="VerbatimChar"/>
        </w:rPr>
        <w:t xml:space="preserve">commit message</w:t>
      </w:r>
      <w:r>
        <w:t xml:space="preserve">. However, it is best practice to</w:t>
      </w:r>
      <w:r>
        <w:t xml:space="preserve"> </w:t>
      </w:r>
      <w:r>
        <w:rPr>
          <w:iCs/>
          <w:i/>
        </w:rPr>
        <w:t xml:space="preserve">commit early and often</w:t>
      </w:r>
      <w:r>
        <w:t xml:space="preserve">. That is, smaller and more granular commits that reflect a single unit of work (e.g., a change of selected confounders to adjust for) make it easier to comprehend the changes and associated analytic results and revert potential errors.</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 (more information in</w:t>
      </w:r>
      <w:r>
        <w:t xml:space="preserve"> </w:t>
      </w:r>
      <w:hyperlink w:anchor="sec-security">
        <w:r>
          <w:rPr>
            <w:rStyle w:val="Hyperlink"/>
          </w:rPr>
          <w:t xml:space="preserve">Section 3.9</w:t>
        </w:r>
      </w:hyperlink>
      <w:r>
        <w:t xml:space="preserve">).</w:t>
      </w:r>
    </w:p>
    <w:bookmarkStart w:id="42" w:name="sec-tags"/>
    <w:p>
      <w:pPr>
        <w:pStyle w:val="Heading4"/>
      </w:pPr>
      <w:r>
        <w:t xml:space="preserve">3.5.2.1 Tags (</w:t>
      </w:r>
      <w:r>
        <w:rPr>
          <w:rStyle w:val="VerbatimChar"/>
        </w:rPr>
        <w:t xml:space="preserve">tag</w:t>
      </w:r>
      <w:r>
        <w:t xml:space="preserve">)</w:t>
      </w:r>
    </w:p>
    <w:p>
      <w:pPr>
        <w:pStyle w:val="FirstParagraph"/>
      </w:pPr>
      <w:r>
        <w:t xml:space="preserve">A handy</w:t>
      </w:r>
      <w:r>
        <w:t xml:space="preserve"> </w:t>
      </w:r>
      <w:r>
        <w:rPr>
          <w:rStyle w:val="VerbatimChar"/>
        </w:rPr>
        <w:t xml:space="preserve">Git</w:t>
      </w:r>
      <w:r>
        <w:t xml:space="preserve"> </w:t>
      </w:r>
      <w:r>
        <w:t xml:space="preserve">feature to highlight particularly important commits, snapshots, code/software releases or milestones of a project is</w:t>
      </w:r>
      <w:r>
        <w:t xml:space="preserve"> </w:t>
      </w:r>
      <w:r>
        <w:rPr>
          <w:rStyle w:val="VerbatimChar"/>
        </w:rPr>
        <w:t xml:space="preserve">tagging</w:t>
      </w:r>
      <w:r>
        <w:t xml:space="preserve">. In context of RWE studies, this can be a specific version of an analysis, e.g., the one used for regulatory submission or completion of a manuscript version or revision.</w:t>
      </w:r>
    </w:p>
    <w:p>
      <w:pPr>
        <w:pStyle w:val="BodyText"/>
      </w:pPr>
      <w:r>
        <w:t xml:space="preserve">Tags can be annotated with a semantic identifier and tag message, e.g.,</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v2.0 </w:t>
      </w:r>
      <w:r>
        <w:rPr>
          <w:rStyle w:val="AttributeTok"/>
        </w:rPr>
        <w:t xml:space="preserve">-m</w:t>
      </w:r>
      <w:r>
        <w:rPr>
          <w:rStyle w:val="NormalTok"/>
        </w:rPr>
        <w:t xml:space="preserve"> </w:t>
      </w:r>
      <w:r>
        <w:rPr>
          <w:rStyle w:val="StringTok"/>
        </w:rPr>
        <w:t xml:space="preserve">"Revised (R1) manuscript version"</w:t>
      </w:r>
    </w:p>
    <w:p>
      <w:pPr>
        <w:pStyle w:val="FirstParagraph"/>
      </w:pPr>
      <w:r>
        <w:t xml:space="preserve">All created tags can be displayed using the following command:</w:t>
      </w:r>
    </w:p>
    <w:p>
      <w:pPr>
        <w:pStyle w:val="SourceCode"/>
      </w:pPr>
      <w:r>
        <w:rPr>
          <w:rStyle w:val="FunctionTok"/>
        </w:rPr>
        <w:t xml:space="preserve">git</w:t>
      </w:r>
      <w:r>
        <w:rPr>
          <w:rStyle w:val="NormalTok"/>
        </w:rPr>
        <w:t xml:space="preserve"> tag</w:t>
      </w:r>
    </w:p>
    <w:bookmarkEnd w:id="42"/>
    <w:bookmarkEnd w:id="43"/>
    <w:bookmarkEnd w:id="44"/>
    <w:bookmarkStart w:id="47" w:name="X62fdf960d46a99a40c44e845a34e4d2d69be0af"/>
    <w:p>
      <w:pPr>
        <w:pStyle w:val="Heading2"/>
      </w:pPr>
      <w:r>
        <w:t xml:space="preserve">3.6 Synchronize changes with remote repository</w:t>
      </w:r>
    </w:p>
    <w:bookmarkStart w:id="45"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Tags, as described in</w:t>
      </w:r>
      <w:r>
        <w:t xml:space="preserve"> </w:t>
      </w:r>
      <w:hyperlink w:anchor="sec-tags">
        <w:r>
          <w:rPr>
            <w:rStyle w:val="Hyperlink"/>
          </w:rPr>
          <w:t xml:space="preserve">Section 3.5.2.1</w:t>
        </w:r>
      </w:hyperlink>
      <w:r>
        <w:t xml:space="preserve">, need to be separately pushed, e.g.,</w:t>
      </w:r>
    </w:p>
    <w:p>
      <w:pPr>
        <w:pStyle w:val="SourceCode"/>
      </w:pPr>
      <w:r>
        <w:rPr>
          <w:rStyle w:val="FunctionTok"/>
        </w:rPr>
        <w:t xml:space="preserve">git</w:t>
      </w:r>
      <w:r>
        <w:rPr>
          <w:rStyle w:val="NormalTok"/>
        </w:rPr>
        <w:t xml:space="preserve"> push origin v1.0</w:t>
      </w:r>
    </w:p>
    <w:p>
      <w:pPr>
        <w:pStyle w:val="FirstParagraph"/>
      </w:pPr>
      <w:r>
        <w:t xml:space="preserve">In summary,</w:t>
      </w:r>
      <w:r>
        <w:t xml:space="preserve"> </w:t>
      </w:r>
      <w:r>
        <w:rPr>
          <w:rStyle w:val="VerbatimChar"/>
        </w:rPr>
        <w:t xml:space="preserve">git push</w:t>
      </w:r>
      <w:r>
        <w:t xml:space="preserve"> </w:t>
      </w:r>
      <w:r>
        <w:t xml:space="preserve">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5"/>
    <w:bookmarkStart w:id="46"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6"/>
    <w:bookmarkEnd w:id="47"/>
    <w:bookmarkStart w:id="48" w:name="sec-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3.5.2</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8"/>
    <w:bookmarkStart w:id="49"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23,24</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25</w:t>
      </w:r>
      <w:r>
        <w:t xml:space="preserve">. Once linked, a user will be able to select a specific release of a repository which automatically registers a new DOI and a corresponding badge which can be included and referenced in a GitHub README file.</w:t>
      </w:r>
    </w:p>
    <w:bookmarkEnd w:id="49"/>
    <w:bookmarkStart w:id="50" w:name="sec-security"/>
    <w:p>
      <w:pPr>
        <w:pStyle w:val="Heading2"/>
      </w:pPr>
      <w:r>
        <w:t xml:space="preserve">3.9 Security considerations</w:t>
      </w:r>
    </w:p>
    <w:p>
      <w:pPr>
        <w:pStyle w:val="FirstParagraph"/>
      </w:pPr>
      <w:r>
        <w:t xml:space="preserve">When working with Git and remote repositories, several security considerations are crucial to safeguard sensitive information. First, it is of utmost importance to ensure that sensitive information (such as personal access tokens, passwords or patient-level data) are not accidentally shared. One way to prevent this is to configure a</w:t>
      </w:r>
      <w:r>
        <w:t xml:space="preserve"> </w:t>
      </w:r>
      <w:r>
        <w:rPr>
          <w:rStyle w:val="VerbatimChar"/>
        </w:rPr>
        <w:t xml:space="preserve">.gitignore</w:t>
      </w:r>
      <w:r>
        <w:t xml:space="preserve"> </w:t>
      </w:r>
      <w:r>
        <w:t xml:space="preserve">file, which is a flat text file typically stored in the root directory of the repository. Each line in</w:t>
      </w:r>
      <w:r>
        <w:t xml:space="preserve"> </w:t>
      </w:r>
      <w:r>
        <w:rPr>
          <w:rStyle w:val="VerbatimChar"/>
        </w:rPr>
        <w:t xml:space="preserve">.gitignore</w:t>
      </w:r>
      <w:r>
        <w:t xml:space="preserve"> </w:t>
      </w:r>
      <w:r>
        <w:t xml:space="preserve">specifies a file name, sub-directory name or a file name pattern (e.g.,</w:t>
      </w:r>
      <w:r>
        <w:t xml:space="preserve"> </w:t>
      </w:r>
      <w:r>
        <w:t xml:space="preserve">“</w:t>
      </w:r>
      <w:r>
        <w:t xml:space="preserve">*.csv</w:t>
      </w:r>
      <w:r>
        <w:t xml:space="preserve">”</w:t>
      </w:r>
      <w:r>
        <w:t xml:space="preserve"> </w:t>
      </w:r>
      <w:r>
        <w:t xml:space="preserve">for all files of type csv) that a user intentionally does not want to track and synchronize with a remote repository. If it can be avoided, such sensitive information should alternatively not be stored in the project directory in the first place.</w:t>
      </w:r>
    </w:p>
    <w:p>
      <w:pPr>
        <w:pStyle w:val="SourceCode"/>
      </w:pPr>
      <w:r>
        <w:rPr>
          <w:rStyle w:val="CommentTok"/>
        </w:rPr>
        <w:t xml:space="preserve"># Example .gitgnore file specyfing which </w:t>
      </w:r>
      <w:r>
        <w:br/>
      </w:r>
      <w:r>
        <w:rPr>
          <w:rStyle w:val="CommentTok"/>
        </w:rPr>
        <w:t xml:space="preserve"># files, sub-directories and patterns</w:t>
      </w:r>
      <w:r>
        <w:br/>
      </w:r>
      <w:r>
        <w:rPr>
          <w:rStyle w:val="CommentTok"/>
        </w:rPr>
        <w:t xml:space="preserve"># should not be tracked</w:t>
      </w:r>
      <w:r>
        <w:br/>
      </w:r>
      <w:r>
        <w:br/>
      </w:r>
      <w:r>
        <w:rPr>
          <w:rStyle w:val="CommentTok"/>
        </w:rPr>
        <w:t xml:space="preserve"># password .txt file</w:t>
      </w:r>
      <w:r>
        <w:br/>
      </w:r>
      <w:r>
        <w:rPr>
          <w:rStyle w:val="ExtensionTok"/>
        </w:rPr>
        <w:t xml:space="preserve">pwd.txt</w:t>
      </w:r>
      <w:r>
        <w:br/>
      </w:r>
      <w:r>
        <w:br/>
      </w:r>
      <w:r>
        <w:rPr>
          <w:rStyle w:val="CommentTok"/>
        </w:rPr>
        <w:t xml:space="preserve"># Session Data files</w:t>
      </w:r>
      <w:r>
        <w:br/>
      </w:r>
      <w:r>
        <w:rPr>
          <w:rStyle w:val="ExtensionTok"/>
        </w:rPr>
        <w:t xml:space="preserve">.RData</w:t>
      </w:r>
      <w:r>
        <w:br/>
      </w:r>
      <w:r>
        <w:rPr>
          <w:rStyle w:val="ExtensionTok"/>
        </w:rPr>
        <w:t xml:space="preserve">.Rhistory</w:t>
      </w:r>
      <w:r>
        <w:br/>
      </w:r>
      <w:r>
        <w:br/>
      </w:r>
      <w:r>
        <w:rPr>
          <w:rStyle w:val="CommentTok"/>
        </w:rPr>
        <w:t xml:space="preserve"># any type of .csv file</w:t>
      </w:r>
      <w:r>
        <w:br/>
      </w:r>
      <w:r>
        <w:rPr>
          <w:rStyle w:val="ExtensionTok"/>
        </w:rPr>
        <w:t xml:space="preserve">*.csv</w:t>
      </w:r>
      <w:r>
        <w:br/>
      </w:r>
      <w:r>
        <w:br/>
      </w:r>
      <w:r>
        <w:rPr>
          <w:rStyle w:val="CommentTok"/>
        </w:rPr>
        <w:t xml:space="preserve"># output directory</w:t>
      </w:r>
      <w:r>
        <w:br/>
      </w:r>
      <w:r>
        <w:rPr>
          <w:rStyle w:val="ExtensionTok"/>
        </w:rPr>
        <w:t xml:space="preserve">output/</w:t>
      </w:r>
      <w:r>
        <w:br/>
      </w:r>
      <w:r>
        <w:br/>
      </w:r>
      <w:r>
        <w:rPr>
          <w:rStyle w:val="CommentTok"/>
        </w:rPr>
        <w:t xml:space="preserve"># .Renviron in root directory</w:t>
      </w:r>
      <w:r>
        <w:br/>
      </w:r>
      <w:r>
        <w:rPr>
          <w:rStyle w:val="ExtensionTok"/>
        </w:rPr>
        <w:t xml:space="preserve">.Renviron</w:t>
      </w:r>
    </w:p>
    <w:p>
      <w:pPr>
        <w:pStyle w:val="FirstParagraph"/>
      </w:pPr>
      <w:r>
        <w:t xml:space="preserve">Second, it is good practice to not include passwords or personal access tokens inside an analytic code file but to call these from an external file. RStudio, for example, offers the possibility to create environment files (</w:t>
      </w:r>
      <w:r>
        <w:rPr>
          <w:rStyle w:val="VerbatimChar"/>
        </w:rPr>
        <w:t xml:space="preserve">.Renviron</w:t>
      </w:r>
      <w:r>
        <w:t xml:space="preserve"> </w:t>
      </w:r>
      <w:r>
        <w:t xml:space="preserve">and</w:t>
      </w:r>
      <w:r>
        <w:t xml:space="preserve"> </w:t>
      </w:r>
      <w:r>
        <w:rPr>
          <w:rStyle w:val="VerbatimChar"/>
        </w:rPr>
        <w:t xml:space="preserve">.RProfile</w:t>
      </w:r>
      <w:r>
        <w:t xml:space="preserve">) which are user-controllable text files which can be stored in the project root directory and is automatically called upon an R session start. Such a file can be configured to not be tracked using</w:t>
      </w:r>
      <w:r>
        <w:t xml:space="preserve"> </w:t>
      </w:r>
      <w:r>
        <w:rPr>
          <w:rStyle w:val="VerbatimChar"/>
        </w:rPr>
        <w:t xml:space="preserve">.gitignore</w:t>
      </w:r>
      <w:r>
        <w:t xml:space="preserve"> </w:t>
      </w:r>
      <w:r>
        <w:t xml:space="preserve">(as illustrated above) and accessed as show in the following.</w:t>
      </w:r>
    </w:p>
    <w:p>
      <w:pPr>
        <w:pStyle w:val="SourceCode"/>
      </w:pPr>
      <w:r>
        <w:rPr>
          <w:rStyle w:val="CommentTok"/>
        </w:rPr>
        <w:t xml:space="preserve"># Example: configuration of database access credentials inside an .Renviron file</w:t>
      </w:r>
      <w:r>
        <w:br/>
      </w:r>
      <w:r>
        <w:rPr>
          <w:rStyle w:val="NormalTok"/>
        </w:rPr>
        <w:t xml:space="preserve">db_username </w:t>
      </w:r>
      <w:r>
        <w:rPr>
          <w:rStyle w:val="OtherTok"/>
        </w:rPr>
        <w:t xml:space="preserve">=</w:t>
      </w:r>
      <w:r>
        <w:rPr>
          <w:rStyle w:val="NormalTok"/>
        </w:rPr>
        <w:t xml:space="preserve"> </w:t>
      </w:r>
      <w:r>
        <w:rPr>
          <w:rStyle w:val="StringTok"/>
        </w:rPr>
        <w:t xml:space="preserve">"JoshSmith"</w:t>
      </w:r>
      <w:r>
        <w:br/>
      </w:r>
      <w:r>
        <w:rPr>
          <w:rStyle w:val="NormalTok"/>
        </w:rPr>
        <w:t xml:space="preserve">db_password </w:t>
      </w:r>
      <w:r>
        <w:rPr>
          <w:rStyle w:val="OtherTok"/>
        </w:rPr>
        <w:t xml:space="preserve">=</w:t>
      </w:r>
      <w:r>
        <w:rPr>
          <w:rStyle w:val="NormalTok"/>
        </w:rPr>
        <w:t xml:space="preserve"> </w:t>
      </w:r>
      <w:r>
        <w:rPr>
          <w:rStyle w:val="StringTok"/>
        </w:rPr>
        <w:t xml:space="preserve">"User1234"</w:t>
      </w:r>
    </w:p>
    <w:p>
      <w:pPr>
        <w:pStyle w:val="FirstParagraph"/>
      </w:pPr>
      <w:r>
        <w:t xml:space="preserve">These credentials can now be called inside an R script, for example, to access a database (example taken from</w:t>
      </w:r>
      <w:r>
        <w:t xml:space="preserve"> </w:t>
      </w:r>
      <w:r>
        <w:rPr>
          <w:rStyle w:val="VerbatimChar"/>
        </w:rPr>
        <w:t xml:space="preserve">genieBPC</w:t>
      </w:r>
      <w:r>
        <w:t xml:space="preserve"> </w:t>
      </w:r>
      <w:r>
        <w:t xml:space="preserve">R package</w:t>
      </w:r>
      <w:r>
        <w:rPr>
          <w:vertAlign w:val="superscript"/>
        </w:rPr>
        <w:t xml:space="preserve">26</w:t>
      </w:r>
      <w:r>
        <w:t xml:space="preserve">).</w:t>
      </w:r>
    </w:p>
    <w:p>
      <w:pPr>
        <w:pStyle w:val="SourceCode"/>
      </w:pPr>
      <w:r>
        <w:rPr>
          <w:rStyle w:val="CommentTok"/>
        </w:rPr>
        <w:t xml:space="preserve"># Example how the credentials defined in .Renviron can be used</w:t>
      </w:r>
      <w:r>
        <w:br/>
      </w:r>
      <w:r>
        <w:rPr>
          <w:rStyle w:val="CommentTok"/>
        </w:rPr>
        <w:t xml:space="preserve"># inside an RScript</w:t>
      </w:r>
      <w:r>
        <w:br/>
      </w:r>
      <w:r>
        <w:rPr>
          <w:rStyle w:val="FunctionTok"/>
        </w:rPr>
        <w:t xml:space="preserve">set_synapse_credentials</w:t>
      </w:r>
      <w:r>
        <w:rPr>
          <w:rStyle w:val="NormalTok"/>
        </w:rPr>
        <w:t xml:space="preserve">(</w:t>
      </w:r>
      <w:r>
        <w:br/>
      </w:r>
      <w:r>
        <w:rPr>
          <w:rStyle w:val="NormalTok"/>
        </w:rPr>
        <w:t xml:space="preserve">  </w:t>
      </w:r>
      <w:r>
        <w:rPr>
          <w:rStyle w:val="AttributeTok"/>
        </w:rPr>
        <w:t xml:space="preserve">username =</w:t>
      </w:r>
      <w:r>
        <w:rPr>
          <w:rStyle w:val="NormalTok"/>
        </w:rPr>
        <w:t xml:space="preserve"> </w:t>
      </w:r>
      <w:r>
        <w:rPr>
          <w:rStyle w:val="FunctionTok"/>
        </w:rPr>
        <w:t xml:space="preserve">Sys.getenv</w:t>
      </w:r>
      <w:r>
        <w:rPr>
          <w:rStyle w:val="NormalTok"/>
        </w:rPr>
        <w:t xml:space="preserve">(</w:t>
      </w:r>
      <w:r>
        <w:rPr>
          <w:rStyle w:val="StringTok"/>
        </w:rPr>
        <w:t xml:space="preserve">"db_username"</w:t>
      </w:r>
      <w:r>
        <w:rPr>
          <w:rStyle w:val="NormalTok"/>
        </w:rPr>
        <w:t xml:space="preserve">), </w:t>
      </w:r>
      <w:r>
        <w:br/>
      </w:r>
      <w:r>
        <w:rPr>
          <w:rStyle w:val="NormalTok"/>
        </w:rPr>
        <w:t xml:space="preserve">  </w:t>
      </w:r>
      <w:r>
        <w:rPr>
          <w:rStyle w:val="AttributeTok"/>
        </w:rPr>
        <w:t xml:space="preserve">password =</w:t>
      </w:r>
      <w:r>
        <w:rPr>
          <w:rStyle w:val="NormalTok"/>
        </w:rPr>
        <w:t xml:space="preserve"> </w:t>
      </w:r>
      <w:r>
        <w:rPr>
          <w:rStyle w:val="FunctionTok"/>
        </w:rPr>
        <w:t xml:space="preserve">Sys.getenv</w:t>
      </w:r>
      <w:r>
        <w:rPr>
          <w:rStyle w:val="NormalTok"/>
        </w:rPr>
        <w:t xml:space="preserve">(</w:t>
      </w:r>
      <w:r>
        <w:rPr>
          <w:rStyle w:val="StringTok"/>
        </w:rPr>
        <w:t xml:space="preserve">"db_password"</w:t>
      </w:r>
      <w:r>
        <w:rPr>
          <w:rStyle w:val="NormalTok"/>
        </w:rPr>
        <w:t xml:space="preserve">)</w:t>
      </w:r>
      <w:r>
        <w:br/>
      </w:r>
      <w:r>
        <w:rPr>
          <w:rStyle w:val="NormalTok"/>
        </w:rPr>
        <w:t xml:space="preserve">  )</w:t>
      </w:r>
    </w:p>
    <w:p>
      <w:pPr>
        <w:pStyle w:val="FirstParagraph"/>
      </w:pPr>
      <w:r>
        <w:t xml:space="preserve">Third, it needs to be ensured that access permissions to remote repositories are appropriately configured, granting only necessary access levels to collaborators unless it is intended to share the repository with the public. All major remote repositories offer the option to configure a repository to be private or public.</w:t>
      </w:r>
    </w:p>
    <w:bookmarkEnd w:id="50"/>
    <w:bookmarkEnd w:id="51"/>
    <w:bookmarkStart w:id="52"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t xml:space="preserve">Besides the usage of</w:t>
      </w:r>
      <w:r>
        <w:t xml:space="preserve"> </w:t>
      </w:r>
      <w:r>
        <w:rPr>
          <w:rStyle w:val="VerbatimChar"/>
        </w:rPr>
        <w:t xml:space="preserve">Git</w:t>
      </w:r>
      <w:r>
        <w:t xml:space="preserve"> </w:t>
      </w:r>
      <w:r>
        <w:t xml:space="preserve">and remote repositories as a version control systems, there are also further relevant aspects that determine the reproducibility of analytic code when using open-source software such as R. To complement the introduction and discussion on</w:t>
      </w:r>
      <w:r>
        <w:t xml:space="preserve"> </w:t>
      </w:r>
      <w:r>
        <w:rPr>
          <w:rStyle w:val="VerbatimChar"/>
        </w:rPr>
        <w:t xml:space="preserve">Git</w:t>
      </w:r>
      <w:r>
        <w:t xml:space="preserve"> </w:t>
      </w:r>
      <w:r>
        <w:t xml:space="preserve">in this manuscript, section 2 (</w:t>
      </w:r>
      <w:r>
        <w:rPr>
          <w:iCs/>
          <w:i/>
        </w:rPr>
        <w:t xml:space="preserve">Reproducible computation environments in R</w:t>
      </w:r>
      <w:r>
        <w:t xml:space="preserve">) in the</w:t>
      </w:r>
      <w:r>
        <w:t xml:space="preserve"> </w:t>
      </w:r>
      <w:r>
        <w:rPr>
          <w:bCs/>
          <w:b/>
        </w:rPr>
        <w:t xml:space="preserve">Supplementary Material</w:t>
      </w:r>
      <w:r>
        <w:t xml:space="preserve"> </w:t>
      </w:r>
      <w:r>
        <w:t xml:space="preserve">provides a few further considerations addressing the computational reproducibility when using R.</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is already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27</w:t>
      </w:r>
      <w:r>
        <w:t xml:space="preserve">, Sentinel</w:t>
      </w:r>
      <w:r>
        <w:rPr>
          <w:vertAlign w:val="superscript"/>
        </w:rPr>
        <w:t xml:space="preserve">28</w:t>
      </w:r>
      <w:r>
        <w:t xml:space="preserve">, PCORnet</w:t>
      </w:r>
      <w:r>
        <w:rPr>
          <w:vertAlign w:val="superscript"/>
        </w:rPr>
        <w:t xml:space="preserve">29</w:t>
      </w:r>
      <w:r>
        <w:t xml:space="preserve"> </w:t>
      </w:r>
      <w:r>
        <w:t xml:space="preserve">and ConcePTION</w:t>
      </w:r>
      <w:r>
        <w:rPr>
          <w:vertAlign w:val="superscript"/>
        </w:rPr>
        <w:t xml:space="preserve">30</w:t>
      </w:r>
      <w:r>
        <w:t xml:space="preserve">, which makes shared code interoperable even without direct access to the same data source. In order to achieve full replicability, authors may alternatively include a sample of dummy data to enable readers to comprehend and run the analytic code. Moreover, many larger research data sources have already provided synthetic data using identical formats and variable names while protecting patient privacy (e.g., Medicare Claims Synthetic Public Use Files).</w:t>
      </w:r>
      <w:r>
        <w:rPr>
          <w:vertAlign w:val="superscript"/>
        </w:rPr>
        <w:t xml:space="preserve">31</w:t>
      </w:r>
    </w:p>
    <w:p>
      <w:pPr>
        <w:pStyle w:val="BodyText"/>
      </w:pPr>
      <w:r>
        <w:t xml:space="preserve">Finally, code sharing can enable researchers to learn from each other, build trust</w:t>
      </w:r>
      <w:r>
        <w:rPr>
          <w:vertAlign w:val="superscript"/>
        </w:rPr>
        <w:t xml:space="preserve">32</w:t>
      </w:r>
      <w:r>
        <w:t xml:space="preserve">, expedite the uptake of novel methodologies and knowledge exchange and decrease unnecessary redundancies through sharing of code libraries, functions and algorithms.</w:t>
      </w:r>
      <w:r>
        <w:t xml:space="preserve"> </w:t>
      </w:r>
      <w:r>
        <w:rPr>
          <w:rStyle w:val="VerbatimChar"/>
        </w:rPr>
        <w:t xml:space="preserve">Git</w:t>
      </w:r>
      <w:r>
        <w:t xml:space="preserve"> </w:t>
      </w:r>
      <w:r>
        <w:t xml:space="preserve">was primarily designed for version control and development of analytic code by statisticians and programmers, but may also benefit other members of a RWE generation team through the centralized deployment, tracking and version control of study documents as well as project management tools which have become standard among most established remote repository platforms. While</w:t>
      </w:r>
      <w:r>
        <w:t xml:space="preserve"> </w:t>
      </w:r>
      <w:r>
        <w:rPr>
          <w:rStyle w:val="VerbatimChar"/>
        </w:rPr>
        <w:t xml:space="preserve">Git</w:t>
      </w:r>
      <w:r>
        <w:t xml:space="preserve"> </w:t>
      </w:r>
      <w:r>
        <w:t xml:space="preserve">offers substantial benefits for collaboration, reproducibility, and transparency in RWE teams, challenges can arise in its adoption, particularly related to merging conflicts, steep learning curves, and maintaining consistent usage practices across team members.</w:t>
      </w:r>
    </w:p>
    <w:p>
      <w:pPr>
        <w:pStyle w:val="BodyText"/>
      </w:pPr>
      <w:r>
        <w:t xml:space="preserve">Regulators</w:t>
      </w:r>
      <w:r>
        <w:rPr>
          <w:vertAlign w:val="superscript"/>
        </w:rPr>
        <w:t xml:space="preserve">33</w:t>
      </w:r>
      <w:r>
        <w:t xml:space="preserve">, funding agencies</w:t>
      </w:r>
      <w:r>
        <w:rPr>
          <w:vertAlign w:val="superscript"/>
        </w:rPr>
        <w:t xml:space="preserve">34,35</w:t>
      </w:r>
      <w:r>
        <w:t xml:space="preserve"> </w:t>
      </w:r>
      <w:r>
        <w:t xml:space="preserve">and HTA bodies</w:t>
      </w:r>
      <w:r>
        <w:rPr>
          <w:vertAlign w:val="superscript"/>
        </w:rPr>
        <w:t xml:space="preserve">36</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2"/>
    <w:bookmarkStart w:id="125" w:name="references"/>
    <w:p>
      <w:pPr>
        <w:pStyle w:val="Heading1"/>
      </w:pPr>
      <w:r>
        <w:t xml:space="preserve">References</w:t>
      </w:r>
    </w:p>
    <w:bookmarkStart w:id="124" w:name="refs"/>
    <w:bookmarkStart w:id="54"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3">
        <w:r>
          <w:rPr>
            <w:rStyle w:val="Hyperlink"/>
          </w:rPr>
          <w:t xml:space="preserve">https://www.fda.gov/downloads/ScienceResearch/SpecialTopics/RealWorldEvidence/UCM627769.pdf</w:t>
        </w:r>
      </w:hyperlink>
      <w:r>
        <w:t xml:space="preserve">.</w:t>
      </w:r>
    </w:p>
    <w:bookmarkEnd w:id="54"/>
    <w:bookmarkStart w:id="56"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5">
        <w:r>
          <w:rPr>
            <w:rStyle w:val="Hyperlink"/>
          </w:rPr>
          <w:t xml:space="preserve">10.1002/cpt.59</w:t>
        </w:r>
      </w:hyperlink>
      <w:r>
        <w:t xml:space="preserve">.</w:t>
      </w:r>
    </w:p>
    <w:bookmarkEnd w:id="56"/>
    <w:bookmarkStart w:id="58"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7">
        <w:r>
          <w:rPr>
            <w:rStyle w:val="Hyperlink"/>
          </w:rPr>
          <w:t xml:space="preserve">https://cioms.ch/wp-content/uploads/2020/03/CIOMS-WG-XIII_6June2023_Draft-report-for-comment-1.pdfA</w:t>
        </w:r>
      </w:hyperlink>
      <w:r>
        <w:t xml:space="preserve">.</w:t>
      </w:r>
    </w:p>
    <w:bookmarkEnd w:id="58"/>
    <w:bookmarkStart w:id="60"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9">
        <w:r>
          <w:rPr>
            <w:rStyle w:val="Hyperlink"/>
          </w:rPr>
          <w:t xml:space="preserve">10.1016/j.jval.2016.12.003</w:t>
        </w:r>
      </w:hyperlink>
      <w:r>
        <w:t xml:space="preserve">.</w:t>
      </w:r>
    </w:p>
    <w:bookmarkEnd w:id="60"/>
    <w:bookmarkStart w:id="62"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1">
        <w:r>
          <w:rPr>
            <w:rStyle w:val="Hyperlink"/>
          </w:rPr>
          <w:t xml:space="preserve">10.1136/bmj.m4856</w:t>
        </w:r>
      </w:hyperlink>
      <w:r>
        <w:t xml:space="preserve">.</w:t>
      </w:r>
    </w:p>
    <w:bookmarkEnd w:id="62"/>
    <w:bookmarkStart w:id="64"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3">
        <w:r>
          <w:rPr>
            <w:rStyle w:val="Hyperlink"/>
          </w:rPr>
          <w:t xml:space="preserve">10.7326/m18-3079</w:t>
        </w:r>
      </w:hyperlink>
      <w:r>
        <w:t xml:space="preserve">.</w:t>
      </w:r>
    </w:p>
    <w:bookmarkEnd w:id="64"/>
    <w:bookmarkStart w:id="66"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5">
        <w:r>
          <w:rPr>
            <w:rStyle w:val="Hyperlink"/>
          </w:rPr>
          <w:t xml:space="preserve">10.1002/pds.4297</w:t>
        </w:r>
      </w:hyperlink>
      <w:r>
        <w:t xml:space="preserve">.</w:t>
      </w:r>
    </w:p>
    <w:bookmarkEnd w:id="66"/>
    <w:bookmarkStart w:id="68"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7">
        <w:r>
          <w:rPr>
            <w:rStyle w:val="Hyperlink"/>
          </w:rPr>
          <w:t xml:space="preserve">10.1002/pds.5507</w:t>
        </w:r>
      </w:hyperlink>
      <w:r>
        <w:t xml:space="preserve">.</w:t>
      </w:r>
    </w:p>
    <w:bookmarkEnd w:id="68"/>
    <w:bookmarkStart w:id="70"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14.</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wang2017"/>
    <w:p>
      <w:pPr>
        <w:pStyle w:val="Bibliography"/>
      </w:pPr>
      <w:r>
        <w:t xml:space="preserve">20.</w:t>
      </w:r>
      <w:r>
        <w:t xml:space="preserve"> </w:t>
      </w:r>
      <w:r>
        <w:t xml:space="preserve">	</w:t>
      </w:r>
      <w:r>
        <w:t xml:space="preserve">Wang SV, Schneeweiss S, Berger ML,</w:t>
      </w:r>
      <w:r>
        <w:t xml:space="preserve"> </w:t>
      </w:r>
      <w:r>
        <w:rPr>
          <w:iCs/>
          <w:i/>
        </w:rPr>
        <w:t xml:space="preserve">et al.</w:t>
      </w:r>
      <w:r>
        <w:t xml:space="preserve"> Reporting to Improve Reproducibility and Facilitate Validity Assessment for Healthcare Database Studies V1.0.</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1018–1032. doi:</w:t>
      </w:r>
      <w:hyperlink r:id="rId90">
        <w:r>
          <w:rPr>
            <w:rStyle w:val="Hyperlink"/>
          </w:rPr>
          <w:t xml:space="preserve">10.1002/pds.4295</w:t>
        </w:r>
      </w:hyperlink>
      <w:r>
        <w:t xml:space="preserve">.</w:t>
      </w:r>
    </w:p>
    <w:bookmarkEnd w:id="91"/>
    <w:bookmarkStart w:id="93" w:name="ref-bové2023improving"/>
    <w:p>
      <w:pPr>
        <w:pStyle w:val="Bibliography"/>
      </w:pPr>
      <w:r>
        <w:t xml:space="preserve">21.</w:t>
      </w:r>
      <w:r>
        <w:t xml:space="preserve"> </w:t>
      </w:r>
      <w:r>
        <w:t xml:space="preserve">	</w:t>
      </w:r>
      <w:r>
        <w:t xml:space="preserve">Bové DS, Seibold H, Boulesteix A-L,</w:t>
      </w:r>
      <w:r>
        <w:t xml:space="preserve"> </w:t>
      </w:r>
      <w:r>
        <w:rPr>
          <w:iCs/>
          <w:i/>
        </w:rPr>
        <w:t xml:space="preserve">et al.</w:t>
      </w:r>
      <w:r>
        <w:t xml:space="preserve"> Improving software engineering in biostatistics: Challenges and opportunities. 2023. Available at:</w:t>
      </w:r>
      <w:r>
        <w:t xml:space="preserve"> </w:t>
      </w:r>
      <w:hyperlink r:id="rId92">
        <w:r>
          <w:rPr>
            <w:rStyle w:val="Hyperlink"/>
          </w:rPr>
          <w:t xml:space="preserve">https://arxiv.org/abs/2301.11791</w:t>
        </w:r>
      </w:hyperlink>
      <w:r>
        <w:t xml:space="preserve">.</w:t>
      </w:r>
    </w:p>
    <w:bookmarkEnd w:id="93"/>
    <w:bookmarkStart w:id="95" w:name="ref-GitFork"/>
    <w:p>
      <w:pPr>
        <w:pStyle w:val="Bibliography"/>
      </w:pPr>
      <w:r>
        <w:t xml:space="preserve">22.</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4">
        <w:r>
          <w:rPr>
            <w:rStyle w:val="Hyperlink"/>
          </w:rPr>
          <w:t xml:space="preserve">https://docs.github.com/en/get-started/quickstart/fork-a-repo</w:t>
        </w:r>
      </w:hyperlink>
      <w:r>
        <w:t xml:space="preserve">.</w:t>
      </w:r>
    </w:p>
    <w:bookmarkEnd w:id="95"/>
    <w:bookmarkStart w:id="97" w:name="Xb825634b65c6cdfdf9be5a4f8df2f174eda53d1"/>
    <w:p>
      <w:pPr>
        <w:pStyle w:val="Bibliography"/>
      </w:pPr>
      <w:r>
        <w:t xml:space="preserve">23.</w:t>
      </w:r>
      <w:r>
        <w:t xml:space="preserve"> </w:t>
      </w:r>
      <w:r>
        <w:t xml:space="preserve">	</w:t>
      </w:r>
      <w:r>
        <w:t xml:space="preserve">European Commission. Directorate General for Research and Innovation., Lisbon Council., CWTS., ESADE., Elsevier.</w:t>
      </w:r>
      <w:r>
        <w:t xml:space="preserve"> </w:t>
      </w:r>
      <w:r>
        <w:rPr>
          <w:iCs/>
          <w:i/>
        </w:rPr>
        <w:t xml:space="preserve">Zenodo: open science monitor case study.</w:t>
      </w:r>
      <w:r>
        <w:t xml:space="preserve"> LU: Publications Office, 2019. doi:</w:t>
      </w:r>
      <w:hyperlink r:id="rId96">
        <w:r>
          <w:rPr>
            <w:rStyle w:val="Hyperlink"/>
          </w:rPr>
          <w:t xml:space="preserve">10.2777/298228</w:t>
        </w:r>
      </w:hyperlink>
      <w:r>
        <w:t xml:space="preserve">.</w:t>
      </w:r>
    </w:p>
    <w:bookmarkEnd w:id="97"/>
    <w:bookmarkStart w:id="99" w:name="ref-zenodo"/>
    <w:p>
      <w:pPr>
        <w:pStyle w:val="Bibliography"/>
      </w:pPr>
      <w:r>
        <w:t xml:space="preserve">24.</w:t>
      </w:r>
      <w:r>
        <w:t xml:space="preserve"> </w:t>
      </w:r>
      <w:r>
        <w:t xml:space="preserve">	</w:t>
      </w:r>
      <w:r>
        <w:t xml:space="preserve">Available at:</w:t>
      </w:r>
      <w:r>
        <w:t xml:space="preserve"> </w:t>
      </w:r>
      <w:hyperlink r:id="rId98">
        <w:r>
          <w:rPr>
            <w:rStyle w:val="Hyperlink"/>
          </w:rPr>
          <w:t xml:space="preserve">https://zenodo.org</w:t>
        </w:r>
      </w:hyperlink>
      <w:r>
        <w:t xml:space="preserve">. Accessed November 15, 2023.</w:t>
      </w:r>
    </w:p>
    <w:bookmarkEnd w:id="99"/>
    <w:bookmarkStart w:id="101" w:name="ref-zenodoGitHub"/>
    <w:p>
      <w:pPr>
        <w:pStyle w:val="Bibliography"/>
      </w:pPr>
      <w:r>
        <w:t xml:space="preserve">25.</w:t>
      </w:r>
      <w:r>
        <w:t xml:space="preserve"> </w:t>
      </w:r>
      <w:r>
        <w:t xml:space="preserve">	</w:t>
      </w:r>
      <w:r>
        <w:t xml:space="preserve">Available at:</w:t>
      </w:r>
      <w:r>
        <w:t xml:space="preserve"> </w:t>
      </w:r>
      <w:hyperlink r:id="rId100">
        <w:r>
          <w:rPr>
            <w:rStyle w:val="Hyperlink"/>
          </w:rPr>
          <w:t xml:space="preserve">https://zenodo.org/account/settings/github/</w:t>
        </w:r>
      </w:hyperlink>
      <w:r>
        <w:t xml:space="preserve">. Accessed November 15, 2023.</w:t>
      </w:r>
    </w:p>
    <w:bookmarkEnd w:id="101"/>
    <w:bookmarkStart w:id="103" w:name="ref-lavery2022"/>
    <w:p>
      <w:pPr>
        <w:pStyle w:val="Bibliography"/>
      </w:pPr>
      <w:r>
        <w:t xml:space="preserve">26.</w:t>
      </w:r>
      <w:r>
        <w:t xml:space="preserve"> </w:t>
      </w:r>
      <w:r>
        <w:t xml:space="preserve">	</w:t>
      </w:r>
      <w:r>
        <w:t xml:space="preserve">Lavery JA, Brown S, Curry MA, Martin A, Sjoberg DD, Whiting K. A data processing pipeline for the AACR project GENIE biopharma collaborative data with the</w:t>
      </w:r>
      <w:r>
        <w:t xml:space="preserve"> </w:t>
      </w:r>
      <w:r>
        <w:t xml:space="preserve">genieBPC</w:t>
      </w:r>
      <w:r>
        <w:t xml:space="preserve"> </w:t>
      </w:r>
      <w:r>
        <w:t xml:space="preserve">R package. Wren J (ed.).</w:t>
      </w:r>
      <w:r>
        <w:t xml:space="preserve"> </w:t>
      </w:r>
      <w:r>
        <w:rPr>
          <w:iCs/>
          <w:i/>
        </w:rPr>
        <w:t xml:space="preserve">Bioinformatics</w:t>
      </w:r>
      <w:r>
        <w:t xml:space="preserve"> </w:t>
      </w:r>
      <w:r>
        <w:t xml:space="preserve">2022;</w:t>
      </w:r>
      <w:r>
        <w:t xml:space="preserve"> </w:t>
      </w:r>
      <w:r>
        <w:rPr>
          <w:bCs/>
          <w:b/>
        </w:rPr>
        <w:t xml:space="preserve">39</w:t>
      </w:r>
      <w:r>
        <w:t xml:space="preserve">. doi:</w:t>
      </w:r>
      <w:hyperlink r:id="rId102">
        <w:r>
          <w:rPr>
            <w:rStyle w:val="Hyperlink"/>
          </w:rPr>
          <w:t xml:space="preserve">10.1093/bioinformatics/btac796</w:t>
        </w:r>
      </w:hyperlink>
      <w:r>
        <w:t xml:space="preserve">.</w:t>
      </w:r>
    </w:p>
    <w:bookmarkEnd w:id="103"/>
    <w:bookmarkStart w:id="105" w:name="ref-ohdsi2019book"/>
    <w:p>
      <w:pPr>
        <w:pStyle w:val="Bibliography"/>
      </w:pPr>
      <w:r>
        <w:t xml:space="preserve">27.</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4">
        <w:r>
          <w:rPr>
            <w:rStyle w:val="Hyperlink"/>
          </w:rPr>
          <w:t xml:space="preserve">https://ohdsi.github.io/TheBookOfOhdsi/</w:t>
        </w:r>
      </w:hyperlink>
      <w:r>
        <w:t xml:space="preserve">.</w:t>
      </w:r>
    </w:p>
    <w:bookmarkEnd w:id="105"/>
    <w:bookmarkStart w:id="107" w:name="ref-brown2020"/>
    <w:p>
      <w:pPr>
        <w:pStyle w:val="Bibliography"/>
      </w:pPr>
      <w:r>
        <w:t xml:space="preserve">28.</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6">
        <w:r>
          <w:rPr>
            <w:rStyle w:val="Hyperlink"/>
          </w:rPr>
          <w:t xml:space="preserve">10.1093/jamia/ocaa028</w:t>
        </w:r>
      </w:hyperlink>
      <w:r>
        <w:t xml:space="preserve">.</w:t>
      </w:r>
    </w:p>
    <w:bookmarkEnd w:id="107"/>
    <w:bookmarkStart w:id="109" w:name="ref-fleurence2014"/>
    <w:p>
      <w:pPr>
        <w:pStyle w:val="Bibliography"/>
      </w:pPr>
      <w:r>
        <w:t xml:space="preserve">29.</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8">
        <w:r>
          <w:rPr>
            <w:rStyle w:val="Hyperlink"/>
          </w:rPr>
          <w:t xml:space="preserve">10.1136/amiajnl-2014-002747</w:t>
        </w:r>
      </w:hyperlink>
      <w:r>
        <w:t xml:space="preserve">.</w:t>
      </w:r>
    </w:p>
    <w:bookmarkEnd w:id="109"/>
    <w:bookmarkStart w:id="111" w:name="ref-thurin2021"/>
    <w:p>
      <w:pPr>
        <w:pStyle w:val="Bibliography"/>
      </w:pPr>
      <w:r>
        <w:t xml:space="preserve">30.</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10">
        <w:r>
          <w:rPr>
            <w:rStyle w:val="Hyperlink"/>
          </w:rPr>
          <w:t xml:space="preserve">10.1002/cpt.2476</w:t>
        </w:r>
      </w:hyperlink>
      <w:r>
        <w:t xml:space="preserve">.</w:t>
      </w:r>
    </w:p>
    <w:bookmarkEnd w:id="111"/>
    <w:bookmarkStart w:id="113" w:name="ref-gonzales2023"/>
    <w:p>
      <w:pPr>
        <w:pStyle w:val="Bibliography"/>
      </w:pPr>
      <w:r>
        <w:t xml:space="preserve">31.</w:t>
      </w:r>
      <w:r>
        <w:t xml:space="preserve"> </w:t>
      </w:r>
      <w:r>
        <w:t xml:space="preserve">	</w:t>
      </w:r>
      <w:r>
        <w:t xml:space="preserve">Gonzales A, Guruswamy G, Smith SR. Synthetic data in health care: A narrative review. Johnson A (ed.).</w:t>
      </w:r>
      <w:r>
        <w:t xml:space="preserve"> </w:t>
      </w:r>
      <w:r>
        <w:rPr>
          <w:iCs/>
          <w:i/>
        </w:rPr>
        <w:t xml:space="preserve">PLOS Digital Health</w:t>
      </w:r>
      <w:r>
        <w:t xml:space="preserve"> </w:t>
      </w:r>
      <w:r>
        <w:t xml:space="preserve">2023;</w:t>
      </w:r>
      <w:r>
        <w:t xml:space="preserve"> </w:t>
      </w:r>
      <w:r>
        <w:rPr>
          <w:bCs/>
          <w:b/>
        </w:rPr>
        <w:t xml:space="preserve">2</w:t>
      </w:r>
      <w:r>
        <w:t xml:space="preserve">: e0000082. doi:</w:t>
      </w:r>
      <w:hyperlink r:id="rId112">
        <w:r>
          <w:rPr>
            <w:rStyle w:val="Hyperlink"/>
          </w:rPr>
          <w:t xml:space="preserve">10.1371/journal.pdig.0000082</w:t>
        </w:r>
      </w:hyperlink>
      <w:r>
        <w:t xml:space="preserve">.</w:t>
      </w:r>
    </w:p>
    <w:bookmarkEnd w:id="113"/>
    <w:bookmarkStart w:id="115" w:name="ref-orsini2020"/>
    <w:p>
      <w:pPr>
        <w:pStyle w:val="Bibliography"/>
      </w:pPr>
      <w:r>
        <w:t xml:space="preserve">32.</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4">
        <w:r>
          <w:rPr>
            <w:rStyle w:val="Hyperlink"/>
          </w:rPr>
          <w:t xml:space="preserve">10.1002/pds.5079</w:t>
        </w:r>
      </w:hyperlink>
      <w:r>
        <w:t xml:space="preserve">.</w:t>
      </w:r>
    </w:p>
    <w:bookmarkEnd w:id="115"/>
    <w:bookmarkStart w:id="117" w:name="ref-fdaRWE2021"/>
    <w:p>
      <w:pPr>
        <w:pStyle w:val="Bibliography"/>
      </w:pPr>
      <w:r>
        <w:t xml:space="preserve">33.</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6">
        <w:r>
          <w:rPr>
            <w:rStyle w:val="Hyperlink"/>
          </w:rPr>
          <w:t xml:space="preserve">https://www.fda.gov/regulatory-information/search-fda-guidance-documents/considerations-use-real-world-data-and-real-world-evidence-support-regulatory-decision-making-drug</w:t>
        </w:r>
      </w:hyperlink>
      <w:r>
        <w:t xml:space="preserve">.</w:t>
      </w:r>
    </w:p>
    <w:bookmarkEnd w:id="117"/>
    <w:bookmarkStart w:id="119" w:name="ref-NIH2023"/>
    <w:p>
      <w:pPr>
        <w:pStyle w:val="Bibliography"/>
      </w:pPr>
      <w:r>
        <w:t xml:space="preserve">34.</w:t>
      </w:r>
      <w:r>
        <w:t xml:space="preserve"> </w:t>
      </w:r>
      <w:r>
        <w:t xml:space="preserve">	</w:t>
      </w:r>
      <w:r>
        <w:t xml:space="preserve">National Institute of Health (NIH). NIH data management plan policy.). Jan 2023. Accessed 7/03/2023. Available at:</w:t>
      </w:r>
      <w:r>
        <w:t xml:space="preserve"> </w:t>
      </w:r>
      <w:hyperlink r:id="rId118">
        <w:r>
          <w:rPr>
            <w:rStyle w:val="Hyperlink"/>
          </w:rPr>
          <w:t xml:space="preserve">https://sharing.nih.gov/data-management-and-sharing-policy/planning-and-budgeting-for-data-management-and-sharing/writing-a-data-management-and-sharing-plan#after</w:t>
        </w:r>
      </w:hyperlink>
      <w:r>
        <w:t xml:space="preserve">.</w:t>
      </w:r>
    </w:p>
    <w:bookmarkEnd w:id="119"/>
    <w:bookmarkStart w:id="121" w:name="ref-PCORI2023"/>
    <w:p>
      <w:pPr>
        <w:pStyle w:val="Bibliography"/>
      </w:pPr>
      <w:r>
        <w:t xml:space="preserve">35.</w:t>
      </w:r>
      <w:r>
        <w:t xml:space="preserve"> </w:t>
      </w:r>
      <w:r>
        <w:t xml:space="preserve">	</w:t>
      </w:r>
      <w:r>
        <w:t xml:space="preserve">Patient-Centered Outcomes Research Institute (PCORI). Policy for data management and data sharing. Accessed 7/03/2023. Available at:</w:t>
      </w:r>
      <w:r>
        <w:t xml:space="preserve"> </w:t>
      </w:r>
      <w:hyperlink r:id="rId120">
        <w:r>
          <w:rPr>
            <w:rStyle w:val="Hyperlink"/>
          </w:rPr>
          <w:t xml:space="preserve">https://www.pcori.org/about/governance/policy-data-management-and-data-sharing</w:t>
        </w:r>
      </w:hyperlink>
      <w:r>
        <w:t xml:space="preserve">.</w:t>
      </w:r>
    </w:p>
    <w:bookmarkEnd w:id="121"/>
    <w:bookmarkStart w:id="123" w:name="ref-kent2021"/>
    <w:p>
      <w:pPr>
        <w:pStyle w:val="Bibliography"/>
      </w:pPr>
      <w:r>
        <w:t xml:space="preserve">36.</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22">
        <w:r>
          <w:rPr>
            <w:rStyle w:val="Hyperlink"/>
          </w:rPr>
          <w:t xml:space="preserve">10.2217/cer-2021-0108</w:t>
        </w:r>
      </w:hyperlink>
      <w:r>
        <w:t xml:space="preserve">.</w:t>
      </w:r>
    </w:p>
    <w:bookmarkEnd w:id="123"/>
    <w:bookmarkEnd w:id="124"/>
    <w:p>
      <w:r>
        <w:br w:type="page"/>
      </w:r>
    </w:p>
    <w:bookmarkEnd w:id="125"/>
    <w:bookmarkStart w:id="150"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9" w:name="fig-RStudio-gui"/>
          <w:p>
            <w:pPr>
              <w:jc w:val="center"/>
            </w:pPr>
            <w:r>
              <w:drawing>
                <wp:inline>
                  <wp:extent cx="2971800" cy="7102415"/>
                  <wp:effectExtent b="0" l="0" r="0" t="0"/>
                  <wp:docPr descr="" title="" id="127" name="Picture"/>
                  <a:graphic>
                    <a:graphicData uri="http://schemas.openxmlformats.org/drawingml/2006/picture">
                      <pic:pic>
                        <pic:nvPicPr>
                          <pic:cNvPr descr="../figures/Figure_1_RStudio_init.png" id="128" name="Picture"/>
                          <pic:cNvPicPr>
                            <a:picLocks noChangeArrowheads="1" noChangeAspect="1"/>
                          </pic:cNvPicPr>
                        </pic:nvPicPr>
                        <pic:blipFill>
                          <a:blip r:embed="rId126"/>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29"/>
        </w:tc>
      </w:tr>
    </w:tbl>
    <w:p>
      <w:r>
        <w:br w:type="page"/>
      </w:r>
    </w:p>
    <w:tbl>
      <w:tblPr>
        <w:tblStyle w:val="Table"/>
        <w:tblW w:type="pct" w:w="5000"/>
        <w:tblLook w:firstRow="0" w:lastRow="0" w:firstColumn="0" w:lastColumn="0" w:noHBand="0" w:noVBand="0" w:val="0000"/>
        <w:jc w:val="start"/>
      </w:tblPr>
      <w:tblGrid>
        <w:gridCol w:w="7920"/>
      </w:tblGrid>
      <w:tr>
        <w:tc>
          <w:tcPr/>
          <w:bookmarkStart w:id="133" w:name="fig-structure"/>
          <w:p>
            <w:pPr>
              <w:jc w:val="center"/>
            </w:pPr>
            <w:r>
              <w:drawing>
                <wp:inline>
                  <wp:extent cx="3566160" cy="7360720"/>
                  <wp:effectExtent b="0" l="0" r="0" t="0"/>
                  <wp:docPr descr="" title="" id="131" name="Picture"/>
                  <a:graphic>
                    <a:graphicData uri="http://schemas.openxmlformats.org/drawingml/2006/picture">
                      <pic:pic>
                        <pic:nvPicPr>
                          <pic:cNvPr descr="../figures/Figure_2_repo_structure.png" id="132" name="Picture"/>
                          <pic:cNvPicPr>
                            <a:picLocks noChangeArrowheads="1" noChangeAspect="1"/>
                          </pic:cNvPicPr>
                        </pic:nvPicPr>
                        <pic:blipFill>
                          <a:blip r:embed="rId130"/>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 *.qmd = Markdown-specific format based on the Quarto open-source scientific and technical publishing system.</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workflow"/>
          <w:p>
            <w:pPr>
              <w:jc w:val="center"/>
            </w:pPr>
            <w:r>
              <w:drawing>
                <wp:inline>
                  <wp:extent cx="5943600" cy="4343532"/>
                  <wp:effectExtent b="0" l="0" r="0" t="0"/>
                  <wp:docPr descr="" title="" id="135" name="Picture"/>
                  <a:graphic>
                    <a:graphicData uri="http://schemas.openxmlformats.org/drawingml/2006/picture">
                      <pic:pic>
                        <pic:nvPicPr>
                          <pic:cNvPr descr="../figures/Figure_3_workflow.png" id="136" name="Picture"/>
                          <pic:cNvPicPr>
                            <a:picLocks noChangeArrowheads="1" noChangeAspect="1"/>
                          </pic:cNvPicPr>
                        </pic:nvPicPr>
                        <pic:blipFill>
                          <a:blip r:embed="rId134"/>
                          <a:stretch>
                            <a:fillRect/>
                          </a:stretch>
                        </pic:blipFill>
                        <pic:spPr bwMode="auto">
                          <a:xfrm>
                            <a:off x="0" y="0"/>
                            <a:ext cx="5943600" cy="43435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stage-commit-RStudio-gui"/>
          <w:p>
            <w:pPr>
              <w:jc w:val="center"/>
            </w:pPr>
            <w:r>
              <w:drawing>
                <wp:inline>
                  <wp:extent cx="5943600" cy="3043123"/>
                  <wp:effectExtent b="0" l="0" r="0" t="0"/>
                  <wp:docPr descr="" title="" id="139" name="Picture"/>
                  <a:graphic>
                    <a:graphicData uri="http://schemas.openxmlformats.org/drawingml/2006/picture">
                      <pic:pic>
                        <pic:nvPicPr>
                          <pic:cNvPr descr="../figures/Figure_4_stage_commit.png" id="140" name="Picture"/>
                          <pic:cNvPicPr>
                            <a:picLocks noChangeArrowheads="1" noChangeAspect="1"/>
                          </pic:cNvPicPr>
                        </pic:nvPicPr>
                        <pic:blipFill>
                          <a:blip r:embed="rId138"/>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collaborate"/>
          <w:p>
            <w:pPr>
              <w:jc w:val="center"/>
            </w:pPr>
            <w:r>
              <w:drawing>
                <wp:inline>
                  <wp:extent cx="5943600" cy="3343275"/>
                  <wp:effectExtent b="0" l="0" r="0" t="0"/>
                  <wp:docPr descr="" title="" id="143" name="Picture"/>
                  <a:graphic>
                    <a:graphicData uri="http://schemas.openxmlformats.org/drawingml/2006/picture">
                      <pic:pic>
                        <pic:nvPicPr>
                          <pic:cNvPr descr="../figures/Figure_5_collaboration.png" id="144" name="Picture"/>
                          <pic:cNvPicPr>
                            <a:picLocks noChangeArrowheads="1" noChangeAspect="1"/>
                          </pic:cNvPicPr>
                        </pic:nvPicPr>
                        <pic:blipFill>
                          <a:blip r:embed="rId142"/>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5"/>
        </w:tc>
      </w:tr>
    </w:tbl>
    <w:p>
      <w:r>
        <w:br w:type="page"/>
      </w:r>
    </w:p>
    <w:tbl>
      <w:tblPr>
        <w:tblStyle w:val="Table"/>
        <w:tblW w:type="pct" w:w="5000"/>
        <w:tblLook w:firstRow="0" w:lastRow="0" w:firstColumn="0" w:lastColumn="0" w:noHBand="0" w:noVBand="0" w:val="0000"/>
        <w:jc w:val="start"/>
      </w:tblPr>
      <w:tblGrid>
        <w:gridCol w:w="7920"/>
      </w:tblGrid>
      <w:tr>
        <w:tc>
          <w:tcPr/>
          <w:bookmarkStart w:id="149" w:name="fig-GitHub-gui_changes"/>
          <w:p>
            <w:pPr>
              <w:jc w:val="center"/>
            </w:pPr>
            <w:r>
              <w:drawing>
                <wp:inline>
                  <wp:extent cx="5943600" cy="4591210"/>
                  <wp:effectExtent b="0" l="0" r="0" t="0"/>
                  <wp:docPr descr="" title="" id="147" name="Picture"/>
                  <a:graphic>
                    <a:graphicData uri="http://schemas.openxmlformats.org/drawingml/2006/picture">
                      <pic:pic>
                        <pic:nvPicPr>
                          <pic:cNvPr descr="../figures/Figure_6_commit_GitHub_gui.png" id="148" name="Picture"/>
                          <pic:cNvPicPr>
                            <a:picLocks noChangeArrowheads="1" noChangeAspect="1"/>
                          </pic:cNvPicPr>
                        </pic:nvPicPr>
                        <pic:blipFill>
                          <a:blip r:embed="rId146"/>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 The unique abbreviated SHA token for this specific change/commit is</w:t>
            </w:r>
            <w:r>
              <w:t xml:space="preserve"> </w:t>
            </w:r>
            <w:r>
              <w:t xml:space="preserve">‘</w:t>
            </w:r>
            <w:r>
              <w:t xml:space="preserve">9b1a94c</w:t>
            </w:r>
            <w:r>
              <w:t xml:space="preserve">’</w:t>
            </w:r>
            <w:r>
              <w:t xml:space="preserve"> </w:t>
            </w:r>
            <w:r>
              <w:t xml:space="preserve">(see</w:t>
            </w:r>
            <w:r>
              <w:t xml:space="preserve"> </w:t>
            </w:r>
            <w:r>
              <w:t xml:space="preserve">‘</w:t>
            </w:r>
            <w:r>
              <w:t xml:space="preserve">Commit SHA token</w:t>
            </w:r>
            <w:r>
              <w:t xml:space="preserve">’</w:t>
            </w:r>
            <w:r>
              <w:t xml:space="preserve"> </w:t>
            </w:r>
            <w:r>
              <w:t xml:space="preserve">box on the upper right of the figure).</w:t>
            </w:r>
          </w:p>
          <w:bookmarkEnd w:id="149"/>
        </w:tc>
      </w:tr>
    </w:tbl>
    <w:bookmarkEnd w:id="150"/>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26" Target="media/rId26.png" /><Relationship Type="http://schemas.openxmlformats.org/officeDocument/2006/relationships/hyperlink" Id="rId92"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7" Target="https://cioms.ch/wp-content/uploads/2020/03/CIOMS-WG-XIII_6June2023_Draft-report-for-comment-1.pdfA" TargetMode="External" /><Relationship Type="http://schemas.openxmlformats.org/officeDocument/2006/relationships/hyperlink" Id="rId94" Target="https://docs.github.com/en/get-started/quickstart/fork-a-repo" TargetMode="External" /><Relationship Type="http://schemas.openxmlformats.org/officeDocument/2006/relationships/hyperlink" Id="rId110" Target="https://doi.org/10.1002/cpt.2476" TargetMode="External" /><Relationship Type="http://schemas.openxmlformats.org/officeDocument/2006/relationships/hyperlink" Id="rId55" Target="https://doi.org/10.1002/cpt.59" TargetMode="External" /><Relationship Type="http://schemas.openxmlformats.org/officeDocument/2006/relationships/hyperlink" Id="rId90" Target="https://doi.org/10.1002/pds.4295" TargetMode="External" /><Relationship Type="http://schemas.openxmlformats.org/officeDocument/2006/relationships/hyperlink" Id="rId65" Target="https://doi.org/10.1002/pds.4297" TargetMode="External" /><Relationship Type="http://schemas.openxmlformats.org/officeDocument/2006/relationships/hyperlink" Id="rId114" Target="https://doi.org/10.1002/pds.5079" TargetMode="External" /><Relationship Type="http://schemas.openxmlformats.org/officeDocument/2006/relationships/hyperlink" Id="rId67" Target="https://doi.org/10.1002/pds.5507" TargetMode="External" /><Relationship Type="http://schemas.openxmlformats.org/officeDocument/2006/relationships/hyperlink" Id="rId59"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2" Target="https://doi.org/10.1093/bioinformatics/btac796"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61"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112" Target="https://doi.org/10.1371/journal.pdig.0000082" TargetMode="External" /><Relationship Type="http://schemas.openxmlformats.org/officeDocument/2006/relationships/hyperlink" Id="rId73" Target="https://doi.org/10.1371/journal.pone.0205898" TargetMode="External" /><Relationship Type="http://schemas.openxmlformats.org/officeDocument/2006/relationships/hyperlink" Id="rId122" Target="https://doi.org/10.2217/cer-2021-0108" TargetMode="External" /><Relationship Type="http://schemas.openxmlformats.org/officeDocument/2006/relationships/hyperlink" Id="rId96" Target="https://doi.org/10.2777/298228" TargetMode="External" /><Relationship Type="http://schemas.openxmlformats.org/officeDocument/2006/relationships/hyperlink" Id="rId63"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8" Target="https://sharing.nih.gov/data-management-and-sharing-policy/planning-and-budgeting-for-data-management-and-sharing/writing-a-data-management-and-sharing-plan#after" TargetMode="External" /><Relationship Type="http://schemas.openxmlformats.org/officeDocument/2006/relationships/hyperlink" Id="rId53" Target="https://www.fda.gov/downloads/ScienceResearch/SpecialTopics/RealWorldEvidence/UCM627769.pdf" TargetMode="External" /><Relationship Type="http://schemas.openxmlformats.org/officeDocument/2006/relationships/hyperlink" Id="rId116" Target="https://www.fda.gov/regulatory-information/search-fda-guidance-documents/considerations-use-real-world-data-and-real-world-evidence-support-regulatory-decision-making-drug" TargetMode="External" /><Relationship Type="http://schemas.openxmlformats.org/officeDocument/2006/relationships/hyperlink" Id="rId120" Target="https://www.pcori.org/about/governance/policy-data-management-and-data-sharing" TargetMode="External" /><Relationship Type="http://schemas.openxmlformats.org/officeDocument/2006/relationships/hyperlink" Id="rId98" Target="https://zenodo.org" TargetMode="External" /><Relationship Type="http://schemas.openxmlformats.org/officeDocument/2006/relationships/hyperlink" Id="rId100"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92"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7" Target="https://cioms.ch/wp-content/uploads/2020/03/CIOMS-WG-XIII_6June2023_Draft-report-for-comment-1.pdfA" TargetMode="External" /><Relationship Type="http://schemas.openxmlformats.org/officeDocument/2006/relationships/hyperlink" Id="rId94" Target="https://docs.github.com/en/get-started/quickstart/fork-a-repo" TargetMode="External" /><Relationship Type="http://schemas.openxmlformats.org/officeDocument/2006/relationships/hyperlink" Id="rId110" Target="https://doi.org/10.1002/cpt.2476" TargetMode="External" /><Relationship Type="http://schemas.openxmlformats.org/officeDocument/2006/relationships/hyperlink" Id="rId55" Target="https://doi.org/10.1002/cpt.59" TargetMode="External" /><Relationship Type="http://schemas.openxmlformats.org/officeDocument/2006/relationships/hyperlink" Id="rId90" Target="https://doi.org/10.1002/pds.4295" TargetMode="External" /><Relationship Type="http://schemas.openxmlformats.org/officeDocument/2006/relationships/hyperlink" Id="rId65" Target="https://doi.org/10.1002/pds.4297" TargetMode="External" /><Relationship Type="http://schemas.openxmlformats.org/officeDocument/2006/relationships/hyperlink" Id="rId114" Target="https://doi.org/10.1002/pds.5079" TargetMode="External" /><Relationship Type="http://schemas.openxmlformats.org/officeDocument/2006/relationships/hyperlink" Id="rId67" Target="https://doi.org/10.1002/pds.5507" TargetMode="External" /><Relationship Type="http://schemas.openxmlformats.org/officeDocument/2006/relationships/hyperlink" Id="rId59"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2" Target="https://doi.org/10.1093/bioinformatics/btac796"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61"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112" Target="https://doi.org/10.1371/journal.pdig.0000082" TargetMode="External" /><Relationship Type="http://schemas.openxmlformats.org/officeDocument/2006/relationships/hyperlink" Id="rId73" Target="https://doi.org/10.1371/journal.pone.0205898" TargetMode="External" /><Relationship Type="http://schemas.openxmlformats.org/officeDocument/2006/relationships/hyperlink" Id="rId122" Target="https://doi.org/10.2217/cer-2021-0108" TargetMode="External" /><Relationship Type="http://schemas.openxmlformats.org/officeDocument/2006/relationships/hyperlink" Id="rId96" Target="https://doi.org/10.2777/298228" TargetMode="External" /><Relationship Type="http://schemas.openxmlformats.org/officeDocument/2006/relationships/hyperlink" Id="rId63"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8" Target="https://sharing.nih.gov/data-management-and-sharing-policy/planning-and-budgeting-for-data-management-and-sharing/writing-a-data-management-and-sharing-plan#after" TargetMode="External" /><Relationship Type="http://schemas.openxmlformats.org/officeDocument/2006/relationships/hyperlink" Id="rId53" Target="https://www.fda.gov/downloads/ScienceResearch/SpecialTopics/RealWorldEvidence/UCM627769.pdf" TargetMode="External" /><Relationship Type="http://schemas.openxmlformats.org/officeDocument/2006/relationships/hyperlink" Id="rId116" Target="https://www.fda.gov/regulatory-information/search-fda-guidance-documents/considerations-use-real-world-data-and-real-world-evidence-support-regulatory-decision-making-drug" TargetMode="External" /><Relationship Type="http://schemas.openxmlformats.org/officeDocument/2006/relationships/hyperlink" Id="rId120" Target="https://www.pcori.org/about/governance/policy-data-management-and-data-sharing" TargetMode="External" /><Relationship Type="http://schemas.openxmlformats.org/officeDocument/2006/relationships/hyperlink" Id="rId98" Target="https://zenodo.org" TargetMode="External" /><Relationship Type="http://schemas.openxmlformats.org/officeDocument/2006/relationships/hyperlink" Id="rId100"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2023-11-23T17:52:01Z</dcterms:created>
  <dcterms:modified xsi:type="dcterms:W3CDTF">2023-11-23T17:52:01Z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