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7.jpg" ContentType="image/jpeg"/>
  <Override PartName="/word/media/rId126.jpg" ContentType="image/jpeg"/>
  <Override PartName="/word/media/rId25.png" ContentType="image/png"/>
  <Override PartName="/word/media/rId1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databases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4</w:t>
      </w:r>
      <w:r>
        <w:t xml:space="preserve">, Wei Liu</w:t>
      </w:r>
      <w:r>
        <w:rPr>
          <w:vertAlign w:val="superscript"/>
        </w:rPr>
        <w:t xml:space="preserve">4</w:t>
      </w:r>
      <w:r>
        <w:t xml:space="preserve">, Jie Li</w:t>
      </w:r>
      <w:r>
        <w:rPr>
          <w:vertAlign w:val="superscript"/>
        </w:rPr>
        <w:t xml:space="preserve">4</w:t>
      </w:r>
      <w:r>
        <w:t xml:space="preserve">, José J. Hernández-Muñoz</w:t>
      </w:r>
      <w:r>
        <w:rPr>
          <w:vertAlign w:val="superscript"/>
        </w:rPr>
        <w:t xml:space="preserve">4</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Department of Population Health Sciences, Duke University School of Medicine, Durham, NC</w:t>
      </w:r>
    </w:p>
    <w:p>
      <w:pPr>
        <w:pStyle w:val="BodyText"/>
      </w:pPr>
      <w:r>
        <w:rPr>
          <w:vertAlign w:val="superscript"/>
        </w:rPr>
        <w:t xml:space="preserve">3</w:t>
      </w:r>
      <w:r>
        <w:t xml:space="preserve">Biostatistics Division, Kaiser Permanente Washington Health Research Institute, Seattle, WA</w:t>
      </w:r>
    </w:p>
    <w:p>
      <w:pPr>
        <w:pStyle w:val="BodyText"/>
      </w:pPr>
      <w:r>
        <w:rPr>
          <w:vertAlign w:val="superscript"/>
        </w:rPr>
        <w:t xml:space="preserve">4</w:t>
      </w:r>
      <w:r>
        <w:t xml:space="preserve">Center for Drug Evaluation and Research, Food and Drug Administration, Silver Spring, MD</w:t>
      </w:r>
    </w:p>
    <w:p>
      <w:pPr>
        <w:pStyle w:val="BodyText"/>
      </w:pPr>
      <w:r>
        <w:rPr>
          <w:vertAlign w:val="superscript"/>
        </w:rPr>
        <w:t xml:space="preserve">5</w:t>
      </w:r>
      <w:r>
        <w:t xml:space="preserve">Department of Population Medicine, Harvard Medical School and Harvard Pilgrim Health Care Institute,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Application Note</w:t>
      </w:r>
    </w:p>
    <w:p>
      <w:pPr>
        <w:pStyle w:val="BodyText"/>
      </w:pPr>
      <w:r>
        <w:rPr>
          <w:bCs/>
          <w:b/>
          <w:u w:val="single"/>
        </w:rPr>
        <w:t xml:space="preserve">Word count:</w:t>
      </w:r>
      <w:r>
        <w:t xml:space="preserve"> </w:t>
      </w:r>
      <w:r>
        <w:t xml:space="preserve">xxxx words/2000 words</w:t>
      </w:r>
    </w:p>
    <w:p>
      <w:pPr>
        <w:pStyle w:val="BodyText"/>
      </w:pPr>
      <w:r>
        <w:rPr>
          <w:bCs/>
          <w:b/>
          <w:u w:val="single"/>
        </w:rPr>
        <w:t xml:space="preserve">Tables:</w:t>
      </w:r>
      <w:r>
        <w:t xml:space="preserve"> </w:t>
      </w:r>
      <w:r>
        <w:rPr>
          <w:bCs/>
          <w:b/>
        </w:rPr>
        <w:t xml:space="preserve">x/2</w:t>
      </w:r>
    </w:p>
    <w:p>
      <w:pPr>
        <w:pStyle w:val="BodyText"/>
      </w:pPr>
      <w:r>
        <w:rPr>
          <w:bCs/>
          <w:b/>
          <w:u w:val="single"/>
        </w:rPr>
        <w:t xml:space="preserve">Figures:</w:t>
      </w:r>
      <w:r>
        <w:t xml:space="preserve"> </w:t>
      </w:r>
      <w:r>
        <w:rPr>
          <w:bCs/>
          <w:b/>
        </w:rPr>
        <w:t xml:space="preserve">x/3</w:t>
      </w:r>
    </w:p>
    <w:p>
      <w:pPr>
        <w:pStyle w:val="BodyText"/>
      </w:pPr>
      <w:r>
        <w:rPr>
          <w:bCs/>
          <w:b/>
          <w:u w:val="single"/>
        </w:rPr>
        <w:t xml:space="preserve">Supplementary material:</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depedency information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xxx words/150 words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numPr>
                <w:ilvl w:val="0"/>
                <w:numId w:val="1001"/>
              </w:numPr>
              <w:pStyle w:val="Compact"/>
            </w:pPr>
            <w:r>
              <w:t xml:space="preserve">…</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coming from randomized controlled trials (RCTs)</w:t>
      </w:r>
      <w:r>
        <w:t xml:space="preserve"> </w:t>
      </w:r>
      <w:r>
        <w:t xml:space="preserve">[1,2]</w:t>
      </w:r>
      <w:r>
        <w:t xml:space="preserve">. Due to their detailed capture of clinical parameters such as vital signs, lab measurements, physician assessments and lifestyle factors, EHRs can significantly improve the ability to control for confounding and imbalances in prognostic factors between treatment groups, especially when linked to administrative claims databases</w:t>
      </w:r>
      <w:r>
        <w:t xml:space="preserve"> </w:t>
      </w:r>
      <w:r>
        <w:t xml:space="preserve">[3]</w:t>
      </w:r>
      <w:r>
        <w:t xml:space="preserve">. However, such prognostic factors are often just partially observed which challenges the statistical analysis of the data and can result in severe bias when predicting or estimating treatment effects if not handled appropriately</w:t>
      </w:r>
      <w:r>
        <w:t xml:space="preserve"> </w:t>
      </w:r>
      <w:r>
        <w:t xml:space="preserve">[4–6]</w:t>
      </w:r>
      <w:r>
        <w:t xml:space="preserve">.</w:t>
      </w:r>
    </w:p>
    <w:p>
      <w:pPr>
        <w:pStyle w:val="BodyText"/>
      </w:pPr>
      <w:r>
        <w:t xml:space="preserve">In order to make an informed decision about the most appropriate analytic approach, it is crucial to investigate and understand the potential patterns and mechanisms that underlie the partially observed confounder (POC) data (see definitions box)</w:t>
      </w:r>
      <w:r>
        <w:t xml:space="preserve"> </w:t>
      </w:r>
      <w:r>
        <w:t xml:space="preserve">[7–9]</w:t>
      </w:r>
      <w:r>
        <w:t xml:space="preserve">. Usually these are not known for a given RWE study but general guidance papers and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 based on observed data</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guided by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2"/>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2"/>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3"/>
              </w:numPr>
            </w:pPr>
            <w:r>
              <w:rPr>
                <w:bCs/>
                <w:b/>
              </w:rPr>
              <w:t xml:space="preserve">MCAR</w:t>
            </w:r>
            <w:r>
              <w:t xml:space="preserve">: The missingness does not depend on any other observed or unobserved covariate(s).</w:t>
            </w:r>
          </w:p>
          <w:p>
            <w:pPr>
              <w:numPr>
                <w:ilvl w:val="0"/>
                <w:numId w:val="1003"/>
              </w:numPr>
            </w:pPr>
            <w:r>
              <w:rPr>
                <w:bCs/>
                <w:b/>
              </w:rPr>
              <w:t xml:space="preserve">MCAR</w:t>
            </w:r>
            <w:r>
              <w:t xml:space="preserve">: The missingness depends and can be explained by other observed covariates.</w:t>
            </w:r>
          </w:p>
          <w:p>
            <w:pPr>
              <w:numPr>
                <w:ilvl w:val="0"/>
                <w:numId w:val="1003"/>
              </w:numPr>
            </w:pPr>
            <w:r>
              <w:rPr>
                <w:bCs/>
                <w:b/>
              </w:rPr>
              <w:t xml:space="preserve">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29"/>
    <w:p>
      <w:pPr>
        <w:pStyle w:val="FirstParagraph"/>
      </w:pPr>
      <w:r>
        <w:t xml:space="preserve">In light of these limitations, we have recently developed and evaluated a principled approach combining a range of missing data diagnostics in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 (e.g., missing data imputation).</w:t>
      </w:r>
    </w:p>
    <w:bookmarkEnd w:id="30"/>
    <w:bookmarkStart w:id="31" w:name="objective"/>
    <w:p>
      <w:pPr>
        <w:pStyle w:val="Heading1"/>
      </w:pPr>
      <w:r>
        <w:t xml:space="preserve">Objective</w:t>
      </w:r>
    </w:p>
    <w:p>
      <w:pPr>
        <w:pStyle w:val="FirstParagraph"/>
      </w:pPr>
      <w:r>
        <w:t xml:space="preserve">To streamline and ease the implementation of these routine missing data diagnostics for confounder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 The goal of</w:t>
      </w:r>
      <w:r>
        <w:t xml:space="preserve"> </w:t>
      </w:r>
      <w:r>
        <w:rPr>
          <w:rStyle w:val="VerbatimChar"/>
        </w:rPr>
        <w:t xml:space="preserve">smdi</w:t>
      </w:r>
      <w:r>
        <w:t xml:space="preserve"> </w:t>
      </w:r>
      <w:r>
        <w:t xml:space="preserve">was to provide a toolbox of different diagnostics to analyze the potentially underlying missingness patterns and mechanisms of POCs in RWE studies.</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2">
        <w:r>
          <w:rPr>
            <w:rStyle w:val="Hyperlink"/>
          </w:rPr>
          <w:t xml:space="preserve">https://cran.r-project.org/web/packages/smdi</w:t>
        </w:r>
      </w:hyperlink>
      <w:r>
        <w:t xml:space="preserve">){.uri}) and GitLab (</w:t>
      </w:r>
      <w:hyperlink r:id="rId33">
        <w:r>
          <w:rPr>
            <w:rStyle w:val="Hyperlink"/>
          </w:rPr>
          <w:t xml:space="preserve">https://gitlab-scm.partners.org/janickweberpals/smdi</w:t>
        </w:r>
      </w:hyperlink>
      <w:r>
        <w:t xml:space="preserve">) and can be installed via the</w:t>
      </w:r>
      <w:r>
        <w:t xml:space="preserve"> </w:t>
      </w:r>
      <w:r>
        <w:rPr>
          <w:rStyle w:val="VerbatimChar"/>
        </w:rPr>
        <w:t xml:space="preserve">install.packages("smdi")</w:t>
      </w:r>
      <w:r>
        <w:t xml:space="preserve"> </w:t>
      </w:r>
      <w:r>
        <w:t xml:space="preserve">command. To ensure the quality and robustness of the package and corresponding functions, we implemented comprehensive unit tests with a coverage of 95.81% and established automated R CMD checks</w:t>
      </w:r>
      <w:r>
        <w:t xml:space="preserve"> </w:t>
      </w:r>
      <w:r>
        <w:t xml:space="preserve">[24]</w:t>
      </w:r>
      <w:r>
        <w:t xml:space="preserve"> </w:t>
      </w:r>
      <w:r>
        <w:t xml:space="preserve">via continuous integration and deployment which are scheduled to execute on a daily basis. Additional resources such as documentation and vignettes are provided on the package website under</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and functions to systematically approach diagnostics on POCs.</w:t>
      </w:r>
    </w:p>
    <w:p>
      <w:pPr>
        <w:pStyle w:val="BodyText"/>
      </w:pPr>
      <w:r>
        <w:t xml:space="preserve">The workflow is generally categorized into descriptives/pattern diagnostics and inferential diagnostics on potentially underlying missingness mechanisms. In this section, we cover the principles behind the main package functions, a selection of parameters a user can specify, the returned results and the results interpretation. Examples are illustrated using a simulated EHR dataset that is part of the package (more details under</w:t>
      </w:r>
      <w:r>
        <w:t xml:space="preserve"> </w:t>
      </w:r>
      <w:hyperlink r:id="rId36">
        <w:r>
          <w:rPr>
            <w:rStyle w:val="Hyperlink"/>
          </w:rPr>
          <w:t xml:space="preserve">https://janickweberpals.gitlab-pages.partners.org/smdi/articles/a_data_generation.html</w:t>
        </w:r>
      </w:hyperlink>
      <w:r>
        <w:t xml:space="preserve">). 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stand for the variables relevant for the study, i.e., the exposure, outcome, fully observed covariates and the POCs. Any non-informative columns, such as patient identifiers, date columns or zip codes should be dropped from the dataframe before calling the functions. Throughout all functions, the user has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takes the dataframe as input and returns the amount and proportion of missing observations, which can also be stratified by a grouping variable (e.g., by an exposure or outcome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labs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and test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ASMDs along with a corresponding range of minimum and maximum AMSDs observed. The object also returns a detailed</w:t>
      </w:r>
      <w:r>
        <w:t xml:space="preserve"> </w:t>
      </w:r>
      <w:r>
        <w:t xml:space="preserve">‘</w:t>
      </w:r>
      <w:r>
        <w:t xml:space="preserve">Table 1</w:t>
      </w:r>
      <w:r>
        <w:t xml:space="preserve">’</w:t>
      </w:r>
      <w:r>
        <w:t xml:space="preserve"> </w:t>
      </w:r>
      <w:r>
        <w:t xml:space="preserve">for each POC displaying the distributions of observed patient characteristics and resulting ASMDs between patients with and without an observed value for the POC. For a graphical visualization of this, the function returns a figure illustrating the ASMD for each compared patient characteristic (example</w:t>
      </w:r>
      <w:r>
        <w:t xml:space="preserve"> </w:t>
      </w:r>
      <w:hyperlink w:anchor="fig-examples">
        <w:r>
          <w:rPr>
            <w:rStyle w:val="Hyperlink"/>
          </w:rPr>
          <w:t xml:space="preserve">Figure 2</w:t>
        </w:r>
      </w:hyperlink>
      <w:r>
        <w:t xml:space="preserve"> </w:t>
      </w:r>
      <w:r>
        <w:t xml:space="preserve">c)</w:t>
      </w:r>
      <w:r>
        <w:t xml:space="preserve"> </w:t>
      </w:r>
      <w:r>
        <w:t xml:space="preserve">[30]</w:t>
      </w:r>
      <w:r>
        <w:t xml:space="preserve">.</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the differences in patient characteristics as a formal statistical hypothesis test. Hotelling’s test</w:t>
      </w:r>
      <w:r>
        <w:t xml:space="preserve"> </w:t>
      </w:r>
      <w:r>
        <w:t xml:space="preserve">[12,31]</w:t>
      </w:r>
      <w:r>
        <w:t xml:space="preserve"> </w:t>
      </w:r>
      <w:r>
        <w:t xml:space="preserve">formalizes this as a multivariate t-test for each POC, which means that</w:t>
      </w:r>
      <w:r>
        <w:t xml:space="preserve"> </w:t>
      </w:r>
      <w:r>
        <w:rPr>
          <w:rStyle w:val="VerbatimChar"/>
        </w:rPr>
        <w:t xml:space="preserve">smdi_hotelling()</w:t>
      </w:r>
      <w:r>
        <w:t xml:space="preserve"> </w:t>
      </w:r>
      <w:r>
        <w:t xml:space="preserve">returns a test statistic and a corresponding p-value for each each POC separately. In contrast,</w:t>
      </w:r>
      <w:r>
        <w:t xml:space="preserve"> </w:t>
      </w:r>
      <w:r>
        <w:rPr>
          <w:rStyle w:val="VerbatimChar"/>
        </w:rPr>
        <w:t xml:space="preserve">smdi_little()</w:t>
      </w:r>
      <w:r>
        <w:t xml:space="preserve"> </w:t>
      </w:r>
      <w:r>
        <w:t xml:space="preserve">[13,32]</w:t>
      </w:r>
      <w:r>
        <w:t xml:space="preserve"> </w:t>
      </w:r>
      <w:r>
        <w:t xml:space="preserve">computes a single global chi-square test statistic and p-value across all POCs with the null hypothesis that the data is MCAR.</w:t>
      </w:r>
    </w:p>
    <w:bookmarkEnd w:id="38"/>
    <w:bookmarkStart w:id="39" w:name="group-2-diagnostics"/>
    <w:p>
      <w:pPr>
        <w:pStyle w:val="Heading4"/>
      </w:pPr>
      <w:r>
        <w:t xml:space="preserve">Group 2 Diagnostics</w:t>
      </w:r>
    </w:p>
    <w:p>
      <w:pPr>
        <w:pStyle w:val="FirstParagraph"/>
      </w:pPr>
      <w:r>
        <w:t xml:space="preserve">The group 2 diagnostics assesses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[11,33]</w:t>
      </w:r>
      <w:r>
        <w:t xml:space="preserve"> </w:t>
      </w:r>
      <w:r>
        <w:t xml:space="preserve">to predict the missing indicator of the POC given observed covariates as the predictors. If the resulting area under the receiver operating characteristic curve (AUC) is meaningfully higher than 0.5, this would give some evidence for MAR being the underlying missingness mechanism. In case of values close 0.5, this would rather indicate a random prediction and translate to a potential MCAR or MNAR mechanism.</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chosen by the user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prediction model. In case of inflated AUC values (&gt;0.9), the function prompts a message to the user detailing the most important predictor. If another POC is identified as a perfect predictor, the presence of a monotone missing data pattern may be likely in which case it is recommended to exclude this POC and run the diagnostics for each POC independently.</w:t>
      </w:r>
    </w:p>
    <w:bookmarkEnd w:id="39"/>
    <w:bookmarkStart w:id="40" w:name="group-3-diagnostics"/>
    <w:p>
      <w:pPr>
        <w:pStyle w:val="Heading4"/>
      </w:pPr>
      <w:r>
        <w:t xml:space="preserve">Group 3 Diagnostics</w:t>
      </w:r>
    </w:p>
    <w:p>
      <w:pPr>
        <w:pStyle w:val="FirstParagraph"/>
      </w:pPr>
      <w:r>
        <w:t xml:space="preserve">The third group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will compute both a univariate model and a model adjusted for all other covariates included in the dataset. In previous simulations, we observed characteristic patterns for univariate and adjusted associations of the missing indicator and the outcome that matched simulated missingness mechanisms</w:t>
      </w:r>
      <w:r>
        <w:t xml:space="preserve"> </w:t>
      </w:r>
      <w:r>
        <w:t xml:space="preserve">[22]</w:t>
      </w:r>
      <w:r>
        <w:t xml:space="preserve">. As one would expect, under a MCAR mechanism there was no difference in the outcome between patients with and without a value for the POC. Under MAR, given that missingness can be explained by observed covariates, a potential spurious association in the univariate model disappeared after adjustment. If the missingness followed any MNAR mechanism, an association was observed in both univariate and adjusted models.</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[34]</w:t>
      </w:r>
      <w:r>
        <w:t xml:space="preserve">) for continuous outcomes, logistic regression (</w:t>
      </w:r>
      <w:r>
        <w:rPr>
          <w:iCs/>
          <w:i/>
        </w:rPr>
        <w:t xml:space="preserve">glm</w:t>
      </w:r>
      <w:r>
        <w:t xml:space="preserve"> </w:t>
      </w:r>
      <w:r>
        <w:t xml:space="preserve">[34]</w:t>
      </w:r>
      <w:r>
        <w:t xml:space="preserve">) for binary outcomes and a Cox proportional hazards model (</w:t>
      </w:r>
      <w:r>
        <w:rPr>
          <w:iCs/>
          <w:i/>
        </w:rPr>
        <w:t xml:space="preserve">coxph</w:t>
      </w:r>
      <w:r>
        <w:t xml:space="preserve"> </w:t>
      </w:r>
      <w:r>
        <w:t xml:space="preserve">[35]</w:t>
      </w:r>
      <w:r>
        <w:t xml:space="preserve">) for time-to-event outcomes. Besides the specification of the regression type, the user needs to specify the name of the column that contains the outcome using the</w:t>
      </w:r>
      <w:r>
        <w:t xml:space="preserve"> </w:t>
      </w:r>
      <w:r>
        <w:rPr>
          <w:iCs/>
          <w:i/>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and if resulting beta coefficients should be exponentiated or not.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a user to compute all three group diagnostics with just one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covar =</w:t>
      </w:r>
      <w:r>
        <w:rPr>
          <w:rStyle w:val="NormalTok"/>
        </w:rPr>
        <w:t xml:space="preserve"> </w:t>
      </w:r>
      <w:r>
        <w:rPr>
          <w:rStyle w:val="ConstantTok"/>
        </w:rPr>
        <w:t xml:space="preserve">NULL</w:t>
      </w:r>
      <w:r>
        <w:rPr>
          <w:rStyle w:val="NormalTok"/>
        </w:rPr>
        <w:t xml:space="preserve">, </w:t>
      </w:r>
      <w:r>
        <w:rPr>
          <w:rStyle w:val="CommentTok"/>
        </w:rPr>
        <w:t xml:space="preserve"># NULL includes all covariates with at least one NA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rPr>
          <w:rStyle w:val="NormalTok"/>
        </w:rPr>
        <w:t xml:space="preserve"> </w:t>
      </w:r>
      <w:r>
        <w:rPr>
          <w:rStyle w:val="CommentTok"/>
        </w:rPr>
        <w:t xml:space="preserve"># number of cores to parallelize computations 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smdi_style_gt</w:t>
      </w:r>
      <w:r>
        <w:rPr>
          <w:rStyle w:val="NormalTok"/>
        </w:rPr>
        <w:t xml:space="preserve">()</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the global Little’s test p-value across all covariates (</w:t>
      </w:r>
      <w:r>
        <w:rPr>
          <w:bCs/>
          <w:b/>
        </w:rPr>
        <w:t xml:space="preserve">Table 2</w:t>
      </w:r>
      <w:r>
        <w:t xml:space="preserve">). The</w:t>
      </w:r>
      <w:r>
        <w:t xml:space="preserve"> </w:t>
      </w:r>
      <w:r>
        <w:rPr>
          <w:rStyle w:val="VerbatimChar"/>
        </w:rPr>
        <w:t xml:space="preserve">smdi_style_gt()</w:t>
      </w:r>
      <w:r>
        <w:t xml:space="preserve"> </w:t>
      </w:r>
      <w:r>
        <w:t xml:space="preserve">function is an ancillary function that takes an object of class</w:t>
      </w:r>
      <w:r>
        <w:t xml:space="preserve"> </w:t>
      </w:r>
      <w:r>
        <w:rPr>
          <w:iCs/>
          <w:i/>
        </w:rPr>
        <w:t xml:space="preserve">smdi</w:t>
      </w:r>
      <w:r>
        <w:t xml:space="preserve"> </w:t>
      </w:r>
      <w:r>
        <w:t xml:space="preserve">and produces a formatted and publication-ready gt table</w:t>
      </w:r>
      <w:r>
        <w:t xml:space="preserve"> </w:t>
      </w:r>
      <w:r>
        <w:t xml:space="preserve">[36]</w:t>
      </w:r>
      <w:r>
        <w:t xml:space="preserve"> </w:t>
      </w:r>
      <w:r>
        <w:t xml:space="preserve">which can be seamlessly exported to different file formats (e.g., .docx, .pdf, etc.) for reports or manuscripts.</w:t>
      </w:r>
    </w:p>
    <w:p>
      <w:r>
        <w:br w:type="page"/>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real-world databases and may lead to bias if not handled appropriately. We developed</w:t>
      </w:r>
      <w:r>
        <w:t xml:space="preserve"> </w:t>
      </w:r>
      <w:r>
        <w:rPr>
          <w:rStyle w:val="VerbatimChar"/>
        </w:rPr>
        <w:t xml:space="preserve">smdi</w:t>
      </w:r>
      <w:r>
        <w:t xml:space="preserve"> </w:t>
      </w:r>
      <w:r>
        <w:t xml:space="preserve">to streamline routine diagnostics of missing data. By cross-checking the resulting diagnostic parameters to expected estimates, based on the outlined theoretical assumptions and previous simulation results</w:t>
      </w:r>
      <w:r>
        <w:t xml:space="preserve"> </w:t>
      </w:r>
      <w:r>
        <w:t xml:space="preserve">[22]</w:t>
      </w:r>
      <w:r>
        <w:t xml:space="preserve">, the diagnostics can provide valuable insights into underlying missingness structures and help elucidate if analytic approaches such as missing imputation analyses are viable options (example shown in</w:t>
      </w:r>
      <w:r>
        <w:t xml:space="preserve"> </w:t>
      </w:r>
      <w:hyperlink w:anchor="fig-results">
        <w:r>
          <w:rPr>
            <w:rStyle w:val="Hyperlink"/>
          </w:rPr>
          <w:t xml:space="preserve">Figure 3</w:t>
        </w:r>
      </w:hyperlink>
      <w:r>
        <w:t xml:space="preserve">).</w:t>
      </w:r>
    </w:p>
    <w:p>
      <w:pPr>
        <w:pStyle w:val="BodyText"/>
      </w:pPr>
      <w:r>
        <w:t xml:space="preserve">The package also comes with limitations, such that the true underlying missingness generating mechanism can never be inferred with absolute certainty from the observed data. Hence, it’s important that diagnostic results are complemented with substantive expert knowledge to factor in how covariates are measured in routine care processes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and carry out principled missing data diagnostics in RWE studies and improve the robustness of studies involving POCs by helping elucidate if certain analytic approaches are viable options for a given dataset.</w:t>
      </w:r>
    </w:p>
    <w:p>
      <w:r>
        <w:br w:type="page"/>
      </w:r>
    </w:p>
    <w:bookmarkEnd w:id="45"/>
    <w:bookmarkEnd w:id="46"/>
    <w:bookmarkStart w:id="130" w:name="references"/>
    <w:p>
      <w:pPr>
        <w:pStyle w:val="Heading1"/>
      </w:pPr>
      <w:r>
        <w:t xml:space="preserve">References</w:t>
      </w:r>
    </w:p>
    <w:bookmarkStart w:id="115"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(n.d.).</w:t>
      </w:r>
      <w:r>
        <w:t xml:space="preserve"> </w:t>
      </w:r>
      <w:hyperlink r:id="rId47">
        <w:r>
          <w:rPr>
            <w:rStyle w:val="Hyperlink"/>
          </w:rPr>
          <w:t xml:space="preserve">https://www.fda.gov/downloads/ScienceResearch/SpecialTopics/RealWorldEvidence/UCM627769.pdf</w:t>
        </w:r>
      </w:hyperlink>
      <w:r>
        <w:t xml:space="preserve">.</w:t>
      </w:r>
    </w:p>
    <w:bookmarkEnd w:id="48"/>
    <w:bookmarkStart w:id="50" w:name="ref-Desai2021"/>
    <w:p>
      <w:pPr>
        <w:pStyle w:val="Bibliography"/>
      </w:pPr>
      <w:r>
        <w:t xml:space="preserve">[2]</w:t>
      </w:r>
      <w:r>
        <w:t xml:space="preserve"> </w:t>
      </w:r>
      <w:r>
        <w:t xml:space="preserve">	</w:t>
      </w:r>
      <w:r>
        <w:t xml:space="preserve">R.J. Desai, M.E. Matheny, K. Johnson, K. Marsolo, L.H. Curtis, J.C. Nelson, P.J. Heagerty, J. Maro, J. Brown, S. Toh, M. Nguyen, R. Ball, G. Dal Pan, S.V. Wang, J.J. Gagne, S. Schneeweiss, Broadening the reach of the FDA Sentinel system: A roadmap for integrating electronic health record data in a causal analysis framework, Npj Digital Medicine. 4 (2021). https://doi.org/</w:t>
      </w:r>
      <w:hyperlink r:id="rId49">
        <w:r>
          <w:rPr>
            <w:rStyle w:val="Hyperlink"/>
          </w:rPr>
          <w:t xml:space="preserve">10.1038/s41746-021-00542-0</w:t>
        </w:r>
      </w:hyperlink>
      <w:r>
        <w:t xml:space="preserve">.</w:t>
      </w:r>
    </w:p>
    <w:bookmarkEnd w:id="50"/>
    <w:bookmarkStart w:id="52" w:name="ref-asfaw2022"/>
    <w:p>
      <w:pPr>
        <w:pStyle w:val="Bibliography"/>
      </w:pPr>
      <w:r>
        <w:t xml:space="preserve">[3]</w:t>
      </w:r>
      <w:r>
        <w:t xml:space="preserve"> </w:t>
      </w:r>
      <w:r>
        <w:t xml:space="preserve">	</w:t>
      </w:r>
      <w:r>
        <w:t xml:space="preserve">A. Asfaw, M. Ascha, P. Yerram, S. Reiss, S. Brake, N. Wadé, SA27 Comparison of Comorbidity Indices Between Electronic Health Records (EHR) Derived Database and Claims Data Among Patients With Metastatic Breast Cancer, Value in Health. 25 (2022) S488. https://doi.org/</w:t>
      </w:r>
      <w:hyperlink r:id="rId51">
        <w:r>
          <w:rPr>
            <w:rStyle w:val="Hyperlink"/>
          </w:rPr>
          <w:t xml:space="preserve">10.1016/j.jval.2022.09.2421</w:t>
        </w:r>
      </w:hyperlink>
      <w:r>
        <w:t xml:space="preserve">.</w:t>
      </w:r>
    </w:p>
    <w:bookmarkEnd w:id="52"/>
    <w:bookmarkStart w:id="54" w:name="ref-gorelick2006"/>
    <w:p>
      <w:pPr>
        <w:pStyle w:val="Bibliography"/>
      </w:pPr>
      <w:r>
        <w:t xml:space="preserve">[4]</w:t>
      </w:r>
      <w:r>
        <w:t xml:space="preserve"> </w:t>
      </w:r>
      <w:r>
        <w:t xml:space="preserve">	</w:t>
      </w:r>
      <w:r>
        <w:t xml:space="preserve">M.H. Gorelick, Bias arising from missing data in predictive models, Journal of Clinical Epidemiology. 59 (2006) 1115–1123. https://doi.org/</w:t>
      </w:r>
      <w:hyperlink r:id="rId53">
        <w:r>
          <w:rPr>
            <w:rStyle w:val="Hyperlink"/>
          </w:rPr>
          <w:t xml:space="preserve">10.1016/j.jclinepi.2004.11.029</w:t>
        </w:r>
      </w:hyperlink>
      <w:r>
        <w:t xml:space="preserve">.</w:t>
      </w:r>
    </w:p>
    <w:bookmarkEnd w:id="54"/>
    <w:bookmarkStart w:id="56" w:name="ref-ayilara2019"/>
    <w:p>
      <w:pPr>
        <w:pStyle w:val="Bibliography"/>
      </w:pPr>
      <w:r>
        <w:t xml:space="preserve">[5]</w:t>
      </w:r>
      <w:r>
        <w:t xml:space="preserve"> </w:t>
      </w:r>
      <w:r>
        <w:t xml:space="preserve">	</w:t>
      </w:r>
      <w:r>
        <w:t xml:space="preserve">O.F. Ayilara, L. Zhang, T.T. Sajobi, R. Sawatzky, E. Bohm, L.M. Lix, Impact of missing data on bias and precision when estimating change in patient-reported outcomes from a clinical registry, Health and Quality of Life Outcomes. 17 (2019). https://doi.org/</w:t>
      </w:r>
      <w:hyperlink r:id="rId55">
        <w:r>
          <w:rPr>
            <w:rStyle w:val="Hyperlink"/>
          </w:rPr>
          <w:t xml:space="preserve">10.1186/s12955-019-1181-2</w:t>
        </w:r>
      </w:hyperlink>
      <w:r>
        <w:t xml:space="preserve">.</w:t>
      </w:r>
    </w:p>
    <w:bookmarkEnd w:id="56"/>
    <w:bookmarkStart w:id="58" w:name="ref-groenwold2020"/>
    <w:p>
      <w:pPr>
        <w:pStyle w:val="Bibliography"/>
      </w:pPr>
      <w:r>
        <w:t xml:space="preserve">[6]</w:t>
      </w:r>
      <w:r>
        <w:t xml:space="preserve"> </w:t>
      </w:r>
      <w:r>
        <w:t xml:space="preserve">	</w:t>
      </w:r>
      <w:r>
        <w:t xml:space="preserve">R.H.H. Groenwold, O.M. Dekkers, Missing data: The impact of what is not there, European Journal of Endocrinology. 183 (2020) E7–E9. https://doi.org/</w:t>
      </w:r>
      <w:hyperlink r:id="rId57">
        <w:r>
          <w:rPr>
            <w:rStyle w:val="Hyperlink"/>
          </w:rPr>
          <w:t xml:space="preserve">10.1530/eje-20-0732</w:t>
        </w:r>
      </w:hyperlink>
      <w:r>
        <w:t xml:space="preserve">.</w:t>
      </w:r>
    </w:p>
    <w:bookmarkEnd w:id="58"/>
    <w:bookmarkStart w:id="60" w:name="ref-vanbuuren2018"/>
    <w:p>
      <w:pPr>
        <w:pStyle w:val="Bibliography"/>
      </w:pPr>
      <w:r>
        <w:t xml:space="preserve">[7]</w:t>
      </w:r>
      <w:r>
        <w:t xml:space="preserve"> </w:t>
      </w:r>
      <w:r>
        <w:t xml:space="preserve">	</w:t>
      </w:r>
      <w:r>
        <w:t xml:space="preserve">S. Van Buuren, Flexible imputation of missing data, CRC press, 2018.</w:t>
      </w:r>
      <w:r>
        <w:t xml:space="preserve"> </w:t>
      </w:r>
      <w:hyperlink r:id="rId59">
        <w:r>
          <w:rPr>
            <w:rStyle w:val="Hyperlink"/>
          </w:rPr>
          <w:t xml:space="preserve">https://stefvanbuuren.name/fimd/missing-data-pattern.html</w:t>
        </w:r>
      </w:hyperlink>
      <w:r>
        <w:t xml:space="preserve">.</w:t>
      </w:r>
    </w:p>
    <w:bookmarkEnd w:id="60"/>
    <w:bookmarkStart w:id="62" w:name="ref-rubin1976"/>
    <w:p>
      <w:pPr>
        <w:pStyle w:val="Bibliography"/>
      </w:pPr>
      <w:r>
        <w:t xml:space="preserve">[8]</w:t>
      </w:r>
      <w:r>
        <w:t xml:space="preserve"> </w:t>
      </w:r>
      <w:r>
        <w:t xml:space="preserve">	</w:t>
      </w:r>
      <w:r>
        <w:t xml:space="preserve">D.B. RUBIN, Inference and missing data, Biometrika. 63 (1976) 581–592. https://doi.org/</w:t>
      </w:r>
      <w:hyperlink r:id="rId61">
        <w:r>
          <w:rPr>
            <w:rStyle w:val="Hyperlink"/>
          </w:rPr>
          <w:t xml:space="preserve">10.1093/biomet/63.3.581</w:t>
        </w:r>
      </w:hyperlink>
      <w:r>
        <w:t xml:space="preserve">.</w:t>
      </w:r>
    </w:p>
    <w:bookmarkEnd w:id="62"/>
    <w:bookmarkStart w:id="63" w:name="ref-little2019"/>
    <w:p>
      <w:pPr>
        <w:pStyle w:val="Bibliography"/>
      </w:pPr>
      <w:r>
        <w:t xml:space="preserve">[9]</w:t>
      </w:r>
      <w:r>
        <w:t xml:space="preserve"> </w:t>
      </w:r>
      <w:r>
        <w:t xml:space="preserve">	</w:t>
      </w:r>
      <w:r>
        <w:t xml:space="preserve">R.J. Little, D.B. Rubin, Statistical analysis with missing data, John Wiley &amp; Sons, 2019.</w:t>
      </w:r>
    </w:p>
    <w:bookmarkEnd w:id="63"/>
    <w:bookmarkStart w:id="65" w:name="ref-lee2021"/>
    <w:p>
      <w:pPr>
        <w:pStyle w:val="Bibliography"/>
      </w:pPr>
      <w:r>
        <w:t xml:space="preserve">[10]</w:t>
      </w:r>
      <w:r>
        <w:t xml:space="preserve"> </w:t>
      </w:r>
      <w:r>
        <w:t xml:space="preserve">	</w:t>
      </w:r>
      <w:r>
        <w:t xml:space="preserve">K.J. Lee, K.M. Tilling, R.P. Cornish, R.J.A. Little, M.L. Bell, E. Goetghebeur, J.W. Hogan, J.R. Carpenter, Framework for the treatment and reporting of missing data in observational studies: The Treatment And Reporting of Missing data in Observational Studies framework, Journal of Clinical Epidemiology. 134 (2021) 79–88. https://doi.org/</w:t>
      </w:r>
      <w:hyperlink r:id="rId64">
        <w:r>
          <w:rPr>
            <w:rStyle w:val="Hyperlink"/>
          </w:rPr>
          <w:t xml:space="preserve">10.1016/j.jclinepi.2021.01.008</w:t>
        </w:r>
      </w:hyperlink>
      <w:r>
        <w:t xml:space="preserve">.</w:t>
      </w:r>
    </w:p>
    <w:bookmarkEnd w:id="65"/>
    <w:bookmarkStart w:id="67" w:name="ref-sondhi2023a"/>
    <w:p>
      <w:pPr>
        <w:pStyle w:val="Bibliography"/>
      </w:pPr>
      <w:r>
        <w:t xml:space="preserve">[11]</w:t>
      </w:r>
      <w:r>
        <w:t xml:space="preserve"> </w:t>
      </w:r>
      <w:r>
        <w:t xml:space="preserve">	</w:t>
      </w:r>
      <w:r>
        <w:t xml:space="preserve">A. Sondhi, J. Weberpals, P. Yerram, C. Jiang, M. Taylor, M. Samant, S. Cherng, A systematic approach towards missing lab data in electronic health records: A case study in non</w:t>
      </w:r>
      <w:r>
        <w:t xml:space="preserve">-</w:t>
      </w:r>
      <w:r>
        <w:t xml:space="preserve">small cell lung cancer and multiple myeloma, CPT: Pharmacometrics &amp; Systems Pharmacology. (2023). https://doi.org/</w:t>
      </w:r>
      <w:hyperlink r:id="rId66">
        <w:r>
          <w:rPr>
            <w:rStyle w:val="Hyperlink"/>
          </w:rPr>
          <w:t xml:space="preserve">10.1002/psp4.12998</w:t>
        </w:r>
      </w:hyperlink>
      <w:r>
        <w:t xml:space="preserve">.</w:t>
      </w:r>
    </w:p>
    <w:bookmarkEnd w:id="67"/>
    <w:bookmarkStart w:id="69" w:name="ref-hotelling1931"/>
    <w:p>
      <w:pPr>
        <w:pStyle w:val="Bibliography"/>
      </w:pPr>
      <w:r>
        <w:t xml:space="preserve">[12]</w:t>
      </w:r>
      <w:r>
        <w:t xml:space="preserve"> </w:t>
      </w:r>
      <w:r>
        <w:t xml:space="preserve">	</w:t>
      </w:r>
      <w:r>
        <w:t xml:space="preserve">H. Hotelling, The Generalization of Student’s Ratio, The Annals of Mathematical Statistics. 2 (1931) 360–378. https://doi.org/</w:t>
      </w:r>
      <w:hyperlink r:id="rId68">
        <w:r>
          <w:rPr>
            <w:rStyle w:val="Hyperlink"/>
          </w:rPr>
          <w:t xml:space="preserve">10.1214/aoms/1177732979</w:t>
        </w:r>
      </w:hyperlink>
      <w:r>
        <w:t xml:space="preserve">.</w:t>
      </w:r>
    </w:p>
    <w:bookmarkEnd w:id="69"/>
    <w:bookmarkStart w:id="71" w:name="ref-little1988"/>
    <w:p>
      <w:pPr>
        <w:pStyle w:val="Bibliography"/>
      </w:pPr>
      <w:r>
        <w:t xml:space="preserve">[13]</w:t>
      </w:r>
      <w:r>
        <w:t xml:space="preserve"> </w:t>
      </w:r>
      <w:r>
        <w:t xml:space="preserve">	</w:t>
      </w:r>
      <w:r>
        <w:t xml:space="preserve">R.J.A. Little, A Test of Missing Completely at Random for Multivariate Data with Missing Values, Journal of the American Statistical Association. 83 (1988) 1198–1202. https://doi.org/</w:t>
      </w:r>
      <w:hyperlink r:id="rId70">
        <w:r>
          <w:rPr>
            <w:rStyle w:val="Hyperlink"/>
          </w:rPr>
          <w:t xml:space="preserve">10.1080/01621459.1988.10478722</w:t>
        </w:r>
      </w:hyperlink>
      <w:r>
        <w:t xml:space="preserve">.</w:t>
      </w:r>
    </w:p>
    <w:bookmarkEnd w:id="71"/>
    <w:bookmarkStart w:id="73" w:name="ref-pedersen2017"/>
    <w:p>
      <w:pPr>
        <w:pStyle w:val="Bibliography"/>
      </w:pPr>
      <w:r>
        <w:t xml:space="preserve">[14]</w:t>
      </w:r>
      <w:r>
        <w:t xml:space="preserve"> </w:t>
      </w:r>
      <w:r>
        <w:t xml:space="preserve">	</w:t>
      </w:r>
      <w:r>
        <w:t xml:space="preserve">A. Pedersen, E. Mikkelsen, D. Cronin-Fenton, N. Kristensen, T.M. Pham, L. Pedersen, I. Petersen, Missing data and multiple imputation in clinical epidemiological research, Clinical Epidemiology. Volume 9 (2017) 157–166. https://doi.org/</w:t>
      </w:r>
      <w:hyperlink r:id="rId72">
        <w:r>
          <w:rPr>
            <w:rStyle w:val="Hyperlink"/>
          </w:rPr>
          <w:t xml:space="preserve">10.2147/clep.s129785</w:t>
        </w:r>
      </w:hyperlink>
      <w:r>
        <w:t xml:space="preserve">.</w:t>
      </w:r>
    </w:p>
    <w:bookmarkEnd w:id="73"/>
    <w:bookmarkStart w:id="75" w:name="ref-madley-dowd2019"/>
    <w:p>
      <w:pPr>
        <w:pStyle w:val="Bibliography"/>
      </w:pPr>
      <w:r>
        <w:t xml:space="preserve">[15]</w:t>
      </w:r>
      <w:r>
        <w:t xml:space="preserve"> </w:t>
      </w:r>
      <w:r>
        <w:t xml:space="preserve">	</w:t>
      </w:r>
      <w:r>
        <w:t xml:space="preserve">P. Madley-Dowd, R. Hughes, K. Tilling, J. Heron, The proportion of missing data should not be used to guide decisions on multiple imputation, Journal of Clinical Epidemiology. 110 (2019) 63–73. https://doi.org/</w:t>
      </w:r>
      <w:hyperlink r:id="rId74">
        <w:r>
          <w:rPr>
            <w:rStyle w:val="Hyperlink"/>
          </w:rPr>
          <w:t xml:space="preserve">10.1016/j.jclinepi.2019.02.016</w:t>
        </w:r>
      </w:hyperlink>
      <w:r>
        <w:t xml:space="preserve">.</w:t>
      </w:r>
    </w:p>
    <w:bookmarkEnd w:id="75"/>
    <w:bookmarkStart w:id="77" w:name="ref-Lee2023"/>
    <w:p>
      <w:pPr>
        <w:pStyle w:val="Bibliography"/>
      </w:pPr>
      <w:r>
        <w:t xml:space="preserve">[16]</w:t>
      </w:r>
      <w:r>
        <w:t xml:space="preserve"> </w:t>
      </w:r>
      <w:r>
        <w:t xml:space="preserve">	</w:t>
      </w:r>
      <w:r>
        <w:t xml:space="preserve">K.J. Lee, J.B. Carlin, J.A. Simpson, M. Moreno-Betancur, Assumptions and analysis planning in studies with missing data in multiple variables: moving beyond the MCAR/MAR/MNAR classification, International Journal of Epidemiology. (2023). https://doi.org/</w:t>
      </w:r>
      <w:hyperlink r:id="rId76">
        <w:r>
          <w:rPr>
            <w:rStyle w:val="Hyperlink"/>
          </w:rPr>
          <w:t xml:space="preserve">10.1093/ije/dyad008</w:t>
        </w:r>
      </w:hyperlink>
      <w:r>
        <w:t xml:space="preserve">.</w:t>
      </w:r>
    </w:p>
    <w:bookmarkEnd w:id="77"/>
    <w:bookmarkStart w:id="79" w:name="ref-Moreno-Betancur2018"/>
    <w:p>
      <w:pPr>
        <w:pStyle w:val="Bibliography"/>
      </w:pPr>
      <w:r>
        <w:t xml:space="preserve">[17]</w:t>
      </w:r>
      <w:r>
        <w:t xml:space="preserve"> </w:t>
      </w:r>
      <w:r>
        <w:t xml:space="preserve">	</w:t>
      </w:r>
      <w:r>
        <w:t xml:space="preserve">M. Moreno-Betancur, K.J. Lee, F.P. Leacy, I.R. White, J.A. Simpson, J.B. Carlin, Canonical Causal Diagrams to Guide the Treatment of Missing Data in Epidemiologic Studies, American Journal of Epidemiology. 187 (2018) 2705–2715. https://doi.org/</w:t>
      </w:r>
      <w:hyperlink r:id="rId78">
        <w:r>
          <w:rPr>
            <w:rStyle w:val="Hyperlink"/>
          </w:rPr>
          <w:t xml:space="preserve">10.1093/aje/kwy173</w:t>
        </w:r>
      </w:hyperlink>
      <w:r>
        <w:t xml:space="preserve">.</w:t>
      </w:r>
    </w:p>
    <w:bookmarkEnd w:id="79"/>
    <w:bookmarkStart w:id="81" w:name="ref-mohan2021"/>
    <w:p>
      <w:pPr>
        <w:pStyle w:val="Bibliography"/>
      </w:pPr>
      <w:r>
        <w:t xml:space="preserve">[18]</w:t>
      </w:r>
      <w:r>
        <w:t xml:space="preserve"> </w:t>
      </w:r>
      <w:r>
        <w:t xml:space="preserve">	</w:t>
      </w:r>
      <w:r>
        <w:t xml:space="preserve">K. Mohan, J. Pearl, Graphical Models for Processing Missing Data, Journal of the American Statistical Association. 116 (2021) 1023–1037. https://doi.org/</w:t>
      </w:r>
      <w:hyperlink r:id="rId80">
        <w:r>
          <w:rPr>
            <w:rStyle w:val="Hyperlink"/>
          </w:rPr>
          <w:t xml:space="preserve">10.1080/01621459.2021.1874961</w:t>
        </w:r>
      </w:hyperlink>
      <w:r>
        <w:t xml:space="preserve">.</w:t>
      </w:r>
    </w:p>
    <w:bookmarkEnd w:id="81"/>
    <w:bookmarkStart w:id="83" w:name="ref-carroll2020"/>
    <w:p>
      <w:pPr>
        <w:pStyle w:val="Bibliography"/>
      </w:pPr>
      <w:r>
        <w:t xml:space="preserve">[19]</w:t>
      </w:r>
      <w:r>
        <w:t xml:space="preserve"> </w:t>
      </w:r>
      <w:r>
        <w:t xml:space="preserve">	</w:t>
      </w:r>
      <w:r>
        <w:t xml:space="preserve">O.U. Carroll, T.P. Morris, R.H. Keogh, How are missing data in covariates handled in observational time-to-event studies in oncology? A systematic review, BMC Medical Research Methodology. 20 (2020). https://doi.org/</w:t>
      </w:r>
      <w:hyperlink r:id="rId82">
        <w:r>
          <w:rPr>
            <w:rStyle w:val="Hyperlink"/>
          </w:rPr>
          <w:t xml:space="preserve">10.1186/s12874-020-01018-7</w:t>
        </w:r>
      </w:hyperlink>
      <w:r>
        <w:t xml:space="preserve">.</w:t>
      </w:r>
    </w:p>
    <w:bookmarkEnd w:id="83"/>
    <w:bookmarkStart w:id="85" w:name="ref-wood2004"/>
    <w:p>
      <w:pPr>
        <w:pStyle w:val="Bibliography"/>
      </w:pPr>
      <w:r>
        <w:t xml:space="preserve">[20]</w:t>
      </w:r>
      <w:r>
        <w:t xml:space="preserve"> </w:t>
      </w:r>
      <w:r>
        <w:t xml:space="preserve">	</w:t>
      </w:r>
      <w:r>
        <w:t xml:space="preserve">A.M. Wood, I.R. White, S.G. Thompson, Are missing outcome data adequately handled? A review of published randomized controlled trials in major medical journals, Clinical Trials. 1 (2004) 368–376. https://doi.org/</w:t>
      </w:r>
      <w:hyperlink r:id="rId84">
        <w:r>
          <w:rPr>
            <w:rStyle w:val="Hyperlink"/>
          </w:rPr>
          <w:t xml:space="preserve">10.1191/1740774504cn032oa</w:t>
        </w:r>
      </w:hyperlink>
      <w:r>
        <w:t xml:space="preserve">.</w:t>
      </w:r>
    </w:p>
    <w:bookmarkEnd w:id="85"/>
    <w:bookmarkStart w:id="87" w:name="ref-harel2012"/>
    <w:p>
      <w:pPr>
        <w:pStyle w:val="Bibliography"/>
      </w:pPr>
      <w:r>
        <w:t xml:space="preserve">[21]</w:t>
      </w:r>
      <w:r>
        <w:t xml:space="preserve"> </w:t>
      </w:r>
      <w:r>
        <w:t xml:space="preserve">	</w:t>
      </w:r>
      <w:r>
        <w:t xml:space="preserve">O. Harel, J. Pellowski, S. Kalichman, Are We Missing the Importance of Missing Values in HIV Prevention Randomized Clinical Trials? Review and Recommendations, AIDS and Behavior. 16 (2012) 1382–1393. https://doi.org/</w:t>
      </w:r>
      <w:hyperlink r:id="rId86">
        <w:r>
          <w:rPr>
            <w:rStyle w:val="Hyperlink"/>
          </w:rPr>
          <w:t xml:space="preserve">10.1007/s10461-011-0125-6</w:t>
        </w:r>
      </w:hyperlink>
      <w:r>
        <w:t xml:space="preserve">.</w:t>
      </w:r>
    </w:p>
    <w:bookmarkEnd w:id="87"/>
    <w:bookmarkStart w:id="88" w:name="ref-weberpals2023"/>
    <w:p>
      <w:pPr>
        <w:pStyle w:val="Bibliography"/>
      </w:pPr>
      <w:r>
        <w:t xml:space="preserve">[22]</w:t>
      </w:r>
      <w:r>
        <w:t xml:space="preserve"> </w:t>
      </w:r>
      <w:r>
        <w:t xml:space="preserve">	</w:t>
      </w:r>
      <w:r>
        <w:t xml:space="preserve">J. Weberpals, S.R. Raman, P.A. Shaw, H. Lee, B.G. Hammill, S. Toh, J.G. Connolly, K.J. Dandreo, F. Tian, W. Liu, J. Li, J.J. Hernández-Muñoz, R.J. Glynn, R.J. Desai, A principled approach to characterize and analyze partially observed confounder data from electronic health records, Submitted. (2023).</w:t>
      </w:r>
    </w:p>
    <w:bookmarkEnd w:id="88"/>
    <w:bookmarkStart w:id="90" w:name="ref-smdi"/>
    <w:p>
      <w:pPr>
        <w:pStyle w:val="Bibliography"/>
      </w:pPr>
      <w:r>
        <w:t xml:space="preserve">[23]</w:t>
      </w:r>
      <w:r>
        <w:t xml:space="preserve"> </w:t>
      </w:r>
      <w:r>
        <w:t xml:space="preserve">	</w:t>
      </w:r>
      <w:r>
        <w:t xml:space="preserve">J. Weberpals, Smdi: Perform structural missing data investigations, (2023).</w:t>
      </w:r>
      <w:r>
        <w:t xml:space="preserve"> </w:t>
      </w:r>
      <w:hyperlink r:id="rId89">
        <w:r>
          <w:rPr>
            <w:rStyle w:val="Hyperlink"/>
          </w:rPr>
          <w:t xml:space="preserve">https://CRAN.R-project.org/package=smdi</w:t>
        </w:r>
      </w:hyperlink>
      <w:r>
        <w:t xml:space="preserve">.</w:t>
      </w:r>
    </w:p>
    <w:bookmarkEnd w:id="90"/>
    <w:bookmarkStart w:id="91" w:name="ref-wickham2023r"/>
    <w:p>
      <w:pPr>
        <w:pStyle w:val="Bibliography"/>
      </w:pPr>
      <w:r>
        <w:t xml:space="preserve">[24]</w:t>
      </w:r>
      <w:r>
        <w:t xml:space="preserve"> </w:t>
      </w:r>
      <w:r>
        <w:t xml:space="preserve">	</w:t>
      </w:r>
      <w:r>
        <w:t xml:space="preserve">H. Wickham, J. Bryan, R packages, " O’Reilly Media, Inc.", 2023.</w:t>
      </w:r>
    </w:p>
    <w:bookmarkEnd w:id="91"/>
    <w:bookmarkStart w:id="93" w:name="ref-naniar-2"/>
    <w:p>
      <w:pPr>
        <w:pStyle w:val="Bibliography"/>
      </w:pPr>
      <w:r>
        <w:t xml:space="preserve">[25]</w:t>
      </w:r>
      <w:r>
        <w:t xml:space="preserve"> </w:t>
      </w:r>
      <w:r>
        <w:t xml:space="preserve">	</w:t>
      </w:r>
      <w:r>
        <w:t xml:space="preserve">N. Tierney, D. Cook, Expanding tidy data principles to facilitate missing data exploration, visualization and assessment of imputations, 105 (2023). https://doi.org/</w:t>
      </w:r>
      <w:hyperlink r:id="rId92">
        <w:r>
          <w:rPr>
            <w:rStyle w:val="Hyperlink"/>
          </w:rPr>
          <w:t xml:space="preserve">10.18637/jss.v105.i07</w:t>
        </w:r>
      </w:hyperlink>
      <w:r>
        <w:t xml:space="preserve">.</w:t>
      </w:r>
    </w:p>
    <w:bookmarkEnd w:id="93"/>
    <w:bookmarkStart w:id="95" w:name="ref-ruddle2022"/>
    <w:p>
      <w:pPr>
        <w:pStyle w:val="Bibliography"/>
      </w:pPr>
      <w:r>
        <w:t xml:space="preserve">[26]</w:t>
      </w:r>
      <w:r>
        <w:t xml:space="preserve"> </w:t>
      </w:r>
      <w:r>
        <w:t xml:space="preserve">	</w:t>
      </w:r>
      <w:r>
        <w:t xml:space="preserve">R.A. Ruddle, M. Adnan, M. Hall, Using set visualisation to find and explain patterns of missing values: a case study with NHS hospital episode statistics data, BMJ Open. 12 (2022) e064887. https://doi.org/</w:t>
      </w:r>
      <w:hyperlink r:id="rId94">
        <w:r>
          <w:rPr>
            <w:rStyle w:val="Hyperlink"/>
          </w:rPr>
          <w:t xml:space="preserve">10.1136/bmjopen-2022-064887</w:t>
        </w:r>
      </w:hyperlink>
      <w:r>
        <w:t xml:space="preserve">.</w:t>
      </w:r>
    </w:p>
    <w:bookmarkEnd w:id="95"/>
    <w:bookmarkStart w:id="97" w:name="ref-schober2019"/>
    <w:p>
      <w:pPr>
        <w:pStyle w:val="Bibliography"/>
      </w:pPr>
      <w:r>
        <w:t xml:space="preserve">[27]</w:t>
      </w:r>
      <w:r>
        <w:t xml:space="preserve"> </w:t>
      </w:r>
      <w:r>
        <w:t xml:space="preserve">	</w:t>
      </w:r>
      <w:r>
        <w:t xml:space="preserve">P. Schober, T.R. Vetter, Correct Baseline Comparisons in a Randomized Trial, Anesthesia &amp; Analgesia. 129 (2019) 639. https://doi.org/</w:t>
      </w:r>
      <w:hyperlink r:id="rId96">
        <w:r>
          <w:rPr>
            <w:rStyle w:val="Hyperlink"/>
          </w:rPr>
          <w:t xml:space="preserve">10.1213/ane.0000000000004211</w:t>
        </w:r>
      </w:hyperlink>
      <w:r>
        <w:t xml:space="preserve">.</w:t>
      </w:r>
    </w:p>
    <w:bookmarkEnd w:id="97"/>
    <w:bookmarkStart w:id="99" w:name="ref-austin2011"/>
    <w:p>
      <w:pPr>
        <w:pStyle w:val="Bibliography"/>
      </w:pPr>
      <w:r>
        <w:t xml:space="preserve">[28]</w:t>
      </w:r>
      <w:r>
        <w:t xml:space="preserve"> </w:t>
      </w:r>
      <w:r>
        <w:t xml:space="preserve">	</w:t>
      </w:r>
      <w:r>
        <w:t xml:space="preserve">P.C. Austin, An Introduction to Propensity Score Methods for Reducing the Effects of Confounding in Observational Studies, Multivariate Behavioral Research. 46 (2011) 399–424. https://doi.org/</w:t>
      </w:r>
      <w:hyperlink r:id="rId98">
        <w:r>
          <w:rPr>
            <w:rStyle w:val="Hyperlink"/>
          </w:rPr>
          <w:t xml:space="preserve">10.1080/00273171.2011.568786</w:t>
        </w:r>
      </w:hyperlink>
      <w:r>
        <w:t xml:space="preserve">.</w:t>
      </w:r>
    </w:p>
    <w:bookmarkEnd w:id="99"/>
    <w:bookmarkStart w:id="101" w:name="ref-tableone"/>
    <w:p>
      <w:pPr>
        <w:pStyle w:val="Bibliography"/>
      </w:pPr>
      <w:r>
        <w:t xml:space="preserve">[29]</w:t>
      </w:r>
      <w:r>
        <w:t xml:space="preserve"> </w:t>
      </w:r>
      <w:r>
        <w:t xml:space="preserve">	</w:t>
      </w:r>
      <w:r>
        <w:t xml:space="preserve">K. Yoshida, A. Bartel, Tableone: Create ’table 1’ to describe baseline characteristics with or without propensity score weights, (2022).</w:t>
      </w:r>
      <w:r>
        <w:t xml:space="preserve"> </w:t>
      </w:r>
      <w:hyperlink r:id="rId100">
        <w:r>
          <w:rPr>
            <w:rStyle w:val="Hyperlink"/>
          </w:rPr>
          <w:t xml:space="preserve">https://CRAN.R-project.org/package=tableone</w:t>
        </w:r>
      </w:hyperlink>
      <w:r>
        <w:t xml:space="preserve">.</w:t>
      </w:r>
    </w:p>
    <w:bookmarkEnd w:id="101"/>
    <w:bookmarkStart w:id="103" w:name="ref-ggplot2"/>
    <w:p>
      <w:pPr>
        <w:pStyle w:val="Bibliography"/>
      </w:pPr>
      <w:r>
        <w:t xml:space="preserve">[30]</w:t>
      </w:r>
      <w:r>
        <w:t xml:space="preserve"> </w:t>
      </w:r>
      <w:r>
        <w:t xml:space="preserve">	</w:t>
      </w:r>
      <w:r>
        <w:t xml:space="preserve">H. Wickham, ggplot2: Elegant graphics for data analysis, (2016).</w:t>
      </w:r>
      <w:r>
        <w:t xml:space="preserve"> </w:t>
      </w:r>
      <w:hyperlink r:id="rId102">
        <w:r>
          <w:rPr>
            <w:rStyle w:val="Hyperlink"/>
          </w:rPr>
          <w:t xml:space="preserve">https://ggplot2.tidyverse.org</w:t>
        </w:r>
      </w:hyperlink>
      <w:r>
        <w:t xml:space="preserve">.</w:t>
      </w:r>
    </w:p>
    <w:bookmarkEnd w:id="103"/>
    <w:bookmarkStart w:id="105" w:name="ref-Hotelling"/>
    <w:p>
      <w:pPr>
        <w:pStyle w:val="Bibliography"/>
      </w:pPr>
      <w:r>
        <w:t xml:space="preserve">[31]</w:t>
      </w:r>
      <w:r>
        <w:t xml:space="preserve"> </w:t>
      </w:r>
      <w:r>
        <w:t xml:space="preserve">	</w:t>
      </w:r>
      <w:r>
        <w:t xml:space="preserve">J. Curran, T. Hersh, Hotelling: Hotelling’s t</w:t>
      </w:r>
      <w:r>
        <w:t xml:space="preserve">^</w:t>
      </w:r>
      <w:r>
        <w:t xml:space="preserve">2 test and variants, (2021).</w:t>
      </w:r>
      <w:r>
        <w:t xml:space="preserve"> </w:t>
      </w:r>
      <w:hyperlink r:id="rId104">
        <w:r>
          <w:rPr>
            <w:rStyle w:val="Hyperlink"/>
          </w:rPr>
          <w:t xml:space="preserve">https://CRAN.R-project.org/package=Hotelling</w:t>
        </w:r>
      </w:hyperlink>
      <w:r>
        <w:t xml:space="preserve">.</w:t>
      </w:r>
    </w:p>
    <w:bookmarkEnd w:id="105"/>
    <w:bookmarkStart w:id="106" w:name="ref-naniar"/>
    <w:p>
      <w:pPr>
        <w:pStyle w:val="Bibliography"/>
      </w:pPr>
      <w:r>
        <w:t xml:space="preserve">[32]</w:t>
      </w:r>
      <w:r>
        <w:t xml:space="preserve"> </w:t>
      </w:r>
      <w:r>
        <w:t xml:space="preserve">	</w:t>
      </w:r>
      <w:r>
        <w:t xml:space="preserve">N. Tierney, D. Cook, Expanding tidy data principles to facilitate missing data exploration, visualization and assessment of imputations, 105 (2023). https://doi.org/</w:t>
      </w:r>
      <w:hyperlink r:id="rId92">
        <w:r>
          <w:rPr>
            <w:rStyle w:val="Hyperlink"/>
          </w:rPr>
          <w:t xml:space="preserve">10.18637/jss.v105.i07</w:t>
        </w:r>
      </w:hyperlink>
      <w:r>
        <w:t xml:space="preserve">.</w:t>
      </w:r>
    </w:p>
    <w:bookmarkEnd w:id="106"/>
    <w:bookmarkStart w:id="108" w:name="ref-randomForest"/>
    <w:p>
      <w:pPr>
        <w:pStyle w:val="Bibliography"/>
      </w:pPr>
      <w:r>
        <w:t xml:space="preserve">[33]</w:t>
      </w:r>
      <w:r>
        <w:t xml:space="preserve"> </w:t>
      </w:r>
      <w:r>
        <w:t xml:space="preserve">	</w:t>
      </w:r>
      <w:r>
        <w:t xml:space="preserve">A. Liaw, M. Wiener, Classification and regression by randomForest, 2 (2002) 18–22.</w:t>
      </w:r>
      <w:r>
        <w:t xml:space="preserve"> </w:t>
      </w:r>
      <w:hyperlink r:id="rId107">
        <w:r>
          <w:rPr>
            <w:rStyle w:val="Hyperlink"/>
          </w:rPr>
          <w:t xml:space="preserve">https://CRAN.R-project.org/doc/Rnews/</w:t>
        </w:r>
      </w:hyperlink>
      <w:r>
        <w:t xml:space="preserve">.</w:t>
      </w:r>
    </w:p>
    <w:bookmarkEnd w:id="108"/>
    <w:bookmarkStart w:id="110" w:name="ref-stats"/>
    <w:p>
      <w:pPr>
        <w:pStyle w:val="Bibliography"/>
      </w:pPr>
      <w:r>
        <w:t xml:space="preserve">[34]</w:t>
      </w:r>
      <w:r>
        <w:t xml:space="preserve"> </w:t>
      </w:r>
      <w:r>
        <w:t xml:space="preserve">	</w:t>
      </w:r>
      <w:r>
        <w:t xml:space="preserve">R Core Team, R: A language and environment for statistical computing, (2022).</w:t>
      </w:r>
      <w:r>
        <w:t xml:space="preserve"> </w:t>
      </w:r>
      <w:hyperlink r:id="rId109">
        <w:r>
          <w:rPr>
            <w:rStyle w:val="Hyperlink"/>
          </w:rPr>
          <w:t xml:space="preserve">https://www.R-project.org/</w:t>
        </w:r>
      </w:hyperlink>
      <w:r>
        <w:t xml:space="preserve">.</w:t>
      </w:r>
    </w:p>
    <w:bookmarkEnd w:id="110"/>
    <w:bookmarkStart w:id="112" w:name="ref-survival"/>
    <w:p>
      <w:pPr>
        <w:pStyle w:val="Bibliography"/>
      </w:pPr>
      <w:r>
        <w:t xml:space="preserve">[35]</w:t>
      </w:r>
      <w:r>
        <w:t xml:space="preserve"> </w:t>
      </w:r>
      <w:r>
        <w:t xml:space="preserve">	</w:t>
      </w:r>
      <w:r>
        <w:t xml:space="preserve">T.M. Therneau, A package for survival analysis in r, (2023).</w:t>
      </w:r>
      <w:r>
        <w:t xml:space="preserve"> </w:t>
      </w:r>
      <w:hyperlink r:id="rId111">
        <w:r>
          <w:rPr>
            <w:rStyle w:val="Hyperlink"/>
          </w:rPr>
          <w:t xml:space="preserve">https://CRAN.R-project.org/package=survival</w:t>
        </w:r>
      </w:hyperlink>
      <w:r>
        <w:t xml:space="preserve">.</w:t>
      </w:r>
    </w:p>
    <w:bookmarkEnd w:id="112"/>
    <w:bookmarkStart w:id="114" w:name="ref-gt"/>
    <w:p>
      <w:pPr>
        <w:pStyle w:val="Bibliography"/>
      </w:pPr>
      <w:r>
        <w:t xml:space="preserve">[36]</w:t>
      </w:r>
      <w:r>
        <w:t xml:space="preserve"> </w:t>
      </w:r>
      <w:r>
        <w:t xml:space="preserve">	</w:t>
      </w:r>
      <w:r>
        <w:t xml:space="preserve">R. Iannone, J. Cheng, B. Schloerke, E. Hughes, A. Lauer, J. Seo, Gt: Easily create presentation-ready display tables, (2023).</w:t>
      </w:r>
      <w:r>
        <w:t xml:space="preserve"> </w:t>
      </w:r>
      <w:hyperlink r:id="rId113">
        <w:r>
          <w:rPr>
            <w:rStyle w:val="Hyperlink"/>
          </w:rPr>
          <w:t xml:space="preserve">https://CRAN.R-project.org/package=gt</w:t>
        </w:r>
      </w:hyperlink>
      <w:r>
        <w:t xml:space="preserve">.</w:t>
      </w:r>
    </w:p>
    <w:bookmarkEnd w:id="114"/>
    <w:bookmarkEnd w:id="115"/>
    <w:p>
      <w:r>
        <w:br w:type="page"/>
      </w:r>
    </w:p>
    <w:p>
      <w:pPr>
        <w:sectPr/>
      </w:pPr>
    </w:p>
    <w:bookmarkStart w:id="116"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6"/>
    <w:bookmarkStart w:id="125"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0" w:name="fig-workflow"/>
          <w:p>
            <w:pPr>
              <w:jc w:val="center"/>
            </w:pPr>
            <w:r>
              <w:drawing>
                <wp:inline>
                  <wp:extent cx="6537960" cy="3677602"/>
                  <wp:effectExtent b="0" l="0" r="0" t="0"/>
                  <wp:docPr descr="" title="" id="118" name="Picture"/>
                  <a:graphic>
                    <a:graphicData uri="http://schemas.openxmlformats.org/drawingml/2006/picture">
                      <pic:pic>
                        <pic:nvPicPr>
                          <pic:cNvPr descr="../figures/Figure_1_workflow.jpg" id="119" name="Picture"/>
                          <pic:cNvPicPr>
                            <a:picLocks noChangeArrowheads="1" noChangeAspect="1"/>
                          </pic:cNvPicPr>
                        </pic:nvPicPr>
                        <pic:blipFill>
                          <a:blip r:embed="rId117"/>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0"/>
        </w:tc>
      </w:tr>
    </w:tbl>
    <w:p>
      <w:r>
        <w:br w:type="page"/>
      </w:r>
    </w:p>
    <w:tbl>
      <w:tblPr>
        <w:tblStyle w:val="Table"/>
        <w:tblW w:type="pct" w:w="5000"/>
        <w:tblLook w:firstRow="0" w:lastRow="0" w:firstColumn="0" w:lastColumn="0" w:noHBand="0" w:noVBand="0" w:val="0000"/>
        <w:jc w:val="start"/>
      </w:tblPr>
      <w:tblGrid>
        <w:gridCol w:w="7920"/>
      </w:tblGrid>
      <w:tr>
        <w:tc>
          <w:tcPr/>
          <w:bookmarkStart w:id="124" w:name="fig-examples"/>
          <w:p>
            <w:pPr>
              <w:jc w:val="center"/>
            </w:pPr>
            <w:r>
              <w:drawing>
                <wp:inline>
                  <wp:extent cx="5943600" cy="3962400"/>
                  <wp:effectExtent b="0" l="0" r="0" t="0"/>
                  <wp:docPr descr="" title="" id="122" name="Picture"/>
                  <a:graphic>
                    <a:graphicData uri="http://schemas.openxmlformats.org/drawingml/2006/picture">
                      <pic:pic>
                        <pic:nvPicPr>
                          <pic:cNvPr descr="manuscript_files/figure-docx/fig-examples-1.png" id="123" name="Picture"/>
                          <pic:cNvPicPr>
                            <a:picLocks noChangeArrowheads="1" noChangeAspect="1"/>
                          </pic:cNvPicPr>
                        </pic:nvPicPr>
                        <pic:blipFill>
                          <a:blip r:embed="rId12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4"/>
        </w:tc>
      </w:tr>
    </w:tbl>
    <w:p>
      <w:pPr>
        <w:sectPr>
          <w:pgSz w:h="11906" w:w="16838" w:orient="landscape"/>
        </w:sectPr>
      </w:pPr>
    </w:p>
    <w:bookmarkEnd w:id="125"/>
    <w:p>
      <w:r>
        <w:br w:type="page"/>
      </w:r>
    </w:p>
    <w:tbl>
      <w:tblPr>
        <w:tblStyle w:val="Table"/>
        <w:tblW w:type="pct" w:w="5000"/>
        <w:tblLook w:firstRow="0" w:lastRow="0" w:firstColumn="0" w:lastColumn="0" w:noHBand="0" w:noVBand="0" w:val="0000"/>
        <w:jc w:val="start"/>
      </w:tblPr>
      <w:tblGrid>
        <w:gridCol w:w="7920"/>
      </w:tblGrid>
      <w:tr>
        <w:tc>
          <w:tcPr/>
          <w:bookmarkStart w:id="129" w:name="fig-results"/>
          <w:p>
            <w:pPr>
              <w:jc w:val="center"/>
            </w:pPr>
            <w:r>
              <w:drawing>
                <wp:inline>
                  <wp:extent cx="5943600" cy="2698134"/>
                  <wp:effectExtent b="0" l="0" r="0" t="0"/>
                  <wp:docPr descr="" title="" id="127" name="Picture"/>
                  <a:graphic>
                    <a:graphicData uri="http://schemas.openxmlformats.org/drawingml/2006/picture">
                      <pic:pic>
                        <pic:nvPicPr>
                          <pic:cNvPr descr="../figures/Figure_3_results.jpg" id="128" name="Picture"/>
                          <pic:cNvPicPr>
                            <a:picLocks noChangeArrowheads="1" noChangeAspect="1"/>
                          </pic:cNvPicPr>
                        </pic:nvPicPr>
                        <pic:blipFill>
                          <a:blip r:embed="rId126"/>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29"/>
        </w:tc>
      </w:tr>
    </w:tbl>
    <w:bookmarkEnd w:id="130"/>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17" Target="media/rId117.jpg" /><Relationship Type="http://schemas.openxmlformats.org/officeDocument/2006/relationships/image" Id="rId126" Target="media/rId126.jpg" /><Relationship Type="http://schemas.openxmlformats.org/officeDocument/2006/relationships/image" Id="rId25" Target="media/rId25.png" /><Relationship Type="http://schemas.openxmlformats.org/officeDocument/2006/relationships/image" Id="rId121" Target="media/rId121.png" /><Relationship Type="http://schemas.openxmlformats.org/officeDocument/2006/relationships/hyperlink" Id="rId107"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3"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1"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9"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7"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3"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1"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9"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databases</dc:title>
  <dc:creator/>
  <cp:keywords/>
  <dcterms:created xsi:type="dcterms:W3CDTF">2023-08-04T15:55:27Z</dcterms:created>
  <dcterms:modified xsi:type="dcterms:W3CDTF">2023-08-04T15:55:27Z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computer-methods-and-programs-in-biomedicine</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