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jpg" ContentType="image/jpeg"/>
  <Override PartName="/word/media/rId133.jpg" ContentType="image/jpeg"/>
  <Override PartName="/word/media/rId26.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evidence</w:t>
      </w:r>
      <w:r>
        <w:t xml:space="preserve"> </w:t>
      </w:r>
      <w:r>
        <w:t xml:space="preserve">studies</w:t>
      </w:r>
    </w:p>
    <w:p>
      <w:pPr>
        <w:pStyle w:val="FirstParagraph"/>
      </w:pPr>
      <w:r>
        <w:rPr>
          <w:bCs/>
          <w:b/>
        </w:rPr>
        <w:t xml:space="preserve">Authors</w:t>
      </w:r>
      <w:r>
        <w:t xml:space="preserve">: Janick Weberpals</w:t>
      </w:r>
      <w:r>
        <w:rPr>
          <w:vertAlign w:val="superscript"/>
        </w:rPr>
        <w:t xml:space="preserve">1</w:t>
      </w:r>
      <w:r>
        <w:t xml:space="preserve">, RPh, PhD, Sudha R. Raman</w:t>
      </w:r>
      <w:r>
        <w:rPr>
          <w:vertAlign w:val="superscript"/>
        </w:rPr>
        <w:t xml:space="preserve">2</w:t>
      </w:r>
      <w:r>
        <w:t xml:space="preserve">, PhD, Pamela A. Shaw</w:t>
      </w:r>
      <w:r>
        <w:rPr>
          <w:vertAlign w:val="superscript"/>
        </w:rPr>
        <w:t xml:space="preserve">3</w:t>
      </w:r>
      <w:r>
        <w:t xml:space="preserve">, PhD, MS, Hana Lee</w:t>
      </w:r>
      <w:r>
        <w:rPr>
          <w:vertAlign w:val="superscript"/>
        </w:rPr>
        <w:t xml:space="preserve">4</w:t>
      </w:r>
      <w:r>
        <w:t xml:space="preserve">, PhD, Bradley G. Hammill</w:t>
      </w:r>
      <w:r>
        <w:rPr>
          <w:vertAlign w:val="superscript"/>
        </w:rPr>
        <w:t xml:space="preserve">2</w:t>
      </w:r>
      <w:r>
        <w:t xml:space="preserve">, DrPH, Sengwee Toh</w:t>
      </w:r>
      <w:r>
        <w:rPr>
          <w:vertAlign w:val="superscript"/>
        </w:rPr>
        <w:t xml:space="preserve">5</w:t>
      </w:r>
      <w:r>
        <w:t xml:space="preserve">, ScD, John G. Connolly</w:t>
      </w:r>
      <w:r>
        <w:rPr>
          <w:vertAlign w:val="superscript"/>
        </w:rPr>
        <w:t xml:space="preserve">5</w:t>
      </w:r>
      <w:r>
        <w:t xml:space="preserve">, ScD, Kimberly J. Dandreo</w:t>
      </w:r>
      <w:r>
        <w:rPr>
          <w:vertAlign w:val="superscript"/>
        </w:rPr>
        <w:t xml:space="preserve">5</w:t>
      </w:r>
      <w:r>
        <w:t xml:space="preserve">, MS, Fang Tian</w:t>
      </w:r>
      <w:r>
        <w:rPr>
          <w:vertAlign w:val="superscript"/>
        </w:rPr>
        <w:t xml:space="preserve">6</w:t>
      </w:r>
      <w:r>
        <w:t xml:space="preserve">, PhD, Wei Liu</w:t>
      </w:r>
      <w:r>
        <w:rPr>
          <w:vertAlign w:val="superscript"/>
        </w:rPr>
        <w:t xml:space="preserve">6</w:t>
      </w:r>
      <w:r>
        <w:t xml:space="preserve">, PhD, Jie Li</w:t>
      </w:r>
      <w:r>
        <w:rPr>
          <w:vertAlign w:val="superscript"/>
        </w:rPr>
        <w:t xml:space="preserve">6</w:t>
      </w:r>
      <w:r>
        <w:t xml:space="preserve">, PhD, José J. Hernández-Muñoz</w:t>
      </w:r>
      <w:r>
        <w:rPr>
          <w:vertAlign w:val="superscript"/>
        </w:rPr>
        <w:t xml:space="preserve">6</w:t>
      </w:r>
      <w:r>
        <w:t xml:space="preserve">, PhD, Robert J. Glynn</w:t>
      </w:r>
      <w:r>
        <w:rPr>
          <w:vertAlign w:val="superscript"/>
        </w:rPr>
        <w:t xml:space="preserve">1</w:t>
      </w:r>
      <w:r>
        <w:t xml:space="preserve">, PhD, ScD, Rishi J. Desai</w:t>
      </w:r>
      <w:r>
        <w:rPr>
          <w:vertAlign w:val="superscript"/>
        </w:rPr>
        <w:t xml:space="preserve">1</w:t>
      </w:r>
      <w:r>
        <w:t xml:space="preserve">, PhD</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 </w:t>
      </w:r>
      <w:r>
        <w:t xml:space="preserve">Department of Population Health Sciences, Duke University School of Medicine, Durham, NC</w:t>
      </w:r>
    </w:p>
    <w:p>
      <w:pPr>
        <w:pStyle w:val="BodyText"/>
      </w:pPr>
      <w:r>
        <w:rPr>
          <w:vertAlign w:val="superscript"/>
        </w:rPr>
        <w:t xml:space="preserve">3</w:t>
      </w:r>
      <w:r>
        <w:t xml:space="preserve"> </w:t>
      </w:r>
      <w:r>
        <w:t xml:space="preserve">Biostatistics Division, Kaiser Permanente Washington Health Research Institute, Seattle, WA</w:t>
      </w:r>
    </w:p>
    <w:p>
      <w:pPr>
        <w:pStyle w:val="BodyText"/>
      </w:pPr>
      <w:r>
        <w:rPr>
          <w:vertAlign w:val="superscript"/>
        </w:rPr>
        <w:t xml:space="preserve">4</w:t>
      </w:r>
      <w:r>
        <w:t xml:space="preserve"> </w:t>
      </w:r>
      <w:r>
        <w:t xml:space="preserve">Office of Biostatistics, Center for Drug Evaluation and Research, US Food and Drug Administration, Silver Spring, MD</w:t>
      </w:r>
    </w:p>
    <w:p>
      <w:pPr>
        <w:pStyle w:val="BodyText"/>
      </w:pPr>
      <w:r>
        <w:rPr>
          <w:vertAlign w:val="superscript"/>
        </w:rPr>
        <w:t xml:space="preserve">5</w:t>
      </w:r>
      <w:r>
        <w:t xml:space="preserve"> </w:t>
      </w:r>
      <w:r>
        <w:t xml:space="preserve">Department of Population Medicine, Harvard Medical School and Harvard Pilgrim Health Care Institute, Boston, MA</w:t>
      </w:r>
    </w:p>
    <w:p>
      <w:pPr>
        <w:pStyle w:val="BodyText"/>
      </w:pPr>
      <w:r>
        <w:rPr>
          <w:vertAlign w:val="superscript"/>
        </w:rPr>
        <w:t xml:space="preserve">6</w:t>
      </w:r>
      <w:r>
        <w:t xml:space="preserve"> </w:t>
      </w:r>
      <w:r>
        <w:t xml:space="preserve">Office of Surveillance and Epidemiology, Center for Drug Evaluation and Research, US Food and Drug Administration, Silver Spring, MD</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2,522 words</w:t>
      </w:r>
    </w:p>
    <w:p>
      <w:pPr>
        <w:pStyle w:val="BodyText"/>
      </w:pPr>
      <w:r>
        <w:rPr>
          <w:bCs/>
          <w:b/>
          <w:u w:val="single"/>
        </w:rPr>
        <w:t xml:space="preserve">Tables:</w:t>
      </w:r>
      <w:r>
        <w:t xml:space="preserve"> </w:t>
      </w:r>
      <w:r>
        <w:t xml:space="preserve">2</w:t>
      </w:r>
    </w:p>
    <w:p>
      <w:pPr>
        <w:pStyle w:val="BodyText"/>
      </w:pPr>
      <w:r>
        <w:rPr>
          <w:bCs/>
          <w:b/>
          <w:u w:val="single"/>
        </w:rPr>
        <w:t xml:space="preserve">Figures:</w:t>
      </w:r>
      <w:r>
        <w:t xml:space="preserve"> </w:t>
      </w:r>
      <w:r>
        <w:t xml:space="preserve">3</w:t>
      </w:r>
    </w:p>
    <w:p>
      <w:pPr>
        <w:pStyle w:val="BodyText"/>
      </w:pPr>
      <w:r>
        <w:rPr>
          <w:bCs/>
          <w:b/>
          <w:u w:val="single"/>
        </w:rPr>
        <w:t xml:space="preserve">Supplementary material:</w:t>
      </w:r>
      <w:r>
        <w:t xml:space="preserve"> </w:t>
      </w:r>
      <w:r>
        <w:t xml:space="preserve">Supplementary Methods</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depedencies can be found at</w:t>
      </w:r>
      <w:r>
        <w:t xml:space="preserve"> </w:t>
      </w:r>
      <w:hyperlink r:id="rId22">
        <w:r>
          <w:rPr>
            <w:rStyle w:val="Hyperlink"/>
          </w:rPr>
          <w:t xml:space="preserve">https://gitlab-scm.partners.org/drugepi/smdi-manuscript</w:t>
        </w:r>
      </w:hyperlink>
      <w:r>
        <w:t xml:space="preserve"> </w:t>
      </w:r>
      <w:r>
        <w:t xml:space="preserve">or</w:t>
      </w:r>
      <w:r>
        <w:t xml:space="preserve"> </w:t>
      </w:r>
      <w:hyperlink r:id="rId23">
        <w:r>
          <w:rPr>
            <w:rStyle w:val="Hyperlink"/>
          </w:rPr>
          <w:t xml:space="preserve">https://github.com/janickweberpals/smdi-manuscript</w:t>
        </w:r>
      </w:hyperlink>
      <w:r>
        <w:t xml:space="preserve">. The R package presented in this study can be downloaded from the comprehensive R archive network (CRAN) via</w:t>
      </w:r>
      <w:r>
        <w:t xml:space="preserve"> </w:t>
      </w:r>
      <w:r>
        <w:rPr>
          <w:rStyle w:val="VerbatimChar"/>
        </w:rPr>
        <w:t xml:space="preserve">install.packages("smdi")</w:t>
      </w:r>
      <w:r>
        <w:t xml:space="preserve"> </w:t>
      </w:r>
      <w:r>
        <w:t xml:space="preserve">(version 0.2.2 at time of manuscript submission) or from</w:t>
      </w:r>
      <w:r>
        <w:t xml:space="preserve"> </w:t>
      </w:r>
      <w:hyperlink r:id="rId24">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5" w:name="abstract"/>
    <w:p>
      <w:pPr>
        <w:pStyle w:val="Heading1"/>
      </w:pPr>
      <w:r>
        <w:t xml:space="preserve">Abstract</w:t>
      </w:r>
    </w:p>
    <w:p>
      <w:pPr>
        <w:pStyle w:val="FirstParagraph"/>
      </w:pPr>
      <w:r>
        <w:t xml:space="preserve">150 words/150 words</w:t>
      </w:r>
    </w:p>
    <w:p>
      <w:pPr>
        <w:pStyle w:val="BodyText"/>
      </w:pPr>
      <w:r>
        <w:rPr>
          <w:bCs/>
          <w:b/>
        </w:rPr>
        <w:t xml:space="preserve">Objectives</w:t>
      </w:r>
    </w:p>
    <w:p>
      <w:pPr>
        <w:pStyle w:val="BodyText"/>
      </w:pPr>
      <w:r>
        <w:t xml:space="preserve">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pPr>
        <w:pStyle w:val="BodyText"/>
      </w:pPr>
      <w:r>
        <w:rPr>
          <w:bCs/>
          <w:b/>
        </w:rPr>
        <w:t xml:space="preserve">Materials and Methods</w:t>
      </w:r>
    </w:p>
    <w:p>
      <w:pPr>
        <w:pStyle w:val="BodyText"/>
      </w:pPr>
      <w:r>
        <w:t xml:space="preserve">We developed the</w:t>
      </w:r>
      <w:r>
        <w:t xml:space="preserve"> </w:t>
      </w:r>
      <w:r>
        <w:rPr>
          <w:rStyle w:val="VerbatimChar"/>
        </w:rPr>
        <w:t xml:space="preserve">smdi</w:t>
      </w:r>
      <w:r>
        <w:t xml:space="preserve"> </w:t>
      </w:r>
      <w:r>
        <w:t xml:space="preserve">(structural missing data investigations) R package based on results of a previous simulation study which considered structural assumptions of common missing data mechanisms in EHR.</w:t>
      </w:r>
    </w:p>
    <w:p>
      <w:pPr>
        <w:pStyle w:val="BodyText"/>
      </w:pPr>
      <w:r>
        <w:rPr>
          <w:bCs/>
          <w:b/>
        </w:rPr>
        <w:t xml:space="preserve">Results</w:t>
      </w:r>
    </w:p>
    <w:p>
      <w:pPr>
        <w:pStyle w:val="BodyText"/>
      </w:pPr>
      <w:r>
        <w:rPr>
          <w:rStyle w:val="VerbatimChar"/>
        </w:rPr>
        <w:t xml:space="preserve">smdi</w:t>
      </w:r>
      <w:r>
        <w:t xml:space="preserve"> </w:t>
      </w:r>
      <w:r>
        <w:t xml:space="preserve">enables users to run principled missing data investigations on partially observed confounders and implement functions to visualize, describe, and infer potential missingness patterns and mechanisms based on observed data.</w:t>
      </w:r>
    </w:p>
    <w:p>
      <w:pPr>
        <w:pStyle w:val="BodyText"/>
      </w:pPr>
      <w:r>
        <w:rPr>
          <w:bCs/>
          <w:b/>
        </w:rPr>
        <w:t xml:space="preserve">Conclusions</w:t>
      </w:r>
    </w:p>
    <w:p>
      <w:pPr>
        <w:pStyle w:val="BodyText"/>
      </w:pPr>
      <w:r>
        <w:t xml:space="preserve">The</w:t>
      </w:r>
      <w:r>
        <w:t xml:space="preserve"> </w:t>
      </w:r>
      <w:r>
        <w:rPr>
          <w:rStyle w:val="VerbatimChar"/>
        </w:rPr>
        <w:t xml:space="preserve">smdi</w:t>
      </w:r>
      <w:r>
        <w:t xml:space="preserve"> </w:t>
      </w:r>
      <w:r>
        <w:t xml:space="preserve">R package is freely available on CRAN and can provide valuable insights into underlying missingness patterns and mechanisms and thereby help improve the robustness of real-world evidence studies.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pStyle w:val="BodyText"/>
            </w:pPr>
            <w:pPr>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w:t>
            </w:r>
            <w:r>
              <w:t xml:space="preserve"> </w:t>
            </w:r>
            <w:r>
              <w:rPr>
                <w:rStyle w:val="VerbatimChar"/>
              </w:rPr>
              <w:t xml:space="preserve">smdi</w:t>
            </w:r>
            <w:r>
              <w:t xml:space="preserve"> </w:t>
            </w:r>
            <w:r>
              <w:t xml:space="preserve">R package, which enables researchers to conduct such principled missing data investigations on partially observed confounders. The</w:t>
            </w:r>
            <w:r>
              <w:t xml:space="preserve"> </w:t>
            </w:r>
            <w:r>
              <w:rPr>
                <w:rStyle w:val="VerbatimChar"/>
              </w:rPr>
              <w:t xml:space="preserve">smdi</w:t>
            </w:r>
            <w:r>
              <w:t xml:space="preserve"> </w:t>
            </w:r>
            <w:r>
              <w:t xml:space="preserve">package implements functions to visualize and describe missing data and to infer potential missingness patterns and mechanisms based on observed data.</w:t>
            </w:r>
          </w:p>
        </w:tc>
      </w:tr>
    </w:tbl>
    <w:p>
      <w:r>
        <w:br w:type="page"/>
      </w:r>
    </w:p>
    <w:bookmarkEnd w:id="25"/>
    <w:bookmarkStart w:id="31" w:name="background-and-significance"/>
    <w:p>
      <w:pPr>
        <w:pStyle w:val="Heading1"/>
      </w:pPr>
      <w:r>
        <w:t xml:space="preserve">Background and Significance</w:t>
      </w:r>
    </w:p>
    <w:p>
      <w:pPr>
        <w:pStyle w:val="FirstParagraph"/>
      </w:pPr>
      <w:r>
        <w:t xml:space="preserve">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w:t>
      </w:r>
      <w:r>
        <w:t xml:space="preserve"> </w:t>
      </w:r>
      <w:r>
        <w:t xml:space="preserve">[1]</w:t>
      </w:r>
      <w:r>
        <w:t xml:space="preserve">, linking claims databases and electronic health records (EHR) to generate real-world evidence (RWE) and complement data from randomized controlled trials (RCTs)</w:t>
      </w:r>
      <w:r>
        <w:t xml:space="preserve"> </w:t>
      </w:r>
      <w:r>
        <w:t xml:space="preserve">[1,2]</w:t>
      </w:r>
      <w:r>
        <w:t xml:space="preserve">. Due to their capture of clinical details, EHR can significantly improve the ability to mitigate imbalances in prognostic factors between treatment groups, especially when linked to administrative claims databases</w:t>
      </w:r>
      <w:r>
        <w:t xml:space="preserve"> </w:t>
      </w:r>
      <w:r>
        <w:t xml:space="preserve">[3]</w:t>
      </w:r>
      <w:r>
        <w:t xml:space="preserve">. At the moment, substantial efforts focusing on the linkage of claims databases and EHR are underway, for instance, in the FDA Sentinel Initiative</w:t>
      </w:r>
      <w:r>
        <w:t xml:space="preserve"> </w:t>
      </w:r>
      <w:r>
        <w:t xml:space="preserve">[1]</w:t>
      </w:r>
      <w:r>
        <w:t xml:space="preserve">. However, prognostic factors coming from EHR are often only partially observed, posing a challenge to the statistical analysis and potentially leading to bias in treatment effect estimates if not handled appropriately</w:t>
      </w:r>
      <w:r>
        <w:t xml:space="preserve"> </w:t>
      </w:r>
      <w:r>
        <w:t xml:space="preserve">[4–6]</w:t>
      </w:r>
      <w:r>
        <w:t xml:space="preserve">.</w:t>
      </w:r>
    </w:p>
    <w:p>
      <w:pPr>
        <w:pStyle w:val="BodyText"/>
      </w:pPr>
      <w:r>
        <w:t xml:space="preserve">In order to inform decisions about the most appropriate analytic approach, it is useful to investigate the potential patterns and mechanisms that underlie the partially observed confounder (POC) data (see definitions box)</w:t>
      </w:r>
      <w:r>
        <w:t xml:space="preserve"> </w:t>
      </w:r>
      <w:r>
        <w:t xml:space="preserve">[7–9]</w:t>
      </w:r>
      <w:r>
        <w:t xml:space="preserve">. Existing guidance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using directed acyclic graphs</w:t>
      </w:r>
      <w:r>
        <w:t xml:space="preserve"> </w:t>
      </w:r>
      <w:r>
        <w:t xml:space="preserve">[16,17]</w:t>
      </w:r>
      <w:r>
        <w:t xml:space="preserve"> </w:t>
      </w:r>
      <w:r>
        <w:t xml:space="preserve">or M-graphs</w:t>
      </w:r>
      <w:r>
        <w:t xml:space="preserve"> </w:t>
      </w:r>
      <w:r>
        <w:t xml:space="preserve">[18]</w:t>
      </w:r>
      <w:r>
        <w:t xml:space="preserve">. However, these methods have so far only been described and tested in isolation from each other and no unified principled approach exists. In addition, the practical implementation of such diagnostics is time-consuming and consequently infrequently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9" w:name="X9f4ac6462845c16841f0a15ed4f2f9667eddde5"/>
          <w:p>
            <w:pPr>
              <w:pStyle w:val="Heading3"/>
            </w:pPr>
            <w:r>
              <w:t xml:space="preserve">Patterns (adapted from Van Buuren</w:t>
            </w:r>
            <w:r>
              <w:t xml:space="preserve"> </w:t>
            </w:r>
            <w:r>
              <w:t xml:space="preserve">[7]</w:t>
            </w:r>
            <w:r>
              <w:t xml:space="preserve">)</w:t>
            </w:r>
          </w:p>
          <w:p>
            <w:pPr>
              <w:numPr>
                <w:ilvl w:val="0"/>
                <w:numId w:val="1001"/>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w:t>
            </w:r>
          </w:p>
          <w:p>
            <w:pPr>
              <w:numPr>
                <w:ilvl w:val="0"/>
                <w:numId w:val="1001"/>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9"/>
          <w:bookmarkStart w:id="30" w:name="mechanisms-sondhi2023a"/>
          <w:p>
            <w:pPr>
              <w:pStyle w:val="Heading3"/>
            </w:pPr>
            <w:r>
              <w:t xml:space="preserve">Mechanisms</w:t>
            </w:r>
            <w:r>
              <w:t xml:space="preserve"> </w:t>
            </w:r>
            <w:r>
              <w:t xml:space="preserve">[11]</w:t>
            </w:r>
          </w:p>
          <w:p>
            <w:pPr>
              <w:numPr>
                <w:ilvl w:val="0"/>
                <w:numId w:val="1002"/>
              </w:numPr>
            </w:pPr>
            <w:r>
              <w:rPr>
                <w:bCs/>
                <w:b/>
              </w:rPr>
              <w:t xml:space="preserve">Missing completely at random (MCAR)</w:t>
            </w:r>
            <w:r>
              <w:t xml:space="preserve">: The missingness does not depend on any other observed or unobserved covariate(s).</w:t>
            </w:r>
          </w:p>
          <w:p>
            <w:pPr>
              <w:numPr>
                <w:ilvl w:val="0"/>
                <w:numId w:val="1002"/>
              </w:numPr>
            </w:pPr>
            <w:r>
              <w:rPr>
                <w:bCs/>
                <w:b/>
              </w:rPr>
              <w:t xml:space="preserve">Missing at random (MAR)</w:t>
            </w:r>
            <w:r>
              <w:t xml:space="preserve">: The missingness depends and can be explained by other observed covariates.</w:t>
            </w:r>
          </w:p>
          <w:p>
            <w:pPr>
              <w:numPr>
                <w:ilvl w:val="0"/>
                <w:numId w:val="1002"/>
              </w:numPr>
            </w:pPr>
            <w:r>
              <w:rPr>
                <w:bCs/>
                <w:b/>
              </w:rPr>
              <w:t xml:space="preserve">Missing not at random (MNAR)</w:t>
            </w:r>
            <w:r>
              <w:t xml:space="preserve">: The missingness depends on unobserved covariate(s). For example, the missingness may be explained by other covariate(s) which is/are not observed in the underlying dataset (MNAR</w:t>
            </w:r>
            <w:r>
              <w:rPr>
                <w:vertAlign w:val="subscript"/>
              </w:rPr>
              <w:t xml:space="preserve">unmeasured</w:t>
            </w:r>
            <w:r>
              <w:t xml:space="preserve">). The missingness can also just depend on the actual value of the partially observed covariate itself (MNAR</w:t>
            </w:r>
            <w:r>
              <w:rPr>
                <w:vertAlign w:val="subscript"/>
              </w:rPr>
              <w:t xml:space="preserve">value</w:t>
            </w:r>
            <w:r>
              <w:t xml:space="preserve">).</w:t>
            </w:r>
          </w:p>
        </w:tc>
      </w:tr>
    </w:tbl>
    <w:bookmarkEnd w:id="30"/>
    <w:p>
      <w:pPr>
        <w:pStyle w:val="FirstParagraph"/>
      </w:pPr>
      <w:r>
        <w:t xml:space="preserve">Considering these limitations, we have recently developed and evaluated a principled approach combining multiple missing data diagnostics</w:t>
      </w:r>
      <w:r>
        <w:t xml:space="preserve"> </w:t>
      </w:r>
      <w:r>
        <w:t xml:space="preserve">[22]</w:t>
      </w:r>
      <w:r>
        <w:t xml:space="preserve"> </w:t>
      </w:r>
      <w:r>
        <w:t xml:space="preserve">using a database linkage from the Mass General Brigham Research Patient Data Registry EHR in Boston</w:t>
      </w:r>
      <w:r>
        <w:t xml:space="preserve"> </w:t>
      </w:r>
      <w:r>
        <w:t xml:space="preserve">[23]</w:t>
      </w:r>
      <w:r>
        <w:t xml:space="preserve"> </w:t>
      </w:r>
      <w:r>
        <w:t xml:space="preserve">linked with Medicare fee-for-service claims data</w:t>
      </w:r>
      <w:r>
        <w:t xml:space="preserve"> </w:t>
      </w:r>
      <w:r>
        <w:t xml:space="preserve">[24]</w:t>
      </w:r>
      <w:r>
        <w:t xml:space="preserve">. The results of this large-scale study revealed that the combination of these diagnostics effectively identified underlying mechanisms and provided helpful guidance for the choice of appropriate analytic methods to handle POC data.</w:t>
      </w:r>
    </w:p>
    <w:bookmarkEnd w:id="31"/>
    <w:bookmarkStart w:id="32" w:name="objective"/>
    <w:p>
      <w:pPr>
        <w:pStyle w:val="Heading1"/>
      </w:pPr>
      <w:r>
        <w:t xml:space="preserve">Objective</w:t>
      </w:r>
    </w:p>
    <w:p>
      <w:pPr>
        <w:pStyle w:val="FirstParagraph"/>
      </w:pPr>
      <w:r>
        <w:t xml:space="preserve">To streamline the implementation of routine missing data diagnostics for POC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[25]</w:t>
      </w:r>
      <w:r>
        <w:t xml:space="preserve">.</w:t>
      </w:r>
    </w:p>
    <w:bookmarkEnd w:id="32"/>
    <w:bookmarkStart w:id="36"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the comprehensive R archive network (</w:t>
      </w:r>
      <w:hyperlink r:id="rId33">
        <w:r>
          <w:rPr>
            <w:rStyle w:val="Hyperlink"/>
          </w:rPr>
          <w:t xml:space="preserve">https://cran.r-project.org/web/packages/smdi</w:t>
        </w:r>
      </w:hyperlink>
      <w:r>
        <w:t xml:space="preserve">) and GitLab (</w:t>
      </w:r>
      <w:hyperlink r:id="rId34">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quality, we implemented comprehensive unit tests with a coverage of 95.81% and established automated R CMD checks</w:t>
      </w:r>
      <w:r>
        <w:t xml:space="preserve"> </w:t>
      </w:r>
      <w:r>
        <w:t xml:space="preserve">[26]</w:t>
      </w:r>
      <w:r>
        <w:t xml:space="preserve"> </w:t>
      </w:r>
      <w:r>
        <w:t xml:space="preserve">via continuous integration and deployment. Additional resources such as documentation and vignettes are provided on the package website:</w:t>
      </w:r>
      <w:r>
        <w:t xml:space="preserve"> </w:t>
      </w:r>
      <w:hyperlink r:id="rId35">
        <w:r>
          <w:rPr>
            <w:rStyle w:val="Hyperlink"/>
          </w:rPr>
          <w:t xml:space="preserve">https://janickweberpals.gitlab-pages.partners.org/smdi</w:t>
        </w:r>
      </w:hyperlink>
      <w:r>
        <w:t xml:space="preserve">.</w:t>
      </w:r>
    </w:p>
    <w:bookmarkEnd w:id="36"/>
    <w:bookmarkStart w:id="45" w:name="sec-results"/>
    <w:p>
      <w:pPr>
        <w:pStyle w:val="Heading1"/>
      </w:pPr>
      <w:r>
        <w:t xml:space="preserve">Results</w:t>
      </w:r>
    </w:p>
    <w:bookmarkStart w:id="44"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a MAR, MNAR and MCAR mechanism, respectively (more details:</w:t>
      </w:r>
      <w:r>
        <w:t xml:space="preserve"> </w:t>
      </w:r>
      <w:hyperlink r:id="rId37">
        <w:r>
          <w:rPr>
            <w:rStyle w:val="Hyperlink"/>
          </w:rPr>
          <w:t xml:space="preserve">https://janickweberpals.gitlab-pages.partners.org/smdi/articles/a_data_generation.html</w:t>
        </w:r>
      </w:hyperlink>
      <w:r>
        <w:t xml:space="preserve">).</w:t>
      </w:r>
    </w:p>
    <w:p>
      <w:pPr>
        <w:pStyle w:val="BodyText"/>
      </w:pPr>
      <w:r>
        <w:t xml:space="preserve">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relevant variables, i.e., exposure, outcome, fully observed covariates and the POCs. 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p>
      <w:pPr>
        <w:pStyle w:val="BodyText"/>
      </w:pPr>
      <w:r>
        <w:t xml:space="preserve">Details on missingness assumptions, key statistical principles and further information on all functions can be found in the</w:t>
      </w:r>
      <w:r>
        <w:t xml:space="preserve"> </w:t>
      </w:r>
      <w:r>
        <w:rPr>
          <w:bCs/>
          <w:b/>
        </w:rPr>
        <w:t xml:space="preserve">Supplementary Methods</w:t>
      </w:r>
      <w:r>
        <w:t xml:space="preserve"> </w:t>
      </w:r>
      <w:r>
        <w:t xml:space="preserve">and in the documentation of each respective function which can be accessed in R by preceding the function name with a question mark, e.g.:</w:t>
      </w:r>
    </w:p>
    <w:p>
      <w:pPr>
        <w:pStyle w:val="SourceCode"/>
      </w:pPr>
      <w:r>
        <w:rPr>
          <w:rStyle w:val="NormalTok"/>
        </w:rPr>
        <w:t xml:space="preserve">?</w:t>
      </w:r>
      <w:r>
        <w:rPr>
          <w:rStyle w:val="FunctionTok"/>
        </w:rPr>
        <w:t xml:space="preserve">smdi_diagnose</w:t>
      </w:r>
      <w:r>
        <w:rPr>
          <w:rStyle w:val="NormalTok"/>
        </w:rPr>
        <w:t xml:space="preserve">()</w:t>
      </w:r>
    </w:p>
    <w:bookmarkStart w:id="38"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returns the amount and proportion of missing observations, which can also be stratified by a grouping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[27]</w:t>
      </w:r>
      <w:r>
        <w:t xml:space="preserve">. This function uses a set visualization technique to visually infer potential (non-)monotone patterns based on the number of intersecting missing observations across all POCs</w:t>
      </w:r>
      <w:r>
        <w:t xml:space="preserve"> </w:t>
      </w:r>
      <w:r>
        <w:t xml:space="preserve">[28]</w:t>
      </w:r>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w:t>
      </w:r>
      <w:r>
        <w:t xml:space="preserve"> </w:t>
      </w:r>
      <w:hyperlink w:anchor="fig-examples">
        <w:r>
          <w:rPr>
            <w:rStyle w:val="Hyperlink"/>
          </w:rPr>
          <w:t xml:space="preserve">Figure 2</w:t>
        </w:r>
      </w:hyperlink>
      <w:r>
        <w:t xml:space="preserve"> </w:t>
      </w:r>
      <w:r>
        <w:t xml:space="preserve">b). The</w:t>
      </w:r>
      <w:r>
        <w:t xml:space="preserve"> </w:t>
      </w:r>
      <w:r>
        <w:rPr>
          <w:rStyle w:val="VerbatimChar"/>
        </w:rPr>
        <w:t xml:space="preserve">md.pattern()</w:t>
      </w:r>
      <w:r>
        <w:t xml:space="preserve"> </w:t>
      </w:r>
      <w:r>
        <w:t xml:space="preserve">function, a re-export of the mice package</w:t>
      </w:r>
      <w:r>
        <w:t xml:space="preserve"> </w:t>
      </w:r>
      <w:r>
        <w:t xml:space="preserve">[29]</w:t>
      </w:r>
      <w:r>
        <w:t xml:space="preserve">, provides a similar functionality and returns a matrix displaying the frequency of each observed missing data pattern.</w:t>
      </w:r>
    </w:p>
    <w:bookmarkEnd w:id="38"/>
    <w:bookmarkStart w:id="43"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9"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[30–32]</w:t>
      </w:r>
      <w:r>
        <w:t xml:space="preserve">. The function returns an</w:t>
      </w:r>
      <w:r>
        <w:t xml:space="preserve"> </w:t>
      </w:r>
      <w:r>
        <w:rPr>
          <w:iCs/>
          <w:i/>
        </w:rPr>
        <w:t xml:space="preserve">asmd</w:t>
      </w:r>
      <w:r>
        <w:t xml:space="preserve"> </w:t>
      </w:r>
      <w:r>
        <w:t xml:space="preserve">object which displays an aggregated summary of the average or median ASMD along with a corresponding range of minimum and maximum ASMDs for each POC, respectively. The object also returns detailed</w:t>
      </w:r>
      <w:r>
        <w:t xml:space="preserve"> </w:t>
      </w:r>
      <w:r>
        <w:t xml:space="preserve">‘</w:t>
      </w:r>
      <w:r>
        <w:t xml:space="preserve">Table 1’s</w:t>
      </w:r>
      <w:r>
        <w:t xml:space="preserve">’</w:t>
      </w:r>
      <w:r>
        <w:t xml:space="preserve"> </w:t>
      </w:r>
      <w:r>
        <w:t xml:space="preserve">and plots</w:t>
      </w:r>
      <w:r>
        <w:t xml:space="preserve"> </w:t>
      </w:r>
      <w:r>
        <w:t xml:space="preserve">[33]</w:t>
      </w:r>
      <w:r>
        <w:t xml:space="preserve"> </w:t>
      </w:r>
      <w:r>
        <w:t xml:space="preserve">for each POC displaying the distributions of observed covariates and resulting ASMDs between patients with and without an observed value for the POC (example</w:t>
      </w:r>
      <w:r>
        <w:t xml:space="preserve"> </w:t>
      </w:r>
      <w:hyperlink w:anchor="fig-examples">
        <w:r>
          <w:rPr>
            <w:rStyle w:val="Hyperlink"/>
          </w:rPr>
          <w:t xml:space="preserve">Figure 2</w:t>
        </w:r>
      </w:hyperlink>
      <w:r>
        <w:t xml:space="preserve"> </w:t>
      </w:r>
      <w:r>
        <w:t xml:space="preserve">c).</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differences in patient characteristics as a formal statistical hypothesis test. Hotelling’s test</w:t>
      </w:r>
      <w:r>
        <w:t xml:space="preserve"> </w:t>
      </w:r>
      <w:r>
        <w:t xml:space="preserve">[12,34]</w:t>
      </w:r>
      <w:r>
        <w:t xml:space="preserve"> </w:t>
      </w:r>
      <w:r>
        <w:t xml:space="preserve">formalizes this as a multivariate t-test, which means that</w:t>
      </w:r>
      <w:r>
        <w:t xml:space="preserve"> </w:t>
      </w:r>
      <w:r>
        <w:rPr>
          <w:rStyle w:val="VerbatimChar"/>
        </w:rPr>
        <w:t xml:space="preserve">smdi_hotelling()</w:t>
      </w:r>
      <w:r>
        <w:t xml:space="preserve"> </w:t>
      </w:r>
      <w:r>
        <w:t xml:space="preserve">returns a test statistic and p-value for each POC. In contrast,</w:t>
      </w:r>
      <w:r>
        <w:t xml:space="preserve"> </w:t>
      </w:r>
      <w:r>
        <w:rPr>
          <w:rStyle w:val="VerbatimChar"/>
        </w:rPr>
        <w:t xml:space="preserve">smdi_little()</w:t>
      </w:r>
      <w:r>
        <w:t xml:space="preserve"> </w:t>
      </w:r>
      <w:r>
        <w:t xml:space="preserve">[13,27]</w:t>
      </w:r>
      <w:r>
        <w:t xml:space="preserve"> </w:t>
      </w:r>
      <w:r>
        <w:t xml:space="preserve">computes a single global chi-square test statistic and p-value across all POCs with the null hypothesis that the data are (globally) MCAR.</w:t>
      </w:r>
    </w:p>
    <w:p>
      <w:pPr>
        <w:pStyle w:val="BodyText"/>
      </w:pPr>
      <w:r>
        <w:t xml:space="preserve">Applying group 1 diagnostics to the synthetic example dataset would indicate that the ECOG POC (median ASMD 0.03, min-max 0.00-0.07, p-value 0.78) does not show any differences in observed patient characteristics between patients with and without and observed value for ECOG which would give evidence for a MCAR mechanism (</w:t>
      </w:r>
      <w:hyperlink w:anchor="fig-results">
        <w:r>
          <w:rPr>
            <w:rStyle w:val="Hyperlink"/>
          </w:rPr>
          <w:t xml:space="preserve">Figure 3</w:t>
        </w:r>
      </w:hyperlink>
      <w:r>
        <w:t xml:space="preserve"> </w:t>
      </w:r>
      <w:r>
        <w:t xml:space="preserve">bottom, Group 1 diagnostics - orange boxes) . Conversely, in the case of EGFR and PD-L1, the group 1 diagnostics display larger differences and hence may rather underlie a MAR or MNAR mechanism (</w:t>
      </w:r>
      <w:hyperlink w:anchor="fig-examples">
        <w:r>
          <w:rPr>
            <w:rStyle w:val="Hyperlink"/>
          </w:rPr>
          <w:t xml:space="preserve">Figure 2</w:t>
        </w:r>
      </w:hyperlink>
      <w:r>
        <w:t xml:space="preserve"> </w:t>
      </w:r>
      <w:r>
        <w:t xml:space="preserve">c,</w:t>
      </w:r>
      <w:r>
        <w:t xml:space="preserve"> </w:t>
      </w:r>
      <w:hyperlink w:anchor="fig-results">
        <w:r>
          <w:rPr>
            <w:rStyle w:val="Hyperlink"/>
          </w:rPr>
          <w:t xml:space="preserve">Figure 3</w:t>
        </w:r>
      </w:hyperlink>
      <w:r>
        <w:t xml:space="preserve">).</w:t>
      </w:r>
    </w:p>
    <w:bookmarkEnd w:id="39"/>
    <w:bookmarkStart w:id="40" w:name="group-2-diagnostics"/>
    <w:p>
      <w:pPr>
        <w:pStyle w:val="Heading4"/>
      </w:pPr>
      <w:r>
        <w:t xml:space="preserve">Group 2 Diagnostics</w:t>
      </w:r>
    </w:p>
    <w:p>
      <w:pPr>
        <w:pStyle w:val="FirstParagraph"/>
      </w:pPr>
      <w:r>
        <w:t xml:space="preserve">Group 2 diagnostics assess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[11,35]</w:t>
      </w:r>
      <w:r>
        <w:t xml:space="preserve"> </w:t>
      </w:r>
      <w:r>
        <w:t xml:space="preserve">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 xml:space="preserve">train_test_ratio, ntree</w:t>
      </w:r>
      <w:r>
        <w:t xml:space="preserve"> </w:t>
      </w:r>
      <w:r>
        <w:t xml:space="preserve">and</w:t>
      </w:r>
      <w:r>
        <w:t xml:space="preserve"> </w:t>
      </w:r>
      <w:r>
        <w:rPr>
          <w:rStyle w:val="VerbatimChar"/>
        </w:rPr>
        <w:t xml:space="preserve">n_cores</w:t>
      </w:r>
      <w:r>
        <w:t xml:space="preserve"> </w:t>
      </w:r>
      <w:r>
        <w:t xml:space="preserve">parameter, respectively)</w:t>
      </w:r>
      <w:r>
        <w:t xml:space="preserve"> </w:t>
      </w:r>
      <w:r>
        <w:t xml:space="preserve">[35,36]</w:t>
      </w:r>
      <w:r>
        <w:t xml:space="preserve">.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it is recommended to run the diagnostics for each POC independently rather than jointly.</w:t>
      </w:r>
    </w:p>
    <w:p>
      <w:pPr>
        <w:pStyle w:val="BodyText"/>
      </w:pPr>
      <w:hyperlink w:anchor="fig-results">
        <w:r>
          <w:rPr>
            <w:rStyle w:val="Hyperlink"/>
          </w:rPr>
          <w:t xml:space="preserve">Figure 3</w:t>
        </w:r>
      </w:hyperlink>
      <w:r>
        <w:t xml:space="preserve"> </w:t>
      </w:r>
      <w:r>
        <w:t xml:space="preserve">(Group 2 diagnostics - blue boxes), for example, illustrates the AUC values of the output of</w:t>
      </w:r>
      <w:r>
        <w:t xml:space="preserve"> </w:t>
      </w:r>
      <w:r>
        <w:rPr>
          <w:rStyle w:val="VerbatimChar"/>
        </w:rPr>
        <w:t xml:space="preserve">smdi_rf()</w:t>
      </w:r>
      <w:r>
        <w:t xml:space="preserve"> </w:t>
      </w:r>
      <w:r>
        <w:t xml:space="preserve">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p>
    <w:bookmarkEnd w:id="40"/>
    <w:bookmarkStart w:id="41" w:name="group-3-diagnostics"/>
    <w:p>
      <w:pPr>
        <w:pStyle w:val="Heading4"/>
      </w:pPr>
      <w:r>
        <w:t xml:space="preserve">Group 3 Diagnostics</w:t>
      </w:r>
    </w:p>
    <w:p>
      <w:pPr>
        <w:pStyle w:val="FirstParagraph"/>
      </w:pPr>
      <w:r>
        <w:t xml:space="preserve">The third group of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hyperlink w:anchor="fig-results">
        <w:r>
          <w:rPr>
            <w:rStyle w:val="Hyperlink"/>
          </w:rPr>
          <w:t xml:space="preserve">Figure 3</w:t>
        </w:r>
      </w:hyperlink>
      <w:r>
        <w:t xml:space="preserve"> </w:t>
      </w:r>
      <w:r>
        <w:t xml:space="preserve">top)</w:t>
      </w:r>
      <w:r>
        <w:t xml:space="preserve"> </w:t>
      </w:r>
      <w:r>
        <w:t xml:space="preserve">[22]</w:t>
      </w:r>
      <w:r>
        <w:t xml:space="preserve">. As expected, under a MCAR mechanism the simulation suggested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pPr>
        <w:pStyle w:val="BodyText"/>
      </w:pPr>
      <w:r>
        <w:rPr>
          <w:rStyle w:val="VerbatimChar"/>
        </w:rPr>
        <w:t xml:space="preserve">smdi_outcome()</w:t>
      </w:r>
      <w:r>
        <w:t xml:space="preserve"> </w:t>
      </w:r>
      <w:r>
        <w:t xml:space="preserve">supports multiple outcome regression types including linear regression (</w:t>
      </w:r>
      <w:r>
        <w:rPr>
          <w:iCs/>
          <w:i/>
        </w:rPr>
        <w:t xml:space="preserve">lm</w:t>
      </w:r>
      <w:r>
        <w:t xml:space="preserve"> </w:t>
      </w:r>
      <w:r>
        <w:t xml:space="preserve">[37]</w:t>
      </w:r>
      <w:r>
        <w:t xml:space="preserve">) for continuous outcomes, Cox proportional hazards model (</w:t>
      </w:r>
      <w:r>
        <w:rPr>
          <w:iCs/>
          <w:i/>
        </w:rPr>
        <w:t xml:space="preserve">coxph</w:t>
      </w:r>
      <w:r>
        <w:t xml:space="preserve"> </w:t>
      </w:r>
      <w:r>
        <w:t xml:space="preserve">[38]</w:t>
      </w:r>
      <w:r>
        <w:t xml:space="preserve">) for time-to-event outcomes, and generalized linear regression models (</w:t>
      </w:r>
      <w:r>
        <w:rPr>
          <w:iCs/>
          <w:i/>
        </w:rPr>
        <w:t xml:space="preserve">glm</w:t>
      </w:r>
      <w:r>
        <w:t xml:space="preserve"> </w:t>
      </w:r>
      <w:r>
        <w:t xml:space="preserve">[37]</w:t>
      </w:r>
      <w:r>
        <w:t xml:space="preserve">) for which the family of conditional distributions of the outcome can be selected using the</w:t>
      </w:r>
      <w:r>
        <w:t xml:space="preserve"> </w:t>
      </w:r>
      <w:r>
        <w:rPr>
          <w:rStyle w:val="VerbatimChar"/>
        </w:rPr>
        <w:t xml:space="preserve">glm_family</w:t>
      </w:r>
      <w:r>
        <w:t xml:space="preserve"> </w:t>
      </w:r>
      <w:r>
        <w:t xml:space="preserve">parameter (the default is</w:t>
      </w:r>
      <w:r>
        <w:t xml:space="preserve"> </w:t>
      </w:r>
      <w:r>
        <w:rPr>
          <w:rStyle w:val="VerbatimChar"/>
        </w:rPr>
        <w:t xml:space="preserve">binomial(link='logit')</w:t>
      </w:r>
      <w:r>
        <w:t xml:space="preserve">). Besides the regression type (</w:t>
      </w:r>
      <w:r>
        <w:rPr>
          <w:rStyle w:val="VerbatimChar"/>
        </w:rPr>
        <w:t xml:space="preserve">model</w:t>
      </w:r>
      <w:r>
        <w:t xml:space="preserve"> </w:t>
      </w:r>
      <w:r>
        <w:t xml:space="preserve">parameter) and the</w:t>
      </w:r>
      <w:r>
        <w:t xml:space="preserve"> </w:t>
      </w:r>
      <w:r>
        <w:rPr>
          <w:rStyle w:val="VerbatimChar"/>
        </w:rPr>
        <w:t xml:space="preserve">glm_family</w:t>
      </w:r>
      <w:r>
        <w:t xml:space="preserve"> </w:t>
      </w:r>
      <w:r>
        <w:t xml:space="preserve">(in case of a glm model), users need to specify the column containing the outcome using the</w:t>
      </w:r>
      <w:r>
        <w:t xml:space="preserve"> </w:t>
      </w:r>
      <w:r>
        <w:rPr>
          <w:rStyle w:val="VerbatimChar"/>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The function returns a table with univariate and adjusted beta coefficients and 95% confidence intervals for each POC.</w:t>
      </w:r>
    </w:p>
    <w:p>
      <w:pPr>
        <w:pStyle w:val="BodyText"/>
      </w:pPr>
      <w:r>
        <w:t xml:space="preserve">Demonstrating the utilization of smdi_outcome() using the example dataset, the derived logHR coefficients for the missingness indicators of the POCs (</w:t>
      </w:r>
      <w:hyperlink w:anchor="fig-results">
        <w:r>
          <w:rPr>
            <w:rStyle w:val="Hyperlink"/>
          </w:rPr>
          <w:t xml:space="preserve">Figure 3</w:t>
        </w:r>
      </w:hyperlink>
      <w:r>
        <w:t xml:space="preserve"> </w:t>
      </w:r>
      <w:r>
        <w:t xml:space="preserve">bottom, Group 3 diagnostics - green boxes) align with the anticipated outcomes from our simulations</w:t>
      </w:r>
      <w:r>
        <w:t xml:space="preserve"> </w:t>
      </w:r>
      <w:r>
        <w:t xml:space="preserve">[22]</w:t>
      </w:r>
      <w:r>
        <w:t xml:space="preserve">. Specifically, EGFR manifests no discernible difference in the outcome after adjustment for fully observed covariates (logHR -0.01, 95% confidence intervals [CI] -0.10 to 0.09), suggesting a MAR mechanism. ECOG exhibits no distinction in either the unadjusted or adjusted model (logHR -0.06, -0.16 to 0.03), indicating MCAR. Conversely, PD-L1 showcases differences in the outcome in both models, suggesting an MNAR context.</w:t>
      </w:r>
    </w:p>
    <w:bookmarkEnd w:id="41"/>
    <w:bookmarkStart w:id="42"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users to compute all of the above discussed group diagnostics within a single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br/>
      </w:r>
      <w:r>
        <w:rPr>
          <w:rStyle w:val="NormalTok"/>
        </w:rPr>
        <w:t xml:space="preserve">  )</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Little’s test p-value across all covariates (</w:t>
      </w:r>
      <w:r>
        <w:rPr>
          <w:bCs/>
          <w:b/>
        </w:rPr>
        <w:t xml:space="preserve">Table 2</w:t>
      </w:r>
      <w:r>
        <w:t xml:space="preserve">). By cross-checking all resulting diagnostic parameters to expected estimates as illustrated in in the above examples (</w:t>
      </w:r>
      <w:hyperlink w:anchor="fig-results">
        <w:r>
          <w:rPr>
            <w:rStyle w:val="Hyperlink"/>
          </w:rPr>
          <w:t xml:space="preserve">Figure 3</w:t>
        </w:r>
      </w:hyperlink>
      <w:r>
        <w:t xml:space="preserve">,</w:t>
      </w:r>
      <w:r>
        <w:t xml:space="preserve"> </w:t>
      </w:r>
      <w:r>
        <w:t xml:space="preserve">[22]</w:t>
      </w:r>
      <w:r>
        <w:t xml:space="preserve">), the diagnostics can provide valuable insights into underlying missingness mechanisms and thereby help elucidate if analytic approaches such as imputation analyses are viable options.</w:t>
      </w:r>
    </w:p>
    <w:p>
      <w:pPr>
        <w:pStyle w:val="BodyText"/>
      </w:pPr>
      <w:r>
        <w:t xml:space="preserve">The</w:t>
      </w:r>
      <w:r>
        <w:t xml:space="preserve"> </w:t>
      </w:r>
      <w:r>
        <w:rPr>
          <w:rStyle w:val="VerbatimChar"/>
        </w:rPr>
        <w:t xml:space="preserve">smdi_style_gt()</w:t>
      </w:r>
      <w:r>
        <w:t xml:space="preserve"> </w:t>
      </w:r>
      <w:r>
        <w:t xml:space="preserve">function is an ancillary function that takes an object of class</w:t>
      </w:r>
      <w:r>
        <w:t xml:space="preserve"> </w:t>
      </w:r>
      <w:r>
        <w:rPr>
          <w:rStyle w:val="VerbatimChar"/>
        </w:rPr>
        <w:t xml:space="preserve">smdi</w:t>
      </w:r>
      <w:r>
        <w:t xml:space="preserve"> </w:t>
      </w:r>
      <w:r>
        <w:t xml:space="preserve">and produces a formatted and publication-ready gt table</w:t>
      </w:r>
      <w:r>
        <w:t xml:space="preserve"> </w:t>
      </w:r>
      <w:r>
        <w:t xml:space="preserve">[39]</w:t>
      </w:r>
      <w:r>
        <w:t xml:space="preserve"> </w:t>
      </w:r>
      <w:r>
        <w:t xml:space="preserve">which can be seamlessly exported to different file formats (e.g., .docx, .pdf, etc.) for reports or manuscripts.</w:t>
      </w:r>
    </w:p>
    <w:bookmarkEnd w:id="42"/>
    <w:bookmarkEnd w:id="43"/>
    <w:bookmarkEnd w:id="44"/>
    <w:bookmarkEnd w:id="45"/>
    <w:bookmarkStart w:id="47" w:name="discussion"/>
    <w:p>
      <w:pPr>
        <w:pStyle w:val="Heading1"/>
      </w:pPr>
      <w:r>
        <w:t xml:space="preserve">Discussion</w:t>
      </w:r>
    </w:p>
    <w:p>
      <w:pPr>
        <w:pStyle w:val="FirstParagraph"/>
      </w:pPr>
      <w:r>
        <w:t xml:space="preserve">Missing data are ubiquitous in RWE studies involving EHR and may introduce bias if not handled appropriately. To address this issue, we developed the</w:t>
      </w:r>
      <w:r>
        <w:t xml:space="preserve"> </w:t>
      </w:r>
      <w:r>
        <w:rPr>
          <w:rStyle w:val="VerbatimChar"/>
        </w:rPr>
        <w:t xml:space="preserve">smdi</w:t>
      </w:r>
      <w:r>
        <w:t xml:space="preserve"> </w:t>
      </w:r>
      <w:r>
        <w:t xml:space="preserve">R package to streamline routine diagnostics of missing data.</w:t>
      </w:r>
    </w:p>
    <w:p>
      <w:pPr>
        <w:pStyle w:val="BodyText"/>
      </w:pPr>
      <w:r>
        <w:t xml:space="preserve">The package should be used with certain limitations in mind. Most importantly, the true underlying mechanism causing the missing data can never be inferred with absolute certainty from the observed data. Therefore, it is important to complement diagnostic results with substantive expert knowledge to factor in how covariates are measured in routine care, which could be system-specific, and contextualize potential reasons for missingness. This collaborative approach allows for a contextualized understanding of potential causes for missing data in EHR.</w:t>
      </w:r>
    </w:p>
    <w:bookmarkStart w:id="46" w:name="conclusions"/>
    <w:p>
      <w:pPr>
        <w:pStyle w:val="Heading2"/>
      </w:pPr>
      <w:r>
        <w:t xml:space="preserve">Conclusions</w:t>
      </w:r>
    </w:p>
    <w:p>
      <w:pPr>
        <w:pStyle w:val="FirstParagraph"/>
      </w:pPr>
      <w:r>
        <w:t xml:space="preserve">The</w:t>
      </w:r>
      <w:r>
        <w:t xml:space="preserve"> </w:t>
      </w:r>
      <w:r>
        <w:rPr>
          <w:rStyle w:val="VerbatimChar"/>
        </w:rPr>
        <w:t xml:space="preserve">smdi</w:t>
      </w:r>
      <w:r>
        <w:t xml:space="preserve"> </w:t>
      </w:r>
      <w:r>
        <w:t xml:space="preserve">R package is a powerful and convenient tool to implement principled routine missing data diagnostics in RWE studies. This will improve the robustness of studies involving POCs by elucidating if certain analytic approaches are viable for a given dataset.</w:t>
      </w:r>
    </w:p>
    <w:p>
      <w:r>
        <w:br w:type="page"/>
      </w:r>
    </w:p>
    <w:bookmarkEnd w:id="46"/>
    <w:bookmarkEnd w:id="47"/>
    <w:bookmarkStart w:id="138" w:name="references"/>
    <w:p>
      <w:pPr>
        <w:pStyle w:val="Heading1"/>
      </w:pPr>
      <w:r>
        <w:t xml:space="preserve">References</w:t>
      </w:r>
    </w:p>
    <w:bookmarkStart w:id="123" w:name="refs"/>
    <w:bookmarkStart w:id="49" w:name="ref-Desai2021"/>
    <w:p>
      <w:pPr>
        <w:pStyle w:val="Bibliography"/>
      </w:pPr>
      <w:r>
        <w:t xml:space="preserve">1</w:t>
      </w:r>
      <w:r>
        <w:t xml:space="preserve"> </w:t>
      </w:r>
      <w:r>
        <w:t xml:space="preserve">	</w:t>
      </w:r>
      <w:r>
        <w:t xml:space="preserve">Desai RJ, Matheny ME, Johnson K,</w:t>
      </w:r>
      <w:r>
        <w:t xml:space="preserve"> </w:t>
      </w:r>
      <w:r>
        <w:rPr>
          <w:iCs/>
          <w:i/>
        </w:rPr>
        <w:t xml:space="preserve">et al.</w:t>
      </w:r>
      <w:r>
        <w:t xml:space="preserve"> Broadening the reach of the FDA Sentinel system: A roadmap for integrating electronic health record data in a causal analysis framework.</w:t>
      </w:r>
      <w:r>
        <w:t xml:space="preserve"> </w:t>
      </w:r>
      <w:r>
        <w:rPr>
          <w:iCs/>
          <w:i/>
        </w:rPr>
        <w:t xml:space="preserve">npj Digital Medicine</w:t>
      </w:r>
      <w:r>
        <w:t xml:space="preserve">. 2021;4. doi:</w:t>
      </w:r>
      <w:r>
        <w:t xml:space="preserve"> </w:t>
      </w:r>
      <w:hyperlink r:id="rId48">
        <w:r>
          <w:rPr>
            <w:rStyle w:val="Hyperlink"/>
          </w:rPr>
          <w:t xml:space="preserve">10.1038/s41746-021-00542-0</w:t>
        </w:r>
      </w:hyperlink>
    </w:p>
    <w:bookmarkEnd w:id="49"/>
    <w:bookmarkStart w:id="51" w:name="ref-fdaRWE2018"/>
    <w:p>
      <w:pPr>
        <w:pStyle w:val="Bibliography"/>
      </w:pPr>
      <w:r>
        <w:t xml:space="preserve">2</w:t>
      </w:r>
      <w:r>
        <w:t xml:space="preserve"> </w:t>
      </w:r>
      <w:r>
        <w:t xml:space="preserve">	</w:t>
      </w:r>
      <w:r>
        <w:t xml:space="preserve">United States Food and Drug Administration. Framework for FDA’s real world evidence program. Dec 2018. Accessed 6/30/2023.</w:t>
      </w:r>
      <w:r>
        <w:t xml:space="preserve"> </w:t>
      </w:r>
      <w:hyperlink r:id="rId50">
        <w:r>
          <w:rPr>
            <w:rStyle w:val="Hyperlink"/>
          </w:rPr>
          <w:t xml:space="preserve">https://www.fda.gov/downloads/ScienceResearch/SpecialTopics/RealWorldEvidence/UCM627769.pdf</w:t>
        </w:r>
      </w:hyperlink>
    </w:p>
    <w:bookmarkEnd w:id="51"/>
    <w:bookmarkStart w:id="53" w:name="ref-asfaw2022"/>
    <w:p>
      <w:pPr>
        <w:pStyle w:val="Bibliography"/>
      </w:pPr>
      <w:r>
        <w:t xml:space="preserve">3</w:t>
      </w:r>
      <w:r>
        <w:t xml:space="preserve"> </w:t>
      </w:r>
      <w:r>
        <w:t xml:space="preserve">	</w:t>
      </w:r>
      <w:r>
        <w:t xml:space="preserve">Asfaw A, Ascha M, Yerram P,</w:t>
      </w:r>
      <w:r>
        <w:t xml:space="preserve"> </w:t>
      </w:r>
      <w:r>
        <w:rPr>
          <w:iCs/>
          <w:i/>
        </w:rPr>
        <w:t xml:space="preserve">et al.</w:t>
      </w:r>
      <w:r>
        <w:t xml:space="preserve"> </w:t>
      </w:r>
      <w:hyperlink r:id="rId52">
        <w:r>
          <w:rPr>
            <w:rStyle w:val="Hyperlink"/>
          </w:rPr>
          <w:t xml:space="preserve">SA27 Comparison of Comorbidity Indices Between Electronic Health Records (EHR) Derived Database and Claims Data Among Patients With Metastatic Breast Cancer</w:t>
        </w:r>
      </w:hyperlink>
      <w:r>
        <w:t xml:space="preserve">.</w:t>
      </w:r>
      <w:r>
        <w:t xml:space="preserve"> </w:t>
      </w:r>
      <w:r>
        <w:rPr>
          <w:iCs/>
          <w:i/>
        </w:rPr>
        <w:t xml:space="preserve">Value in Health</w:t>
      </w:r>
      <w:r>
        <w:t xml:space="preserve">. 2022;25:S488.</w:t>
      </w:r>
    </w:p>
    <w:bookmarkEnd w:id="53"/>
    <w:bookmarkStart w:id="55" w:name="ref-gorelick2006"/>
    <w:p>
      <w:pPr>
        <w:pStyle w:val="Bibliography"/>
      </w:pPr>
      <w:r>
        <w:t xml:space="preserve">4</w:t>
      </w:r>
      <w:r>
        <w:t xml:space="preserve"> </w:t>
      </w:r>
      <w:r>
        <w:t xml:space="preserve">	</w:t>
      </w:r>
      <w:r>
        <w:t xml:space="preserve">Gorelick MH.</w:t>
      </w:r>
      <w:r>
        <w:t xml:space="preserve"> </w:t>
      </w:r>
      <w:hyperlink r:id="rId54">
        <w:r>
          <w:rPr>
            <w:rStyle w:val="Hyperlink"/>
          </w:rPr>
          <w:t xml:space="preserve">Bias arising from missing data in predictive models</w:t>
        </w:r>
      </w:hyperlink>
      <w:r>
        <w:t xml:space="preserve">.</w:t>
      </w:r>
      <w:r>
        <w:t xml:space="preserve"> </w:t>
      </w:r>
      <w:r>
        <w:rPr>
          <w:iCs/>
          <w:i/>
        </w:rPr>
        <w:t xml:space="preserve">Journal of Clinical Epidemiology</w:t>
      </w:r>
      <w:r>
        <w:t xml:space="preserve">. 2006;59:1115–23.</w:t>
      </w:r>
    </w:p>
    <w:bookmarkEnd w:id="55"/>
    <w:bookmarkStart w:id="57" w:name="ref-ayilara2019"/>
    <w:p>
      <w:pPr>
        <w:pStyle w:val="Bibliography"/>
      </w:pPr>
      <w:r>
        <w:t xml:space="preserve">5</w:t>
      </w:r>
      <w:r>
        <w:t xml:space="preserve"> </w:t>
      </w:r>
      <w:r>
        <w:t xml:space="preserve">	</w:t>
      </w:r>
      <w:r>
        <w:t xml:space="preserve">Ayilara OF, Zhang L, Sajobi TT,</w:t>
      </w:r>
      <w:r>
        <w:t xml:space="preserve"> </w:t>
      </w:r>
      <w:r>
        <w:rPr>
          <w:iCs/>
          <w:i/>
        </w:rPr>
        <w:t xml:space="preserve">et al.</w:t>
      </w:r>
      <w:r>
        <w:t xml:space="preserve"> Impact of missing data on bias and precision when estimating change in patient-reported outcomes from a clinical registry.</w:t>
      </w:r>
      <w:r>
        <w:t xml:space="preserve"> </w:t>
      </w:r>
      <w:r>
        <w:rPr>
          <w:iCs/>
          <w:i/>
        </w:rPr>
        <w:t xml:space="preserve">Health and Quality of Life Outcomes</w:t>
      </w:r>
      <w:r>
        <w:t xml:space="preserve">. 2019;17. doi:</w:t>
      </w:r>
      <w:r>
        <w:t xml:space="preserve"> </w:t>
      </w:r>
      <w:hyperlink r:id="rId56">
        <w:r>
          <w:rPr>
            <w:rStyle w:val="Hyperlink"/>
          </w:rPr>
          <w:t xml:space="preserve">10.1186/s12955-019-1181-2</w:t>
        </w:r>
      </w:hyperlink>
    </w:p>
    <w:bookmarkEnd w:id="57"/>
    <w:bookmarkStart w:id="59" w:name="ref-groenwold2020"/>
    <w:p>
      <w:pPr>
        <w:pStyle w:val="Bibliography"/>
      </w:pPr>
      <w:r>
        <w:t xml:space="preserve">6</w:t>
      </w:r>
      <w:r>
        <w:t xml:space="preserve"> </w:t>
      </w:r>
      <w:r>
        <w:t xml:space="preserve">	</w:t>
      </w:r>
      <w:r>
        <w:t xml:space="preserve">Groenwold RHH, Dekkers OM.</w:t>
      </w:r>
      <w:r>
        <w:t xml:space="preserve"> </w:t>
      </w:r>
      <w:hyperlink r:id="rId58">
        <w:r>
          <w:rPr>
            <w:rStyle w:val="Hyperlink"/>
          </w:rPr>
          <w:t xml:space="preserve">Missing data: The impact of what is not there</w:t>
        </w:r>
      </w:hyperlink>
      <w:r>
        <w:t xml:space="preserve">.</w:t>
      </w:r>
      <w:r>
        <w:t xml:space="preserve"> </w:t>
      </w:r>
      <w:r>
        <w:rPr>
          <w:iCs/>
          <w:i/>
        </w:rPr>
        <w:t xml:space="preserve">European Journal of Endocrinology</w:t>
      </w:r>
      <w:r>
        <w:t xml:space="preserve">. 2020;183:E7–9.</w:t>
      </w:r>
    </w:p>
    <w:bookmarkEnd w:id="59"/>
    <w:bookmarkStart w:id="61" w:name="ref-vanbuuren2018"/>
    <w:p>
      <w:pPr>
        <w:pStyle w:val="Bibliography"/>
      </w:pPr>
      <w:r>
        <w:t xml:space="preserve">7</w:t>
      </w:r>
      <w:r>
        <w:t xml:space="preserve"> </w:t>
      </w:r>
      <w:r>
        <w:t xml:space="preserve">	</w:t>
      </w:r>
      <w:r>
        <w:t xml:space="preserve">Van Buuren S.</w:t>
      </w:r>
      <w:r>
        <w:t xml:space="preserve"> </w:t>
      </w:r>
      <w:r>
        <w:rPr>
          <w:iCs/>
          <w:i/>
        </w:rPr>
        <w:t xml:space="preserve">Flexible imputation of missing data</w:t>
      </w:r>
      <w:r>
        <w:t xml:space="preserve">. CRC press 2018.</w:t>
      </w:r>
      <w:r>
        <w:t xml:space="preserve"> </w:t>
      </w:r>
      <w:hyperlink r:id="rId60">
        <w:r>
          <w:rPr>
            <w:rStyle w:val="Hyperlink"/>
          </w:rPr>
          <w:t xml:space="preserve">https://stefvanbuuren.name/fimd/missing-data-pattern.html</w:t>
        </w:r>
      </w:hyperlink>
    </w:p>
    <w:bookmarkEnd w:id="61"/>
    <w:bookmarkStart w:id="63" w:name="ref-rubin1976"/>
    <w:p>
      <w:pPr>
        <w:pStyle w:val="Bibliography"/>
      </w:pPr>
      <w:r>
        <w:t xml:space="preserve">8</w:t>
      </w:r>
      <w:r>
        <w:t xml:space="preserve"> </w:t>
      </w:r>
      <w:r>
        <w:t xml:space="preserve">	</w:t>
      </w:r>
      <w:r>
        <w:t xml:space="preserve">Rubin DB.</w:t>
      </w:r>
      <w:r>
        <w:t xml:space="preserve"> </w:t>
      </w:r>
      <w:hyperlink r:id="rId62">
        <w:r>
          <w:rPr>
            <w:rStyle w:val="Hyperlink"/>
          </w:rPr>
          <w:t xml:space="preserve">Inference and missing data</w:t>
        </w:r>
      </w:hyperlink>
      <w:r>
        <w:t xml:space="preserve">.</w:t>
      </w:r>
      <w:r>
        <w:t xml:space="preserve"> </w:t>
      </w:r>
      <w:r>
        <w:rPr>
          <w:iCs/>
          <w:i/>
        </w:rPr>
        <w:t xml:space="preserve">Biometrika</w:t>
      </w:r>
      <w:r>
        <w:t xml:space="preserve">. 1976;63:581–92.</w:t>
      </w:r>
    </w:p>
    <w:bookmarkEnd w:id="63"/>
    <w:bookmarkStart w:id="64" w:name="ref-little2019"/>
    <w:p>
      <w:pPr>
        <w:pStyle w:val="Bibliography"/>
      </w:pPr>
      <w:r>
        <w:t xml:space="preserve">9</w:t>
      </w:r>
      <w:r>
        <w:t xml:space="preserve"> </w:t>
      </w:r>
      <w:r>
        <w:t xml:space="preserve">	</w:t>
      </w:r>
      <w:r>
        <w:t xml:space="preserve">Little RJ, Rubin DB.</w:t>
      </w:r>
      <w:r>
        <w:t xml:space="preserve"> </w:t>
      </w:r>
      <w:r>
        <w:rPr>
          <w:iCs/>
          <w:i/>
        </w:rPr>
        <w:t xml:space="preserve">Statistical analysis with missing data</w:t>
      </w:r>
      <w:r>
        <w:t xml:space="preserve">. John Wiley &amp; Sons 2019.</w:t>
      </w:r>
    </w:p>
    <w:bookmarkEnd w:id="64"/>
    <w:bookmarkStart w:id="66" w:name="ref-lee2021"/>
    <w:p>
      <w:pPr>
        <w:pStyle w:val="Bibliography"/>
      </w:pPr>
      <w:r>
        <w:t xml:space="preserve">10</w:t>
      </w:r>
      <w:r>
        <w:t xml:space="preserve"> </w:t>
      </w:r>
      <w:r>
        <w:t xml:space="preserve">	</w:t>
      </w:r>
      <w:r>
        <w:t xml:space="preserve">Lee KJ, Tilling KM, Cornish RP,</w:t>
      </w:r>
      <w:r>
        <w:t xml:space="preserve"> </w:t>
      </w:r>
      <w:r>
        <w:rPr>
          <w:iCs/>
          <w:i/>
        </w:rPr>
        <w:t xml:space="preserve">et al.</w:t>
      </w:r>
      <w:r>
        <w:t xml:space="preserve"> </w:t>
      </w:r>
      <w:hyperlink r:id="rId65">
        <w:r>
          <w:rPr>
            <w:rStyle w:val="Hyperlink"/>
          </w:rPr>
          <w:t xml:space="preserve">Framework for the treatment and reporting of missing data in observational studies: The Treatment And Reporting of Missing data in Observational Studies framework</w:t>
        </w:r>
      </w:hyperlink>
      <w:r>
        <w:t xml:space="preserve">.</w:t>
      </w:r>
      <w:r>
        <w:t xml:space="preserve"> </w:t>
      </w:r>
      <w:r>
        <w:rPr>
          <w:iCs/>
          <w:i/>
        </w:rPr>
        <w:t xml:space="preserve">Journal of Clinical Epidemiology</w:t>
      </w:r>
      <w:r>
        <w:t xml:space="preserve">. 2021;134:79–88.</w:t>
      </w:r>
    </w:p>
    <w:bookmarkEnd w:id="66"/>
    <w:bookmarkStart w:id="68" w:name="ref-sondhi2023a"/>
    <w:p>
      <w:pPr>
        <w:pStyle w:val="Bibliography"/>
      </w:pPr>
      <w:r>
        <w:t xml:space="preserve">11</w:t>
      </w:r>
      <w:r>
        <w:t xml:space="preserve"> </w:t>
      </w:r>
      <w:r>
        <w:t xml:space="preserve">	</w:t>
      </w:r>
      <w:r>
        <w:t xml:space="preserve">Sondhi A, Weberpals J, Yerram P,</w:t>
      </w:r>
      <w:r>
        <w:t xml:space="preserve"> </w:t>
      </w:r>
      <w:r>
        <w:rPr>
          <w:iCs/>
          <w:i/>
        </w:rPr>
        <w:t xml:space="preserve">et al.</w:t>
      </w:r>
      <w:r>
        <w:t xml:space="preserve"> A systematic approach towards missing lab data in electronic health records: A case study in non</w:t>
      </w:r>
      <w:r>
        <w:t xml:space="preserve">-</w:t>
      </w:r>
      <w:r>
        <w:t xml:space="preserve">small cell lung cancer and multiple myeloma.</w:t>
      </w:r>
      <w:r>
        <w:t xml:space="preserve"> </w:t>
      </w:r>
      <w:r>
        <w:rPr>
          <w:iCs/>
          <w:i/>
        </w:rPr>
        <w:t xml:space="preserve">CPT: Pharmacometrics &amp; Systems Pharmacology</w:t>
      </w:r>
      <w:r>
        <w:t xml:space="preserve">. Published Online First: 15 June 2023. doi:</w:t>
      </w:r>
      <w:r>
        <w:t xml:space="preserve"> </w:t>
      </w:r>
      <w:hyperlink r:id="rId67">
        <w:r>
          <w:rPr>
            <w:rStyle w:val="Hyperlink"/>
          </w:rPr>
          <w:t xml:space="preserve">10.1002/psp4.12998</w:t>
        </w:r>
      </w:hyperlink>
    </w:p>
    <w:bookmarkEnd w:id="68"/>
    <w:bookmarkStart w:id="70" w:name="ref-hotelling1931"/>
    <w:p>
      <w:pPr>
        <w:pStyle w:val="Bibliography"/>
      </w:pPr>
      <w:r>
        <w:t xml:space="preserve">12</w:t>
      </w:r>
      <w:r>
        <w:t xml:space="preserve"> </w:t>
      </w:r>
      <w:r>
        <w:t xml:space="preserve">	</w:t>
      </w:r>
      <w:r>
        <w:t xml:space="preserve">Hotelling H.</w:t>
      </w:r>
      <w:r>
        <w:t xml:space="preserve"> </w:t>
      </w:r>
      <w:hyperlink r:id="rId69">
        <w:r>
          <w:rPr>
            <w:rStyle w:val="Hyperlink"/>
          </w:rPr>
          <w:t xml:space="preserve">The Generalization of Student’s Ratio</w:t>
        </w:r>
      </w:hyperlink>
      <w:r>
        <w:t xml:space="preserve">.</w:t>
      </w:r>
      <w:r>
        <w:t xml:space="preserve"> </w:t>
      </w:r>
      <w:r>
        <w:rPr>
          <w:iCs/>
          <w:i/>
        </w:rPr>
        <w:t xml:space="preserve">The Annals of Mathematical Statistics</w:t>
      </w:r>
      <w:r>
        <w:t xml:space="preserve">. 1931;2:360–78.</w:t>
      </w:r>
    </w:p>
    <w:bookmarkEnd w:id="70"/>
    <w:bookmarkStart w:id="72" w:name="ref-little1988"/>
    <w:p>
      <w:pPr>
        <w:pStyle w:val="Bibliography"/>
      </w:pPr>
      <w:r>
        <w:t xml:space="preserve">13</w:t>
      </w:r>
      <w:r>
        <w:t xml:space="preserve"> </w:t>
      </w:r>
      <w:r>
        <w:t xml:space="preserve">	</w:t>
      </w:r>
      <w:r>
        <w:t xml:space="preserve">Little RJA.</w:t>
      </w:r>
      <w:r>
        <w:t xml:space="preserve"> </w:t>
      </w:r>
      <w:hyperlink r:id="rId71">
        <w:r>
          <w:rPr>
            <w:rStyle w:val="Hyperlink"/>
          </w:rPr>
          <w:t xml:space="preserve">A Test of Missing Completely at Random for Multivariate Data with Missing Values</w:t>
        </w:r>
      </w:hyperlink>
      <w:r>
        <w:t xml:space="preserve">.</w:t>
      </w:r>
      <w:r>
        <w:t xml:space="preserve"> </w:t>
      </w:r>
      <w:r>
        <w:rPr>
          <w:iCs/>
          <w:i/>
        </w:rPr>
        <w:t xml:space="preserve">Journal of the American Statistical Association</w:t>
      </w:r>
      <w:r>
        <w:t xml:space="preserve">. 1988;83:1198–202.</w:t>
      </w:r>
    </w:p>
    <w:bookmarkEnd w:id="72"/>
    <w:bookmarkStart w:id="74" w:name="ref-pedersen2017"/>
    <w:p>
      <w:pPr>
        <w:pStyle w:val="Bibliography"/>
      </w:pPr>
      <w:r>
        <w:t xml:space="preserve">14</w:t>
      </w:r>
      <w:r>
        <w:t xml:space="preserve"> </w:t>
      </w:r>
      <w:r>
        <w:t xml:space="preserve">	</w:t>
      </w:r>
      <w:r>
        <w:t xml:space="preserve">Pedersen A, Mikkelsen E, Cronin-Fenton D,</w:t>
      </w:r>
      <w:r>
        <w:t xml:space="preserve"> </w:t>
      </w:r>
      <w:r>
        <w:rPr>
          <w:iCs/>
          <w:i/>
        </w:rPr>
        <w:t xml:space="preserve">et al.</w:t>
      </w:r>
      <w:r>
        <w:t xml:space="preserve"> </w:t>
      </w:r>
      <w:hyperlink r:id="rId73">
        <w:r>
          <w:rPr>
            <w:rStyle w:val="Hyperlink"/>
          </w:rPr>
          <w:t xml:space="preserve">Missing data and multiple imputation in clinical epidemiological research</w:t>
        </w:r>
      </w:hyperlink>
      <w:r>
        <w:t xml:space="preserve">.</w:t>
      </w:r>
      <w:r>
        <w:t xml:space="preserve"> </w:t>
      </w:r>
      <w:r>
        <w:rPr>
          <w:iCs/>
          <w:i/>
        </w:rPr>
        <w:t xml:space="preserve">Clinical Epidemiology</w:t>
      </w:r>
      <w:r>
        <w:t xml:space="preserve">. 2017;Volume 9:157–66.</w:t>
      </w:r>
    </w:p>
    <w:bookmarkEnd w:id="74"/>
    <w:bookmarkStart w:id="76" w:name="ref-madley-dowd2019"/>
    <w:p>
      <w:pPr>
        <w:pStyle w:val="Bibliography"/>
      </w:pPr>
      <w:r>
        <w:t xml:space="preserve">15</w:t>
      </w:r>
      <w:r>
        <w:t xml:space="preserve"> </w:t>
      </w:r>
      <w:r>
        <w:t xml:space="preserve">	</w:t>
      </w:r>
      <w:r>
        <w:t xml:space="preserve">Madley-Dowd P, Hughes R, Tilling K,</w:t>
      </w:r>
      <w:r>
        <w:t xml:space="preserve"> </w:t>
      </w:r>
      <w:r>
        <w:rPr>
          <w:iCs/>
          <w:i/>
        </w:rPr>
        <w:t xml:space="preserve">et al.</w:t>
      </w:r>
      <w:r>
        <w:t xml:space="preserve"> </w:t>
      </w:r>
      <w:hyperlink r:id="rId75">
        <w:r>
          <w:rPr>
            <w:rStyle w:val="Hyperlink"/>
          </w:rPr>
          <w:t xml:space="preserve">The proportion of missing data should not be used to guide decisions on multiple imputation</w:t>
        </w:r>
      </w:hyperlink>
      <w:r>
        <w:t xml:space="preserve">.</w:t>
      </w:r>
      <w:r>
        <w:t xml:space="preserve"> </w:t>
      </w:r>
      <w:r>
        <w:rPr>
          <w:iCs/>
          <w:i/>
        </w:rPr>
        <w:t xml:space="preserve">Journal of Clinical Epidemiology</w:t>
      </w:r>
      <w:r>
        <w:t xml:space="preserve">. 2019;110:63–73.</w:t>
      </w:r>
    </w:p>
    <w:bookmarkEnd w:id="76"/>
    <w:bookmarkStart w:id="78" w:name="ref-Lee2023"/>
    <w:p>
      <w:pPr>
        <w:pStyle w:val="Bibliography"/>
      </w:pPr>
      <w:r>
        <w:t xml:space="preserve">16</w:t>
      </w:r>
      <w:r>
        <w:t xml:space="preserve"> </w:t>
      </w:r>
      <w:r>
        <w:t xml:space="preserve">	</w:t>
      </w:r>
      <w:r>
        <w:t xml:space="preserve">Lee KJ, Carlin JB, Simpson JA,</w:t>
      </w:r>
      <w:r>
        <w:t xml:space="preserve"> </w:t>
      </w:r>
      <w:r>
        <w:rPr>
          <w:iCs/>
          <w:i/>
        </w:rPr>
        <w:t xml:space="preserve">et al.</w:t>
      </w:r>
      <w:r>
        <w:t xml:space="preserve"> Assumptions and analysis planning in studies with missing data in multiple variables: moving beyond the MCAR/MAR/MNAR classification.</w:t>
      </w:r>
      <w:r>
        <w:t xml:space="preserve"> </w:t>
      </w:r>
      <w:r>
        <w:rPr>
          <w:iCs/>
          <w:i/>
        </w:rPr>
        <w:t xml:space="preserve">International Journal of Epidemiology</w:t>
      </w:r>
      <w:r>
        <w:t xml:space="preserve">. Published Online First: 13 February 2023. doi:</w:t>
      </w:r>
      <w:r>
        <w:t xml:space="preserve"> </w:t>
      </w:r>
      <w:hyperlink r:id="rId77">
        <w:r>
          <w:rPr>
            <w:rStyle w:val="Hyperlink"/>
          </w:rPr>
          <w:t xml:space="preserve">10.1093/ije/dyad008</w:t>
        </w:r>
      </w:hyperlink>
    </w:p>
    <w:bookmarkEnd w:id="78"/>
    <w:bookmarkStart w:id="80" w:name="ref-Moreno-Betancur2018"/>
    <w:p>
      <w:pPr>
        <w:pStyle w:val="Bibliography"/>
      </w:pPr>
      <w:r>
        <w:t xml:space="preserve">17</w:t>
      </w:r>
      <w:r>
        <w:t xml:space="preserve"> </w:t>
      </w:r>
      <w:r>
        <w:t xml:space="preserve">	</w:t>
      </w:r>
      <w:r>
        <w:t xml:space="preserve">Moreno-Betancur M, Lee KJ, Leacy FP,</w:t>
      </w:r>
      <w:r>
        <w:t xml:space="preserve"> </w:t>
      </w:r>
      <w:r>
        <w:rPr>
          <w:iCs/>
          <w:i/>
        </w:rPr>
        <w:t xml:space="preserve">et al.</w:t>
      </w:r>
      <w:r>
        <w:t xml:space="preserve"> </w:t>
      </w:r>
      <w:hyperlink r:id="rId79">
        <w:r>
          <w:rPr>
            <w:rStyle w:val="Hyperlink"/>
          </w:rPr>
          <w:t xml:space="preserve">Canonical Causal Diagrams to Guide the Treatment of Missing Data in Epidemiologic Studies</w:t>
        </w:r>
      </w:hyperlink>
      <w:r>
        <w:t xml:space="preserve">.</w:t>
      </w:r>
      <w:r>
        <w:t xml:space="preserve"> </w:t>
      </w:r>
      <w:r>
        <w:rPr>
          <w:iCs/>
          <w:i/>
        </w:rPr>
        <w:t xml:space="preserve">American Journal of Epidemiology</w:t>
      </w:r>
      <w:r>
        <w:t xml:space="preserve">. 2018;187:2705–15.</w:t>
      </w:r>
    </w:p>
    <w:bookmarkEnd w:id="80"/>
    <w:bookmarkStart w:id="82" w:name="ref-mohan2021"/>
    <w:p>
      <w:pPr>
        <w:pStyle w:val="Bibliography"/>
      </w:pPr>
      <w:r>
        <w:t xml:space="preserve">18</w:t>
      </w:r>
      <w:r>
        <w:t xml:space="preserve"> </w:t>
      </w:r>
      <w:r>
        <w:t xml:space="preserve">	</w:t>
      </w:r>
      <w:r>
        <w:t xml:space="preserve">Mohan K, Pearl J.</w:t>
      </w:r>
      <w:r>
        <w:t xml:space="preserve"> </w:t>
      </w:r>
      <w:hyperlink r:id="rId81">
        <w:r>
          <w:rPr>
            <w:rStyle w:val="Hyperlink"/>
          </w:rPr>
          <w:t xml:space="preserve">Graphical Models for Processing Missing Data</w:t>
        </w:r>
      </w:hyperlink>
      <w:r>
        <w:t xml:space="preserve">.</w:t>
      </w:r>
      <w:r>
        <w:t xml:space="preserve"> </w:t>
      </w:r>
      <w:r>
        <w:rPr>
          <w:iCs/>
          <w:i/>
        </w:rPr>
        <w:t xml:space="preserve">Journal of the American Statistical Association</w:t>
      </w:r>
      <w:r>
        <w:t xml:space="preserve">. 2021;116:1023–37.</w:t>
      </w:r>
    </w:p>
    <w:bookmarkEnd w:id="82"/>
    <w:bookmarkStart w:id="84" w:name="ref-carroll2020"/>
    <w:p>
      <w:pPr>
        <w:pStyle w:val="Bibliography"/>
      </w:pPr>
      <w:r>
        <w:t xml:space="preserve">19</w:t>
      </w:r>
      <w:r>
        <w:t xml:space="preserve"> </w:t>
      </w:r>
      <w:r>
        <w:t xml:space="preserve">	</w:t>
      </w:r>
      <w:r>
        <w:t xml:space="preserve">Carroll OU, Morris TP, Keogh RH. How are missing data in covariates handled in observational time-to-event studies in oncology? A systematic review.</w:t>
      </w:r>
      <w:r>
        <w:t xml:space="preserve"> </w:t>
      </w:r>
      <w:r>
        <w:rPr>
          <w:iCs/>
          <w:i/>
        </w:rPr>
        <w:t xml:space="preserve">BMC Medical Research Methodology</w:t>
      </w:r>
      <w:r>
        <w:t xml:space="preserve">. 2020;20. doi:</w:t>
      </w:r>
      <w:r>
        <w:t xml:space="preserve"> </w:t>
      </w:r>
      <w:hyperlink r:id="rId83">
        <w:r>
          <w:rPr>
            <w:rStyle w:val="Hyperlink"/>
          </w:rPr>
          <w:t xml:space="preserve">10.1186/s12874-020-01018-7</w:t>
        </w:r>
      </w:hyperlink>
    </w:p>
    <w:bookmarkEnd w:id="84"/>
    <w:bookmarkStart w:id="86" w:name="ref-wood2004"/>
    <w:p>
      <w:pPr>
        <w:pStyle w:val="Bibliography"/>
      </w:pPr>
      <w:r>
        <w:t xml:space="preserve">20</w:t>
      </w:r>
      <w:r>
        <w:t xml:space="preserve"> </w:t>
      </w:r>
      <w:r>
        <w:t xml:space="preserve">	</w:t>
      </w:r>
      <w:r>
        <w:t xml:space="preserve">Wood AM, White IR, Thompson SG.</w:t>
      </w:r>
      <w:r>
        <w:t xml:space="preserve"> </w:t>
      </w:r>
      <w:hyperlink r:id="rId85">
        <w:r>
          <w:rPr>
            <w:rStyle w:val="Hyperlink"/>
          </w:rPr>
          <w:t xml:space="preserve">Are missing outcome data adequately handled? A review of published randomized controlled trials in major medical journals</w:t>
        </w:r>
      </w:hyperlink>
      <w:r>
        <w:t xml:space="preserve">.</w:t>
      </w:r>
      <w:r>
        <w:t xml:space="preserve"> </w:t>
      </w:r>
      <w:r>
        <w:rPr>
          <w:iCs/>
          <w:i/>
        </w:rPr>
        <w:t xml:space="preserve">Clinical Trials</w:t>
      </w:r>
      <w:r>
        <w:t xml:space="preserve">. 2004;1:368–76.</w:t>
      </w:r>
    </w:p>
    <w:bookmarkEnd w:id="86"/>
    <w:bookmarkStart w:id="88" w:name="ref-harel2012"/>
    <w:p>
      <w:pPr>
        <w:pStyle w:val="Bibliography"/>
      </w:pPr>
      <w:r>
        <w:t xml:space="preserve">21</w:t>
      </w:r>
      <w:r>
        <w:t xml:space="preserve"> </w:t>
      </w:r>
      <w:r>
        <w:t xml:space="preserve">	</w:t>
      </w:r>
      <w:r>
        <w:t xml:space="preserve">Harel O, Pellowski J, Kalichman S.</w:t>
      </w:r>
      <w:r>
        <w:t xml:space="preserve"> </w:t>
      </w:r>
      <w:hyperlink r:id="rId87">
        <w:r>
          <w:rPr>
            <w:rStyle w:val="Hyperlink"/>
          </w:rPr>
          <w:t xml:space="preserve">Are We Missing the Importance of Missing Values in HIV Prevention Randomized Clinical Trials? Review and Recommendations</w:t>
        </w:r>
      </w:hyperlink>
      <w:r>
        <w:t xml:space="preserve">.</w:t>
      </w:r>
      <w:r>
        <w:t xml:space="preserve"> </w:t>
      </w:r>
      <w:r>
        <w:rPr>
          <w:iCs/>
          <w:i/>
        </w:rPr>
        <w:t xml:space="preserve">AIDS and Behavior</w:t>
      </w:r>
      <w:r>
        <w:t xml:space="preserve">. 2012;16:1382–93.</w:t>
      </w:r>
    </w:p>
    <w:bookmarkEnd w:id="88"/>
    <w:bookmarkStart w:id="89" w:name="ref-weberpals2023"/>
    <w:p>
      <w:pPr>
        <w:pStyle w:val="Bibliography"/>
      </w:pPr>
      <w:r>
        <w:t xml:space="preserve">22</w:t>
      </w:r>
      <w:r>
        <w:t xml:space="preserve"> </w:t>
      </w:r>
      <w:r>
        <w:t xml:space="preserve">	</w:t>
      </w:r>
      <w:r>
        <w:t xml:space="preserve">Weberpals J, Raman SR, Shaw PA,</w:t>
      </w:r>
      <w:r>
        <w:t xml:space="preserve"> </w:t>
      </w:r>
      <w:r>
        <w:rPr>
          <w:iCs/>
          <w:i/>
        </w:rPr>
        <w:t xml:space="preserve">et al.</w:t>
      </w:r>
      <w:r>
        <w:t xml:space="preserve"> A principled approach to characterize and analyze partially observed confounder data from electronic health records.</w:t>
      </w:r>
      <w:r>
        <w:t xml:space="preserve"> </w:t>
      </w:r>
      <w:r>
        <w:rPr>
          <w:iCs/>
          <w:i/>
        </w:rPr>
        <w:t xml:space="preserve">Submitted</w:t>
      </w:r>
      <w:r>
        <w:t xml:space="preserve">. 2023.</w:t>
      </w:r>
    </w:p>
    <w:bookmarkEnd w:id="89"/>
    <w:bookmarkStart w:id="91" w:name="ref-nalichowski2006"/>
    <w:p>
      <w:pPr>
        <w:pStyle w:val="Bibliography"/>
      </w:pPr>
      <w:r>
        <w:t xml:space="preserve">23</w:t>
      </w:r>
      <w:r>
        <w:t xml:space="preserve"> </w:t>
      </w:r>
      <w:r>
        <w:t xml:space="preserve">	</w:t>
      </w:r>
      <w:r>
        <w:t xml:space="preserve">Nalichowski R, Keogh D, Chueh HC,</w:t>
      </w:r>
      <w:r>
        <w:t xml:space="preserve"> </w:t>
      </w:r>
      <w:r>
        <w:rPr>
          <w:iCs/>
          <w:i/>
        </w:rPr>
        <w:t xml:space="preserve">et al.</w:t>
      </w:r>
      <w:r>
        <w:t xml:space="preserve"> </w:t>
      </w:r>
      <w:hyperlink r:id="rId90">
        <w:r>
          <w:rPr>
            <w:rStyle w:val="Hyperlink"/>
          </w:rPr>
          <w:t xml:space="preserve">Calculating the benefits of a research patient data repository</w:t>
        </w:r>
      </w:hyperlink>
      <w:r>
        <w:t xml:space="preserve">.</w:t>
      </w:r>
      <w:r>
        <w:t xml:space="preserve"> </w:t>
      </w:r>
      <w:r>
        <w:rPr>
          <w:iCs/>
          <w:i/>
        </w:rPr>
        <w:t xml:space="preserve">AMIA Annual Symposium Proceedings</w:t>
      </w:r>
      <w:r>
        <w:t xml:space="preserve">. 2006;2006:1044.</w:t>
      </w:r>
    </w:p>
    <w:bookmarkEnd w:id="91"/>
    <w:bookmarkStart w:id="93" w:name="ref-cmsResdac"/>
    <w:p>
      <w:pPr>
        <w:pStyle w:val="Bibliography"/>
      </w:pPr>
      <w:r>
        <w:t xml:space="preserve">24</w:t>
      </w:r>
      <w:r>
        <w:t xml:space="preserve"> </w:t>
      </w:r>
      <w:r>
        <w:t xml:space="preserve">	</w:t>
      </w:r>
      <w:r>
        <w:t xml:space="preserve">CMS resdac.</w:t>
      </w:r>
      <w:r>
        <w:t xml:space="preserve"> </w:t>
      </w:r>
      <w:hyperlink r:id="rId92">
        <w:r>
          <w:rPr>
            <w:rStyle w:val="Hyperlink"/>
          </w:rPr>
          <w:t xml:space="preserve">https://resdac.org/</w:t>
        </w:r>
      </w:hyperlink>
      <w:r>
        <w:t xml:space="preserve"> </w:t>
      </w:r>
      <w:r>
        <w:t xml:space="preserve">(accessed 16 November 2023)</w:t>
      </w:r>
    </w:p>
    <w:bookmarkEnd w:id="93"/>
    <w:bookmarkStart w:id="95" w:name="ref-smdi"/>
    <w:p>
      <w:pPr>
        <w:pStyle w:val="Bibliography"/>
      </w:pPr>
      <w:r>
        <w:t xml:space="preserve">25</w:t>
      </w:r>
      <w:r>
        <w:t xml:space="preserve"> </w:t>
      </w:r>
      <w:r>
        <w:t xml:space="preserve">	</w:t>
      </w:r>
      <w:r>
        <w:t xml:space="preserve">Weberpals J. Smdi: Perform structural missing data investigations. 2023.</w:t>
      </w:r>
      <w:r>
        <w:t xml:space="preserve"> </w:t>
      </w:r>
      <w:hyperlink r:id="rId94">
        <w:r>
          <w:rPr>
            <w:rStyle w:val="Hyperlink"/>
          </w:rPr>
          <w:t xml:space="preserve">https://CRAN.R-project.org/package=smdi</w:t>
        </w:r>
      </w:hyperlink>
    </w:p>
    <w:bookmarkEnd w:id="95"/>
    <w:bookmarkStart w:id="96" w:name="ref-wickham2023r"/>
    <w:p>
      <w:pPr>
        <w:pStyle w:val="Bibliography"/>
      </w:pPr>
      <w:r>
        <w:t xml:space="preserve">26</w:t>
      </w:r>
      <w:r>
        <w:t xml:space="preserve"> </w:t>
      </w:r>
      <w:r>
        <w:t xml:space="preserve">	</w:t>
      </w:r>
      <w:r>
        <w:t xml:space="preserve">Wickham H, Bryan J.</w:t>
      </w:r>
      <w:r>
        <w:t xml:space="preserve"> </w:t>
      </w:r>
      <w:r>
        <w:rPr>
          <w:iCs/>
          <w:i/>
        </w:rPr>
        <w:t xml:space="preserve">R packages</w:t>
      </w:r>
      <w:r>
        <w:t xml:space="preserve">. " O’Reilly Media, Inc." 2023.</w:t>
      </w:r>
    </w:p>
    <w:bookmarkEnd w:id="96"/>
    <w:bookmarkStart w:id="98" w:name="ref-naniar"/>
    <w:p>
      <w:pPr>
        <w:pStyle w:val="Bibliography"/>
      </w:pPr>
      <w:r>
        <w:t xml:space="preserve">27</w:t>
      </w:r>
      <w:r>
        <w:t xml:space="preserve"> </w:t>
      </w:r>
      <w:r>
        <w:t xml:space="preserve">	</w:t>
      </w:r>
      <w:r>
        <w:t xml:space="preserve">Tierney N, Cook D. Expanding tidy data principles to facilitate missing data exploration, visualization and assessment of imputations. 2023;105. doi:</w:t>
      </w:r>
      <w:r>
        <w:t xml:space="preserve"> </w:t>
      </w:r>
      <w:hyperlink r:id="rId97">
        <w:r>
          <w:rPr>
            <w:rStyle w:val="Hyperlink"/>
          </w:rPr>
          <w:t xml:space="preserve">10.18637/jss.v105.i07</w:t>
        </w:r>
      </w:hyperlink>
    </w:p>
    <w:bookmarkEnd w:id="98"/>
    <w:bookmarkStart w:id="100" w:name="ref-ruddle2022"/>
    <w:p>
      <w:pPr>
        <w:pStyle w:val="Bibliography"/>
      </w:pPr>
      <w:r>
        <w:t xml:space="preserve">28</w:t>
      </w:r>
      <w:r>
        <w:t xml:space="preserve"> </w:t>
      </w:r>
      <w:r>
        <w:t xml:space="preserve">	</w:t>
      </w:r>
      <w:r>
        <w:t xml:space="preserve">Ruddle RA, Adnan M, Hall M.</w:t>
      </w:r>
      <w:r>
        <w:t xml:space="preserve"> </w:t>
      </w:r>
      <w:hyperlink r:id="rId99">
        <w:r>
          <w:rPr>
            <w:rStyle w:val="Hyperlink"/>
          </w:rPr>
          <w:t xml:space="preserve">Using set visualisation to find and explain patterns of missing values: a case study with NHS hospital episode statistics data</w:t>
        </w:r>
      </w:hyperlink>
      <w:r>
        <w:t xml:space="preserve">.</w:t>
      </w:r>
      <w:r>
        <w:t xml:space="preserve"> </w:t>
      </w:r>
      <w:r>
        <w:rPr>
          <w:iCs/>
          <w:i/>
        </w:rPr>
        <w:t xml:space="preserve">BMJ Open</w:t>
      </w:r>
      <w:r>
        <w:t xml:space="preserve">. 2022;12:e064887.</w:t>
      </w:r>
    </w:p>
    <w:bookmarkEnd w:id="100"/>
    <w:bookmarkStart w:id="102" w:name="ref-mice"/>
    <w:p>
      <w:pPr>
        <w:pStyle w:val="Bibliography"/>
      </w:pPr>
      <w:r>
        <w:t xml:space="preserve">29</w:t>
      </w:r>
      <w:r>
        <w:t xml:space="preserve"> </w:t>
      </w:r>
      <w:r>
        <w:t xml:space="preserve">	</w:t>
      </w:r>
      <w:r>
        <w:t xml:space="preserve">Buuren S van, Groothuis-Oudshoorn K.</w:t>
      </w:r>
      <w:r>
        <w:t xml:space="preserve"> </w:t>
      </w:r>
      <w:hyperlink r:id="rId101">
        <w:r>
          <w:rPr>
            <w:rStyle w:val="Hyperlink"/>
          </w:rPr>
          <w:t xml:space="preserve">Mice: Multivariate imputation by chained equations in r</w:t>
        </w:r>
      </w:hyperlink>
      <w:r>
        <w:t xml:space="preserve">.</w:t>
      </w:r>
      <w:r>
        <w:t xml:space="preserve"> </w:t>
      </w:r>
      <w:r>
        <w:rPr>
          <w:iCs/>
          <w:i/>
        </w:rPr>
        <w:t xml:space="preserve">Journal of Statistical Software</w:t>
      </w:r>
      <w:r>
        <w:t xml:space="preserve">. 2011;45:1–67.</w:t>
      </w:r>
    </w:p>
    <w:bookmarkEnd w:id="102"/>
    <w:bookmarkStart w:id="104" w:name="ref-schober2019"/>
    <w:p>
      <w:pPr>
        <w:pStyle w:val="Bibliography"/>
      </w:pPr>
      <w:r>
        <w:t xml:space="preserve">30</w:t>
      </w:r>
      <w:r>
        <w:t xml:space="preserve"> </w:t>
      </w:r>
      <w:r>
        <w:t xml:space="preserve">	</w:t>
      </w:r>
      <w:r>
        <w:t xml:space="preserve">Schober P, Vetter TR.</w:t>
      </w:r>
      <w:r>
        <w:t xml:space="preserve"> </w:t>
      </w:r>
      <w:hyperlink r:id="rId103">
        <w:r>
          <w:rPr>
            <w:rStyle w:val="Hyperlink"/>
          </w:rPr>
          <w:t xml:space="preserve">Correct Baseline Comparisons in a Randomized Trial</w:t>
        </w:r>
      </w:hyperlink>
      <w:r>
        <w:t xml:space="preserve">.</w:t>
      </w:r>
      <w:r>
        <w:t xml:space="preserve"> </w:t>
      </w:r>
      <w:r>
        <w:rPr>
          <w:iCs/>
          <w:i/>
        </w:rPr>
        <w:t xml:space="preserve">Anesthesia &amp; Analgesia</w:t>
      </w:r>
      <w:r>
        <w:t xml:space="preserve">. 2019;129:639.</w:t>
      </w:r>
    </w:p>
    <w:bookmarkEnd w:id="104"/>
    <w:bookmarkStart w:id="106" w:name="ref-austin2011"/>
    <w:p>
      <w:pPr>
        <w:pStyle w:val="Bibliography"/>
      </w:pPr>
      <w:r>
        <w:t xml:space="preserve">31</w:t>
      </w:r>
      <w:r>
        <w:t xml:space="preserve"> </w:t>
      </w:r>
      <w:r>
        <w:t xml:space="preserve">	</w:t>
      </w:r>
      <w:r>
        <w:t xml:space="preserve">Austin PC.</w:t>
      </w:r>
      <w:r>
        <w:t xml:space="preserve"> </w:t>
      </w:r>
      <w:hyperlink r:id="rId105">
        <w:r>
          <w:rPr>
            <w:rStyle w:val="Hyperlink"/>
          </w:rPr>
          <w:t xml:space="preserve">An Introduction to Propensity Score Methods for Reducing the Effects of Confounding in Observational Studies</w:t>
        </w:r>
      </w:hyperlink>
      <w:r>
        <w:t xml:space="preserve">.</w:t>
      </w:r>
      <w:r>
        <w:t xml:space="preserve"> </w:t>
      </w:r>
      <w:r>
        <w:rPr>
          <w:iCs/>
          <w:i/>
        </w:rPr>
        <w:t xml:space="preserve">Multivariate Behavioral Research</w:t>
      </w:r>
      <w:r>
        <w:t xml:space="preserve">. 2011;46:399–424.</w:t>
      </w:r>
    </w:p>
    <w:bookmarkEnd w:id="106"/>
    <w:bookmarkStart w:id="108" w:name="ref-tableone"/>
    <w:p>
      <w:pPr>
        <w:pStyle w:val="Bibliography"/>
      </w:pPr>
      <w:r>
        <w:t xml:space="preserve">32</w:t>
      </w:r>
      <w:r>
        <w:t xml:space="preserve"> </w:t>
      </w:r>
      <w:r>
        <w:t xml:space="preserve">	</w:t>
      </w:r>
      <w:r>
        <w:t xml:space="preserve">Yoshida K, Bartel A. Tableone: Create ’table 1’ to describe baseline characteristics with or without propensity score weights. 2022.</w:t>
      </w:r>
      <w:r>
        <w:t xml:space="preserve"> </w:t>
      </w:r>
      <w:hyperlink r:id="rId107">
        <w:r>
          <w:rPr>
            <w:rStyle w:val="Hyperlink"/>
          </w:rPr>
          <w:t xml:space="preserve">https://CRAN.R-project.org/package=tableone</w:t>
        </w:r>
      </w:hyperlink>
    </w:p>
    <w:bookmarkEnd w:id="108"/>
    <w:bookmarkStart w:id="110" w:name="ref-ggplot2"/>
    <w:p>
      <w:pPr>
        <w:pStyle w:val="Bibliography"/>
      </w:pPr>
      <w:r>
        <w:t xml:space="preserve">33</w:t>
      </w:r>
      <w:r>
        <w:t xml:space="preserve"> </w:t>
      </w:r>
      <w:r>
        <w:t xml:space="preserve">	</w:t>
      </w:r>
      <w:r>
        <w:t xml:space="preserve">Wickham H. ggplot2: Elegant graphics for data analysis. 2016.</w:t>
      </w:r>
      <w:r>
        <w:t xml:space="preserve"> </w:t>
      </w:r>
      <w:hyperlink r:id="rId109">
        <w:r>
          <w:rPr>
            <w:rStyle w:val="Hyperlink"/>
          </w:rPr>
          <w:t xml:space="preserve">https://ggplot2.tidyverse.org</w:t>
        </w:r>
      </w:hyperlink>
    </w:p>
    <w:bookmarkEnd w:id="110"/>
    <w:bookmarkStart w:id="112" w:name="ref-Hotelling"/>
    <w:p>
      <w:pPr>
        <w:pStyle w:val="Bibliography"/>
      </w:pPr>
      <w:r>
        <w:t xml:space="preserve">34</w:t>
      </w:r>
      <w:r>
        <w:t xml:space="preserve"> </w:t>
      </w:r>
      <w:r>
        <w:t xml:space="preserve">	</w:t>
      </w:r>
      <w:r>
        <w:t xml:space="preserve">Curran J, Hersh T. Hotelling: Hotelling’s t</w:t>
      </w:r>
      <w:r>
        <w:t xml:space="preserve">^</w:t>
      </w:r>
      <w:r>
        <w:t xml:space="preserve">2 test and variants. 2021.</w:t>
      </w:r>
      <w:r>
        <w:t xml:space="preserve"> </w:t>
      </w:r>
      <w:hyperlink r:id="rId111">
        <w:r>
          <w:rPr>
            <w:rStyle w:val="Hyperlink"/>
          </w:rPr>
          <w:t xml:space="preserve">https://CRAN.R-project.org/package=Hotelling</w:t>
        </w:r>
      </w:hyperlink>
    </w:p>
    <w:bookmarkEnd w:id="112"/>
    <w:bookmarkStart w:id="114" w:name="ref-randomForest"/>
    <w:p>
      <w:pPr>
        <w:pStyle w:val="Bibliography"/>
      </w:pPr>
      <w:r>
        <w:t xml:space="preserve">35</w:t>
      </w:r>
      <w:r>
        <w:t xml:space="preserve"> </w:t>
      </w:r>
      <w:r>
        <w:t xml:space="preserve">	</w:t>
      </w:r>
      <w:r>
        <w:t xml:space="preserve">Liaw A, Wiener M. Classification and regression by randomForest. 2002;2:18–22.</w:t>
      </w:r>
      <w:r>
        <w:t xml:space="preserve"> </w:t>
      </w:r>
      <w:hyperlink r:id="rId113">
        <w:r>
          <w:rPr>
            <w:rStyle w:val="Hyperlink"/>
          </w:rPr>
          <w:t xml:space="preserve">https://CRAN.R-project.org/doc/Rnews/</w:t>
        </w:r>
      </w:hyperlink>
    </w:p>
    <w:bookmarkEnd w:id="114"/>
    <w:bookmarkStart w:id="116" w:name="ref-breiman2001"/>
    <w:p>
      <w:pPr>
        <w:pStyle w:val="Bibliography"/>
      </w:pPr>
      <w:r>
        <w:t xml:space="preserve">36</w:t>
      </w:r>
      <w:r>
        <w:t xml:space="preserve"> </w:t>
      </w:r>
      <w:r>
        <w:t xml:space="preserve">	</w:t>
      </w:r>
      <w:r>
        <w:t xml:space="preserve">Breiman L.</w:t>
      </w:r>
      <w:r>
        <w:t xml:space="preserve"> </w:t>
      </w:r>
      <w:hyperlink r:id="rId115">
        <w:r>
          <w:rPr>
            <w:rStyle w:val="Hyperlink"/>
          </w:rPr>
          <w:t xml:space="preserve">Random forests</w:t>
        </w:r>
      </w:hyperlink>
      <w:r>
        <w:t xml:space="preserve">.</w:t>
      </w:r>
      <w:r>
        <w:t xml:space="preserve"> </w:t>
      </w:r>
      <w:r>
        <w:rPr>
          <w:iCs/>
          <w:i/>
        </w:rPr>
        <w:t xml:space="preserve">Machine Learning</w:t>
      </w:r>
      <w:r>
        <w:t xml:space="preserve">. 2001;45:5–32.</w:t>
      </w:r>
    </w:p>
    <w:bookmarkEnd w:id="116"/>
    <w:bookmarkStart w:id="118" w:name="ref-stats"/>
    <w:p>
      <w:pPr>
        <w:pStyle w:val="Bibliography"/>
      </w:pPr>
      <w:r>
        <w:t xml:space="preserve">37</w:t>
      </w:r>
      <w:r>
        <w:t xml:space="preserve"> </w:t>
      </w:r>
      <w:r>
        <w:t xml:space="preserve">	</w:t>
      </w:r>
      <w:r>
        <w:t xml:space="preserve">R Core Team. R: A language and environment for statistical computing. 2022.</w:t>
      </w:r>
      <w:r>
        <w:t xml:space="preserve"> </w:t>
      </w:r>
      <w:hyperlink r:id="rId117">
        <w:r>
          <w:rPr>
            <w:rStyle w:val="Hyperlink"/>
          </w:rPr>
          <w:t xml:space="preserve">https://www.R-project.org/</w:t>
        </w:r>
      </w:hyperlink>
    </w:p>
    <w:bookmarkEnd w:id="118"/>
    <w:bookmarkStart w:id="120" w:name="ref-survival"/>
    <w:p>
      <w:pPr>
        <w:pStyle w:val="Bibliography"/>
      </w:pPr>
      <w:r>
        <w:t xml:space="preserve">38</w:t>
      </w:r>
      <w:r>
        <w:t xml:space="preserve"> </w:t>
      </w:r>
      <w:r>
        <w:t xml:space="preserve">	</w:t>
      </w:r>
      <w:r>
        <w:t xml:space="preserve">Therneau TM. A package for survival analysis in r. 2023.</w:t>
      </w:r>
      <w:r>
        <w:t xml:space="preserve"> </w:t>
      </w:r>
      <w:hyperlink r:id="rId119">
        <w:r>
          <w:rPr>
            <w:rStyle w:val="Hyperlink"/>
          </w:rPr>
          <w:t xml:space="preserve">https://CRAN.R-project.org/package=survival</w:t>
        </w:r>
      </w:hyperlink>
    </w:p>
    <w:bookmarkEnd w:id="120"/>
    <w:bookmarkStart w:id="122" w:name="ref-gt"/>
    <w:p>
      <w:pPr>
        <w:pStyle w:val="Bibliography"/>
      </w:pPr>
      <w:r>
        <w:t xml:space="preserve">39</w:t>
      </w:r>
      <w:r>
        <w:t xml:space="preserve"> </w:t>
      </w:r>
      <w:r>
        <w:t xml:space="preserve">	</w:t>
      </w:r>
      <w:r>
        <w:t xml:space="preserve">Iannone R, Cheng J, Schloerke B,</w:t>
      </w:r>
      <w:r>
        <w:t xml:space="preserve"> </w:t>
      </w:r>
      <w:r>
        <w:rPr>
          <w:iCs/>
          <w:i/>
        </w:rPr>
        <w:t xml:space="preserve">et al.</w:t>
      </w:r>
      <w:r>
        <w:t xml:space="preserve"> Gt: Easily create presentation-ready display tables. 2023.</w:t>
      </w:r>
      <w:r>
        <w:t xml:space="preserve"> </w:t>
      </w:r>
      <w:hyperlink r:id="rId121">
        <w:r>
          <w:rPr>
            <w:rStyle w:val="Hyperlink"/>
          </w:rPr>
          <w:t xml:space="preserve">https://CRAN.R-project.org/package=gt</w:t>
        </w:r>
      </w:hyperlink>
    </w:p>
    <w:bookmarkEnd w:id="122"/>
    <w:bookmarkEnd w:id="123"/>
    <w:p>
      <w:r>
        <w:br w:type="page"/>
      </w:r>
    </w:p>
    <w:p>
      <w:pPr>
        <w:sectPr/>
      </w:pPr>
    </w:p>
    <w:bookmarkStart w:id="124"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are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p>
            <w:pPr>
              <w:pStyle w:val="ListParagraph"/>
              <w:numPr>
                <w:ilvl w:val="0"/>
              </w:numPr>
              <w:spacing w:before="0" w:after="60"/>
              <w:keepNext/>
              <w:jc w:val="start"/>
            </w:pPr>
            <w:r>
              <w:t xml:space="preserve">- </w:t>
            </w:r>
            <w:r>
              <w:rPr>
                <w:rFonts w:ascii="Calibri" w:hAnsi="Calibri"/>
                <w:sz w:val="20"/>
              </w:rPr>
              <w:t xml:space="preserve">Estimated out-of-bag (OOB) error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glm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w:t>
      </w:r>
      <w:r>
        <w:t xml:space="preserve"> </w:t>
      </w:r>
      <w:hyperlink w:anchor="fig-results">
        <w:r>
          <w:rPr>
            <w:rStyle w:val="Hyperlink"/>
          </w:rPr>
          <w:t xml:space="preserve">Figure 3</w:t>
        </w:r>
      </w:hyperlink>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24"/>
    <w:bookmarkStart w:id="137"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workflow"/>
          <w:p>
            <w:pPr>
              <w:jc w:val="center"/>
            </w:pPr>
            <w:r>
              <w:drawing>
                <wp:inline>
                  <wp:extent cx="6537960" cy="3677602"/>
                  <wp:effectExtent b="0" l="0" r="0" t="0"/>
                  <wp:docPr descr="" title="" id="126" name="Picture"/>
                  <a:graphic>
                    <a:graphicData uri="http://schemas.openxmlformats.org/drawingml/2006/picture">
                      <pic:pic>
                        <pic:nvPicPr>
                          <pic:cNvPr descr="../figures/Figure_1_workflow.jpg" id="127" name="Picture"/>
                          <pic:cNvPicPr>
                            <a:picLocks noChangeArrowheads="1" noChangeAspect="1"/>
                          </pic:cNvPicPr>
                        </pic:nvPicPr>
                        <pic:blipFill>
                          <a:blip r:embed="rId125"/>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examples"/>
          <w:p>
            <w:pPr>
              <w:jc w:val="center"/>
            </w:pPr>
            <w:r>
              <w:drawing>
                <wp:inline>
                  <wp:extent cx="5943600" cy="2971800"/>
                  <wp:effectExtent b="0" l="0" r="0" t="0"/>
                  <wp:docPr descr="" title="" id="130" name="Picture"/>
                  <a:graphic>
                    <a:graphicData uri="http://schemas.openxmlformats.org/drawingml/2006/picture">
                      <pic:pic>
                        <pic:nvPicPr>
                          <pic:cNvPr descr="manuscript_files/figure-docx/fig-examples-1.png" id="131" name="Picture"/>
                          <pic:cNvPicPr>
                            <a:picLocks noChangeArrowheads="1" noChangeAspect="1"/>
                          </pic:cNvPicPr>
                        </pic:nvPicPr>
                        <pic:blipFill>
                          <a:blip r:embed="rId129"/>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w:t>
            </w:r>
            <w:r>
              <w:t xml:space="preserve"> </w:t>
            </w:r>
            <w:r>
              <w:t xml:space="preserve">[28]</w:t>
            </w:r>
            <w: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observed ECOG performance score variable (ecog_cat).</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results"/>
          <w:p>
            <w:pPr>
              <w:jc w:val="center"/>
            </w:pPr>
            <w:r>
              <w:drawing>
                <wp:inline>
                  <wp:extent cx="5943600" cy="2698134"/>
                  <wp:effectExtent b="0" l="0" r="0" t="0"/>
                  <wp:docPr descr="" title="" id="134" name="Picture"/>
                  <a:graphic>
                    <a:graphicData uri="http://schemas.openxmlformats.org/drawingml/2006/picture">
                      <pic:pic>
                        <pic:nvPicPr>
                          <pic:cNvPr descr="../figures/Figure_3_results.jpg" id="135" name="Picture"/>
                          <pic:cNvPicPr>
                            <a:picLocks noChangeArrowheads="1" noChangeAspect="1"/>
                          </pic:cNvPicPr>
                        </pic:nvPicPr>
                        <pic:blipFill>
                          <a:blip r:embed="rId133"/>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36"/>
        </w:tc>
      </w:tr>
    </w:tbl>
    <w:p>
      <w:pPr>
        <w:sectPr>
          <w:pgSz w:h="11906" w:w="16838" w:orient="landscape"/>
        </w:sectPr>
      </w:pPr>
    </w:p>
    <w:bookmarkEnd w:id="137"/>
    <w:bookmarkEnd w:id="138"/>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jpg" /><Relationship Type="http://schemas.openxmlformats.org/officeDocument/2006/relationships/image" Id="rId133" Target="media/rId133.jpg" /><Relationship Type="http://schemas.openxmlformats.org/officeDocument/2006/relationships/image" Id="rId26" Target="media/rId26.png" /><Relationship Type="http://schemas.openxmlformats.org/officeDocument/2006/relationships/image" Id="rId129" Target="media/rId129.png" /><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13" Target="https://CRAN.R-project.org/doc/Rnews/" TargetMode="External" /><Relationship Type="http://schemas.openxmlformats.org/officeDocument/2006/relationships/hyperlink" Id="rId111" Target="https://CRAN.R-project.org/package=Hotelling" TargetMode="External" /><Relationship Type="http://schemas.openxmlformats.org/officeDocument/2006/relationships/hyperlink" Id="rId121" Target="https://CRAN.R-project.org/package=gt" TargetMode="External" /><Relationship Type="http://schemas.openxmlformats.org/officeDocument/2006/relationships/hyperlink" Id="rId94" Target="https://CRAN.R-project.org/package=smdi" TargetMode="External" /><Relationship Type="http://schemas.openxmlformats.org/officeDocument/2006/relationships/hyperlink" Id="rId119" Target="https://CRAN.R-project.org/package=survival" TargetMode="External" /><Relationship Type="http://schemas.openxmlformats.org/officeDocument/2006/relationships/hyperlink" Id="rId107" Target="https://CRAN.R-project.org/package=tableone" TargetMode="External" /><Relationship Type="http://schemas.openxmlformats.org/officeDocument/2006/relationships/hyperlink" Id="rId33" Target="https://cran.r-project.org/web/packages/smdi" TargetMode="External" /><Relationship Type="http://schemas.openxmlformats.org/officeDocument/2006/relationships/hyperlink" Id="rId67" Target="https://doi.org/10.1002/psp4.12998" TargetMode="External" /><Relationship Type="http://schemas.openxmlformats.org/officeDocument/2006/relationships/hyperlink" Id="rId87" Target="https://doi.org/10.1007/s10461-011-0125-6" TargetMode="External" /><Relationship Type="http://schemas.openxmlformats.org/officeDocument/2006/relationships/hyperlink" Id="rId54" Target="https://doi.org/10.1016/j.jclinepi.2004.11.029" TargetMode="External" /><Relationship Type="http://schemas.openxmlformats.org/officeDocument/2006/relationships/hyperlink" Id="rId75" Target="https://doi.org/10.1016/j.jclinepi.2019.02.016" TargetMode="External" /><Relationship Type="http://schemas.openxmlformats.org/officeDocument/2006/relationships/hyperlink" Id="rId65" Target="https://doi.org/10.1016/j.jclinepi.2021.01.008" TargetMode="External" /><Relationship Type="http://schemas.openxmlformats.org/officeDocument/2006/relationships/hyperlink" Id="rId52" Target="https://doi.org/10.1016/j.jval.2022.09.2421" TargetMode="External" /><Relationship Type="http://schemas.openxmlformats.org/officeDocument/2006/relationships/hyperlink" Id="rId115" Target="https://doi.org/10.1023/a:1010933404324" TargetMode="External" /><Relationship Type="http://schemas.openxmlformats.org/officeDocument/2006/relationships/hyperlink" Id="rId48" Target="https://doi.org/10.1038/s41746-021-00542-0" TargetMode="External" /><Relationship Type="http://schemas.openxmlformats.org/officeDocument/2006/relationships/hyperlink" Id="rId105" Target="https://doi.org/10.1080/00273171.2011.568786" TargetMode="External" /><Relationship Type="http://schemas.openxmlformats.org/officeDocument/2006/relationships/hyperlink" Id="rId71" Target="https://doi.org/10.1080/01621459.1988.10478722" TargetMode="External" /><Relationship Type="http://schemas.openxmlformats.org/officeDocument/2006/relationships/hyperlink" Id="rId81" Target="https://doi.org/10.1080/01621459.2021.1874961" TargetMode="External" /><Relationship Type="http://schemas.openxmlformats.org/officeDocument/2006/relationships/hyperlink" Id="rId79" Target="https://doi.org/10.1093/aje/kwy173" TargetMode="External" /><Relationship Type="http://schemas.openxmlformats.org/officeDocument/2006/relationships/hyperlink" Id="rId62" Target="https://doi.org/10.1093/biomet/63.3.581" TargetMode="External" /><Relationship Type="http://schemas.openxmlformats.org/officeDocument/2006/relationships/hyperlink" Id="rId77" Target="https://doi.org/10.1093/ije/dyad008" TargetMode="External" /><Relationship Type="http://schemas.openxmlformats.org/officeDocument/2006/relationships/hyperlink" Id="rId99" Target="https://doi.org/10.1136/bmjopen-2022-064887" TargetMode="External" /><Relationship Type="http://schemas.openxmlformats.org/officeDocument/2006/relationships/hyperlink" Id="rId83" Target="https://doi.org/10.1186/s12874-020-01018-7" TargetMode="External" /><Relationship Type="http://schemas.openxmlformats.org/officeDocument/2006/relationships/hyperlink" Id="rId56" Target="https://doi.org/10.1186/s12955-019-1181-2" TargetMode="External" /><Relationship Type="http://schemas.openxmlformats.org/officeDocument/2006/relationships/hyperlink" Id="rId85" Target="https://doi.org/10.1191/1740774504cn032oa" TargetMode="External" /><Relationship Type="http://schemas.openxmlformats.org/officeDocument/2006/relationships/hyperlink" Id="rId103" Target="https://doi.org/10.1213/ane.0000000000004211" TargetMode="External" /><Relationship Type="http://schemas.openxmlformats.org/officeDocument/2006/relationships/hyperlink" Id="rId69" Target="https://doi.org/10.1214/aoms/1177732979" TargetMode="External" /><Relationship Type="http://schemas.openxmlformats.org/officeDocument/2006/relationships/hyperlink" Id="rId58" Target="https://doi.org/10.1530/eje-20-0732" TargetMode="External" /><Relationship Type="http://schemas.openxmlformats.org/officeDocument/2006/relationships/hyperlink" Id="rId101" Target="https://doi.org/10.18637/jss.v045.i03" TargetMode="External" /><Relationship Type="http://schemas.openxmlformats.org/officeDocument/2006/relationships/hyperlink" Id="rId97" Target="https://doi.org/10.18637/jss.v105.i07" TargetMode="External" /><Relationship Type="http://schemas.openxmlformats.org/officeDocument/2006/relationships/hyperlink" Id="rId73" Target="https://doi.org/10.2147/clep.s129785" TargetMode="External" /><Relationship Type="http://schemas.openxmlformats.org/officeDocument/2006/relationships/hyperlink" Id="rId109" Target="https://ggplot2.tidyverse.org" TargetMode="External" /><Relationship Type="http://schemas.openxmlformats.org/officeDocument/2006/relationships/hyperlink" Id="rId23" Target="https://github.com/janickweberpals/smdi-manuscript" TargetMode="External" /><Relationship Type="http://schemas.openxmlformats.org/officeDocument/2006/relationships/hyperlink" Id="rId22" Target="https://gitlab-scm.partners.org/drugepi/smdi-manuscript" TargetMode="External" /><Relationship Type="http://schemas.openxmlformats.org/officeDocument/2006/relationships/hyperlink" Id="rId34" Target="https://gitlab-scm.partners.org/janickweberpals/smdi" TargetMode="External" /><Relationship Type="http://schemas.openxmlformats.org/officeDocument/2006/relationships/hyperlink" Id="rId35" Target="https://janickweberpals.gitlab-pages.partners.org/smdi" TargetMode="External" /><Relationship Type="http://schemas.openxmlformats.org/officeDocument/2006/relationships/hyperlink" Id="rId24" Target="https://janickweberpals.gitlab-pages.partners.org/smdi/" TargetMode="External" /><Relationship Type="http://schemas.openxmlformats.org/officeDocument/2006/relationships/hyperlink" Id="rId37"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92" Target="https://resdac.org/" TargetMode="External" /><Relationship Type="http://schemas.openxmlformats.org/officeDocument/2006/relationships/hyperlink" Id="rId60" Target="https://stefvanbuuren.name/fimd/missing-data-pattern.html" TargetMode="External" /><Relationship Type="http://schemas.openxmlformats.org/officeDocument/2006/relationships/hyperlink" Id="rId117" Target="https://www.R-project.org/" TargetMode="External" /><Relationship Type="http://schemas.openxmlformats.org/officeDocument/2006/relationships/hyperlink" Id="rId50" Target="https://www.fda.gov/downloads/ScienceResearch/SpecialTopics/RealWorldEvidence/UCM627769.pdf" TargetMode="External" /><Relationship Type="http://schemas.openxmlformats.org/officeDocument/2006/relationships/hyperlink" Id="rId90" Target="https://www.ncbi.nlm.nih.gov/pmc/articles/PMC1839563/"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dcterms:created xsi:type="dcterms:W3CDTF">2023-12-05T20:00:36Z</dcterms:created>
  <dcterms:modified xsi:type="dcterms:W3CDTF">2023-12-05T20:00:36Z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