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4.jpg" ContentType="image/jpeg"/>
  <Override PartName="/word/media/rId122.jpg" ContentType="image/jpeg"/>
  <Override PartName="/word/media/rId2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1,970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145 words/150 words</w:t>
      </w:r>
    </w:p>
    <w:p>
      <w:pPr>
        <w:pStyle w:val="BodyText"/>
      </w:pPr>
      <w:r>
        <w:rPr>
          <w:bCs/>
          <w:b/>
        </w:rPr>
        <w:t xml:space="preserve">Objectives</w:t>
      </w:r>
    </w:p>
    <w:p>
      <w:pPr>
        <w:pStyle w:val="BodyText"/>
      </w:pPr>
      <w:r>
        <w:t xml:space="preserve">Partially observed confounder data are a major challenge for the statistical analysis of electronic health records (EHR). While analytic approaches exist (e.g., multiple imputation), assumptions on underlying missingness patterns and mechanisms must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GitLab (</w:t>
      </w:r>
      <w:hyperlink r:id="rId24">
        <w:r>
          <w:rPr>
            <w:rStyle w:val="Hyperlink"/>
          </w:rPr>
          <w:t xml:space="preserve">https://gitlab-scm.partners.org/janickweberpals/smdi</w:t>
        </w:r>
      </w:hyperlink>
      <w:r>
        <w:t xml:space="preserve">) and can give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As opposed to clinical trials, which are designed to collect data for research purposes in a harmonized manner, real-world data are typically generated for administrative purposes (e.g., health insurance claims for billing purposes) or clinical documentation (e.g., electronic health records). Hence, confounders and prognostic factors, which need to be balanced between treatment groups to infer causal treatment effects, are usually not available for all patients at all necessary time points which leads to missing data. If the underlying missingness mechanisms of such factors is not at random, e.g., patients with higher levels of a prognostic biomarker are more likely to have missing data, this can lead to bias in the resulting effect estimates for the studied treatments if common missing data analysis methods like complete case analysis or imputation are used. Hence, it is of utmost importance to investigate the potential patterns and mechanisms to know if assumptions for common analytic methods hold. Here, we present the</w:t>
            </w:r>
            <w:r>
              <w:t xml:space="preserve"> </w:t>
            </w:r>
            <w:r>
              <w:rPr>
                <w:rStyle w:val="VerbatimChar"/>
              </w:rPr>
              <w:t xml:space="preserve">smdi</w:t>
            </w:r>
            <w:r>
              <w:t xml:space="preserve"> </w:t>
            </w:r>
            <w:r>
              <w:t xml:space="preserve">R package, which enables researchers to perform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from randomized controlled trials (RCTs)</w:t>
      </w:r>
      <w:r>
        <w:t xml:space="preserve"> </w:t>
      </w:r>
      <w:r>
        <w:t xml:space="preserve">[1,2]</w:t>
      </w:r>
      <w:r>
        <w:t xml:space="preserve">. Due to their detailed capture of clinical parameters, EHRs can significantly improve the ability to control for imbalances in prognostic factors between treatment groups, especially when linked to administrative claims databases</w:t>
      </w:r>
      <w:r>
        <w:t xml:space="preserve"> </w:t>
      </w:r>
      <w:r>
        <w:t xml:space="preserve">[3]</w:t>
      </w:r>
      <w:r>
        <w:t xml:space="preserve">. However, such prognostic factors are often partially observed which challenges the statistical analysis and can result in severe bias when estimating treatment effects if not handled appropriately</w:t>
      </w:r>
      <w:r>
        <w:t xml:space="preserve"> </w:t>
      </w:r>
      <w:r>
        <w:t xml:space="preserve">[4–6]</w:t>
      </w:r>
      <w:r>
        <w:t xml:space="preserve">.</w:t>
      </w:r>
    </w:p>
    <w:p>
      <w:pPr>
        <w:pStyle w:val="BodyText"/>
      </w:pPr>
      <w:r>
        <w:t xml:space="preserve">In order to make informed decisions about the most appropriate analytic approach, it is crucial to investigate the potential patterns and mechanisms that underlie the partially observed confounder (POC) data (see definitions box)</w:t>
      </w:r>
      <w:r>
        <w:t xml:space="preserve"> </w:t>
      </w:r>
      <w:r>
        <w:t xml:space="preserve">[7–9]</w:t>
      </w:r>
      <w:r>
        <w:t xml:space="preserve">. Usually these are not known for a given RWE study, but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Given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w:t>
      </w:r>
    </w:p>
    <w:bookmarkEnd w:id="31"/>
    <w:bookmarkStart w:id="32" w:name="objective"/>
    <w:p>
      <w:pPr>
        <w:pStyle w:val="Heading1"/>
      </w:pPr>
      <w:r>
        <w:t xml:space="preserve">Objective</w:t>
      </w:r>
    </w:p>
    <w:p>
      <w:pPr>
        <w:pStyle w:val="FirstParagraph"/>
      </w:pPr>
      <w:r>
        <w:t xml:space="preserve">To streamline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such as patient identifiers, date columns, or zip codes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specified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EHR and may lead to bias if not handled appropriately. We developed</w:t>
      </w:r>
      <w:r>
        <w:t xml:space="preserve"> </w:t>
      </w:r>
      <w:r>
        <w:rPr>
          <w:rStyle w:val="VerbatimChar"/>
        </w:rPr>
        <w:t xml:space="preserve">smdi</w:t>
      </w:r>
      <w:r>
        <w:t xml:space="preserve"> </w:t>
      </w:r>
      <w:r>
        <w:t xml:space="preserve">to streamline routine diagnostics of missing data.</w:t>
      </w:r>
    </w:p>
    <w:p>
      <w:pPr>
        <w:pStyle w:val="BodyText"/>
      </w:pPr>
      <w:r>
        <w:t xml:space="preserve">The package also has limitations, such that the true underlying missingness generating mechanism can never be inferred with absolute certainty from the observed data. Hence,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7" w:name="references"/>
    <w:p>
      <w:pPr>
        <w:pStyle w:val="Heading1"/>
      </w:pPr>
      <w:r>
        <w:t xml:space="preserve">References</w:t>
      </w:r>
    </w:p>
    <w:bookmarkStart w:id="112"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End w:id="112"/>
    <w:p>
      <w:r>
        <w:br w:type="page"/>
      </w:r>
    </w:p>
    <w:p>
      <w:pPr>
        <w:sectPr/>
      </w:pPr>
    </w:p>
    <w:bookmarkStart w:id="113"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3"/>
    <w:bookmarkStart w:id="12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7" w:name="fig-workflow"/>
          <w:p>
            <w:pPr>
              <w:jc w:val="center"/>
            </w:pPr>
            <w:r>
              <w:drawing>
                <wp:inline>
                  <wp:extent cx="6537960" cy="3677602"/>
                  <wp:effectExtent b="0" l="0" r="0" t="0"/>
                  <wp:docPr descr="" title="" id="115" name="Picture"/>
                  <a:graphic>
                    <a:graphicData uri="http://schemas.openxmlformats.org/drawingml/2006/picture">
                      <pic:pic>
                        <pic:nvPicPr>
                          <pic:cNvPr descr="../figures/Figure_1_workflow.jpg" id="116" name="Picture"/>
                          <pic:cNvPicPr>
                            <a:picLocks noChangeArrowheads="1" noChangeAspect="1"/>
                          </pic:cNvPicPr>
                        </pic:nvPicPr>
                        <pic:blipFill>
                          <a:blip r:embed="rId114"/>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7"/>
        </w:tc>
      </w:tr>
    </w:tbl>
    <w:p>
      <w:r>
        <w:br w:type="page"/>
      </w:r>
    </w:p>
    <w:tbl>
      <w:tblPr>
        <w:tblStyle w:val="Table"/>
        <w:tblW w:type="pct" w:w="5000"/>
        <w:tblLook w:firstRow="0" w:lastRow="0" w:firstColumn="0" w:lastColumn="0" w:noHBand="0" w:noVBand="0" w:val="0000"/>
        <w:jc w:val="start"/>
      </w:tblPr>
      <w:tblGrid>
        <w:gridCol w:w="7920"/>
      </w:tblGrid>
      <w:tr>
        <w:tc>
          <w:tcPr/>
          <w:bookmarkStart w:id="121" w:name="fig-examples"/>
          <w:p>
            <w:pPr>
              <w:jc w:val="center"/>
            </w:pPr>
            <w:r>
              <w:drawing>
                <wp:inline>
                  <wp:extent cx="5943600" cy="3962400"/>
                  <wp:effectExtent b="0" l="0" r="0" t="0"/>
                  <wp:docPr descr="" title="" id="119" name="Picture"/>
                  <a:graphic>
                    <a:graphicData uri="http://schemas.openxmlformats.org/drawingml/2006/picture">
                      <pic:pic>
                        <pic:nvPicPr>
                          <pic:cNvPr descr="manuscript_files/figure-docx/fig-examples-1.png" id="120" name="Picture"/>
                          <pic:cNvPicPr>
                            <a:picLocks noChangeArrowheads="1" noChangeAspect="1"/>
                          </pic:cNvPicPr>
                        </pic:nvPicPr>
                        <pic:blipFill>
                          <a:blip r:embed="rId118"/>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1"/>
        </w:tc>
      </w:tr>
    </w:tbl>
    <w:p>
      <w:r>
        <w:br w:type="page"/>
      </w:r>
    </w:p>
    <w:tbl>
      <w:tblPr>
        <w:tblStyle w:val="Table"/>
        <w:tblW w:type="pct" w:w="5000"/>
        <w:tblLook w:firstRow="0" w:lastRow="0" w:firstColumn="0" w:lastColumn="0" w:noHBand="0" w:noVBand="0" w:val="0000"/>
        <w:jc w:val="start"/>
      </w:tblPr>
      <w:tblGrid>
        <w:gridCol w:w="7920"/>
      </w:tblGrid>
      <w:tr>
        <w:tc>
          <w:tcPr/>
          <w:bookmarkStart w:id="125" w:name="fig-results"/>
          <w:p>
            <w:pPr>
              <w:jc w:val="center"/>
            </w:pPr>
            <w:r>
              <w:drawing>
                <wp:inline>
                  <wp:extent cx="5943600" cy="2698134"/>
                  <wp:effectExtent b="0" l="0" r="0" t="0"/>
                  <wp:docPr descr="" title="" id="123" name="Picture"/>
                  <a:graphic>
                    <a:graphicData uri="http://schemas.openxmlformats.org/drawingml/2006/picture">
                      <pic:pic>
                        <pic:nvPicPr>
                          <pic:cNvPr descr="../figures/Figure_3_results.jpg" id="124" name="Picture"/>
                          <pic:cNvPicPr>
                            <a:picLocks noChangeArrowheads="1" noChangeAspect="1"/>
                          </pic:cNvPicPr>
                        </pic:nvPicPr>
                        <pic:blipFill>
                          <a:blip r:embed="rId122"/>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5"/>
        </w:tc>
      </w:tr>
    </w:tbl>
    <w:p>
      <w:pPr>
        <w:sectPr>
          <w:pgSz w:h="11906" w:w="16838" w:orient="landscape"/>
        </w:sectPr>
      </w:pPr>
    </w:p>
    <w:bookmarkEnd w:id="126"/>
    <w:bookmarkEnd w:id="127"/>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4" Target="media/rId114.jpg" /><Relationship Type="http://schemas.openxmlformats.org/officeDocument/2006/relationships/image" Id="rId122" Target="media/rId122.jpg" /><Relationship Type="http://schemas.openxmlformats.org/officeDocument/2006/relationships/image" Id="rId26" Target="media/rId26.png" /><Relationship Type="http://schemas.openxmlformats.org/officeDocument/2006/relationships/image" Id="rId118" Target="media/rId118.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2023-09-05T20:52:49Z</dcterms:created>
  <dcterms:modified xsi:type="dcterms:W3CDTF">2023-09-05T20:52:49Z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