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1.jpg" ContentType="image/jpeg"/>
  <Override PartName="/word/media/rId129.jpg" ContentType="image/jpeg"/>
  <Override PartName="/word/media/rId26.png" ContentType="image/png"/>
  <Override PartName="/word/media/rId1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RPh, PhD, Sudha R. Raman</w:t>
      </w:r>
      <w:r>
        <w:rPr>
          <w:vertAlign w:val="superscript"/>
        </w:rPr>
        <w:t xml:space="preserve">2</w:t>
      </w:r>
      <w:r>
        <w:t xml:space="preserve">, PhD, Pamela A. Shaw</w:t>
      </w:r>
      <w:r>
        <w:rPr>
          <w:vertAlign w:val="superscript"/>
        </w:rPr>
        <w:t xml:space="preserve">3</w:t>
      </w:r>
      <w:r>
        <w:t xml:space="preserve">, PhD, MS, Hana Lee</w:t>
      </w:r>
      <w:r>
        <w:rPr>
          <w:vertAlign w:val="superscript"/>
        </w:rPr>
        <w:t xml:space="preserve">4</w:t>
      </w:r>
      <w:r>
        <w:t xml:space="preserve">, PhD, Bradley G. Hammill</w:t>
      </w:r>
      <w:r>
        <w:rPr>
          <w:vertAlign w:val="superscript"/>
        </w:rPr>
        <w:t xml:space="preserve">2</w:t>
      </w:r>
      <w:r>
        <w:t xml:space="preserve">, DrPH, Sengwee Toh</w:t>
      </w:r>
      <w:r>
        <w:rPr>
          <w:vertAlign w:val="superscript"/>
        </w:rPr>
        <w:t xml:space="preserve">5</w:t>
      </w:r>
      <w:r>
        <w:t xml:space="preserve">, ScD, John G. Connolly</w:t>
      </w:r>
      <w:r>
        <w:rPr>
          <w:vertAlign w:val="superscript"/>
        </w:rPr>
        <w:t xml:space="preserve">5</w:t>
      </w:r>
      <w:r>
        <w:t xml:space="preserve">, ScD, Kimberly J. Dandreo</w:t>
      </w:r>
      <w:r>
        <w:rPr>
          <w:vertAlign w:val="superscript"/>
        </w:rPr>
        <w:t xml:space="preserve">5</w:t>
      </w:r>
      <w:r>
        <w:t xml:space="preserve">, MS, Fang Tian</w:t>
      </w:r>
      <w:r>
        <w:rPr>
          <w:vertAlign w:val="superscript"/>
        </w:rPr>
        <w:t xml:space="preserve">6</w:t>
      </w:r>
      <w:r>
        <w:t xml:space="preserve">, PhD, Wei Liu</w:t>
      </w:r>
      <w:r>
        <w:rPr>
          <w:vertAlign w:val="superscript"/>
        </w:rPr>
        <w:t xml:space="preserve">6</w:t>
      </w:r>
      <w:r>
        <w:t xml:space="preserve">, PhD, Jie Li</w:t>
      </w:r>
      <w:r>
        <w:rPr>
          <w:vertAlign w:val="superscript"/>
        </w:rPr>
        <w:t xml:space="preserve">6</w:t>
      </w:r>
      <w:r>
        <w:t xml:space="preserve">, PhD, José J. Hernández-Muñoz</w:t>
      </w:r>
      <w:r>
        <w:rPr>
          <w:vertAlign w:val="superscript"/>
        </w:rPr>
        <w:t xml:space="preserve">6</w:t>
      </w:r>
      <w:r>
        <w:t xml:space="preserve">, PhD, Robert J. Glynn</w:t>
      </w:r>
      <w:r>
        <w:rPr>
          <w:vertAlign w:val="superscript"/>
        </w:rPr>
        <w:t xml:space="preserve">1</w:t>
      </w:r>
      <w:r>
        <w:t xml:space="preserve">, PhD, ScD, Rishi J. Desai</w:t>
      </w:r>
      <w:r>
        <w:rPr>
          <w:vertAlign w:val="superscript"/>
        </w:rPr>
        <w:t xml:space="preserve">1</w:t>
      </w:r>
      <w:r>
        <w:t xml:space="preserve">, PhD</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2,000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w:t>
      </w:r>
      <w:r>
        <w:t xml:space="preserve">or</w:t>
      </w:r>
      <w:r>
        <w:t xml:space="preserve"> </w:t>
      </w:r>
      <w:hyperlink r:id="rId23">
        <w:r>
          <w:rPr>
            <w:rStyle w:val="Hyperlink"/>
          </w:rPr>
          <w:t xml:space="preserve">https://github.com/janickweberpals/smdi-manuscript</w:t>
        </w:r>
      </w:hyperlink>
      <w:r>
        <w:t xml:space="preserve">. The R package presented in this study can be downloaded from the comprehensive R archive network (CRAN) via</w:t>
      </w:r>
      <w:r>
        <w:t xml:space="preserve"> </w:t>
      </w:r>
      <w:r>
        <w:rPr>
          <w:rStyle w:val="VerbatimChar"/>
        </w:rPr>
        <w:t xml:space="preserve">install.packages("smdi")</w:t>
      </w:r>
      <w:r>
        <w:t xml:space="preserve"> </w:t>
      </w:r>
      <w:r>
        <w:t xml:space="preserve">or from</w:t>
      </w:r>
      <w:r>
        <w:t xml:space="preserve"> </w:t>
      </w:r>
      <w:hyperlink r:id="rId24">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5" w:name="abstract"/>
    <w:p>
      <w:pPr>
        <w:pStyle w:val="Heading1"/>
      </w:pPr>
      <w:r>
        <w:t xml:space="preserve">Abstract</w:t>
      </w:r>
    </w:p>
    <w:p>
      <w:pPr>
        <w:pStyle w:val="FirstParagraph"/>
      </w:pPr>
      <w:r>
        <w:t xml:space="preserve">150 words/150 words</w:t>
      </w:r>
    </w:p>
    <w:p>
      <w:pPr>
        <w:pStyle w:val="BodyText"/>
      </w:pPr>
      <w:r>
        <w:rPr>
          <w:bCs/>
          <w:b/>
        </w:rPr>
        <w:t xml:space="preserve">Objectives</w:t>
      </w:r>
    </w:p>
    <w:p>
      <w:pPr>
        <w:pStyle w:val="BodyText"/>
      </w:pPr>
      <w:r>
        <w:t xml:space="preserve">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can provide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w:t>
            </w:r>
            <w:r>
              <w:t xml:space="preserve"> </w:t>
            </w:r>
            <w:r>
              <w:rPr>
                <w:rStyle w:val="VerbatimChar"/>
              </w:rPr>
              <w:t xml:space="preserve">smdi</w:t>
            </w:r>
            <w:r>
              <w:t xml:space="preserve"> </w:t>
            </w:r>
            <w:r>
              <w:t xml:space="preserve">R package, which enables researchers to conduct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5"/>
    <w:bookmarkStart w:id="31" w:name="background-and-significance"/>
    <w:p>
      <w:pPr>
        <w:pStyle w:val="Heading1"/>
      </w:pPr>
      <w:r>
        <w:t xml:space="preserve">Background and Significance</w:t>
      </w:r>
    </w:p>
    <w:p>
      <w:pPr>
        <w:pStyle w:val="FirstParagraph"/>
      </w:pPr>
      <w:r>
        <w:t xml:space="preserve">Administrative health insurance claims databases have traditionally been the foundation for pharmacoepidemiologic studies. However, a notable drawback lies in their inability to capture detailed clinical nuances. To overcome this limitation, substantial initiatives are underway, for instance in the FDA Sentinel initiative</w:t>
      </w:r>
      <w:r>
        <w:t xml:space="preserve"> </w:t>
      </w:r>
      <w:r>
        <w:t xml:space="preserve">[1]</w:t>
      </w:r>
      <w:r>
        <w:t xml:space="preserve">, linking claims databases and electronic health records (EHR) to generate real-world evidence (RWE) and complement data from randomized controlled trials (RCTs)</w:t>
      </w:r>
      <w:r>
        <w:t xml:space="preserve"> </w:t>
      </w:r>
      <w:r>
        <w:t xml:space="preserve">[1,2]</w:t>
      </w:r>
      <w:r>
        <w:t xml:space="preserve">. Due to their capture of clinical details, EHR can significantly improve the ability to mitigate imbalances in prognostic factors between treatment groups, especially when linked to administrative claims databases</w:t>
      </w:r>
      <w:r>
        <w:t xml:space="preserve"> </w:t>
      </w:r>
      <w:r>
        <w:t xml:space="preserve">[3]</w:t>
      </w:r>
      <w:r>
        <w:t xml:space="preserve">. At the moment, substantial efforts focusing on the linkage of claims databases and EHR are underway, for instance, in the FDA Sentinel Initiative</w:t>
      </w:r>
      <w:r>
        <w:t xml:space="preserve"> </w:t>
      </w:r>
      <w:r>
        <w:t xml:space="preserve">[1]</w:t>
      </w:r>
      <w:r>
        <w:t xml:space="preserve">. However, such prognostic factors are often partially observed, posing a challenge to statistical analysis and potentially leading to bias in treatment effect estimates if not handled appropriately</w:t>
      </w:r>
      <w:r>
        <w:t xml:space="preserve"> </w:t>
      </w:r>
      <w:r>
        <w:t xml:space="preserve">[4–6]</w:t>
      </w:r>
      <w:r>
        <w:t xml:space="preserve">.</w:t>
      </w:r>
    </w:p>
    <w:p>
      <w:pPr>
        <w:pStyle w:val="BodyText"/>
      </w:pPr>
      <w:r>
        <w:t xml:space="preserve">In order to inform decisions about the most appropriate analytic approach, it is useful to investigate the potential patterns and mechanisms that underlie the partially observed confounder (POC) data (see definitions box)</w:t>
      </w:r>
      <w:r>
        <w:t xml:space="preserve"> </w:t>
      </w:r>
      <w:r>
        <w:t xml:space="preserve">[7–9]</w:t>
      </w:r>
      <w:r>
        <w:t xml:space="preserve">. Existing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only been described and tested in isolation from each other and no unified principled approach exists. In addition, the practical implementation of such diagnostics is time-consuming and consequently infrequently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9"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9"/>
          <w:bookmarkStart w:id="30"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unobserved covariate(s). For example, the missingness may be explained by other covariate(s) which is/are not observed in the underlying dataset (MNAR</w:t>
            </w:r>
            <w:r>
              <w:rPr>
                <w:vertAlign w:val="subscript"/>
              </w:rPr>
              <w:t xml:space="preserve">unmeasured</w:t>
            </w:r>
            <w:r>
              <w:t xml:space="preserve">). The missingness can also just depend on the actual value of the partially observed covariate itself (MNAR</w:t>
            </w:r>
            <w:r>
              <w:rPr>
                <w:vertAlign w:val="subscript"/>
              </w:rPr>
              <w:t xml:space="preserve">value</w:t>
            </w:r>
            <w:r>
              <w:t xml:space="preserve">).</w:t>
            </w:r>
          </w:p>
        </w:tc>
      </w:tr>
    </w:tbl>
    <w:bookmarkEnd w:id="30"/>
    <w:p>
      <w:pPr>
        <w:pStyle w:val="FirstParagraph"/>
      </w:pPr>
      <w:r>
        <w:t xml:space="preserve">Considering these limitations, we have recently developed and evaluated a principled approach combining multiple missing data diagnostics</w:t>
      </w:r>
      <w:r>
        <w:t xml:space="preserve"> </w:t>
      </w:r>
      <w:r>
        <w:t xml:space="preserve">[22]</w:t>
      </w:r>
      <w:r>
        <w:t xml:space="preserve"> </w:t>
      </w:r>
      <w:r>
        <w:t xml:space="preserve">using a database linkage from the Mass General Brigham Research Patient Data Registry EHR in Boston</w:t>
      </w:r>
      <w:r>
        <w:t xml:space="preserve"> </w:t>
      </w:r>
      <w:r>
        <w:t xml:space="preserve">[23]</w:t>
      </w:r>
      <w:r>
        <w:t xml:space="preserve"> </w:t>
      </w:r>
      <w:r>
        <w:t xml:space="preserve">linked with Medicare fee-for-service claims data</w:t>
      </w:r>
      <w:r>
        <w:t xml:space="preserve"> </w:t>
      </w:r>
      <w:r>
        <w:t xml:space="preserve">[24]</w:t>
      </w:r>
      <w:r>
        <w:t xml:space="preserve">. The results of this large-scale study revealed that the combination of these diagnostics effectively identified underlying mechanisms and provided helpful guidance for the choice of appropriate analytic methods to handle POC data.</w:t>
      </w:r>
    </w:p>
    <w:bookmarkEnd w:id="31"/>
    <w:bookmarkStart w:id="32" w:name="objective"/>
    <w:p>
      <w:pPr>
        <w:pStyle w:val="Heading1"/>
      </w:pPr>
      <w:r>
        <w:t xml:space="preserve">Objective</w:t>
      </w:r>
    </w:p>
    <w:p>
      <w:pPr>
        <w:pStyle w:val="FirstParagraph"/>
      </w:pPr>
      <w:r>
        <w:t xml:space="preserve">To streamline the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[25]</w:t>
      </w:r>
      <w:r>
        <w:t xml:space="preserve">.</w:t>
      </w:r>
    </w:p>
    <w:bookmarkEnd w:id="32"/>
    <w:bookmarkStart w:id="36"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the comprehensive R archive network (</w:t>
      </w:r>
      <w:hyperlink r:id="rId33">
        <w:r>
          <w:rPr>
            <w:rStyle w:val="Hyperlink"/>
          </w:rPr>
          <w:t xml:space="preserve">https://cran.r-project.org/web/packages/smdi</w:t>
        </w:r>
      </w:hyperlink>
      <w:r>
        <w:t xml:space="preserve">) and GitLab (</w:t>
      </w:r>
      <w:hyperlink r:id="rId34">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[26]</w:t>
      </w:r>
      <w:r>
        <w:t xml:space="preserve"> </w:t>
      </w:r>
      <w:r>
        <w:t xml:space="preserve">via continuous integration and deployment. Additional resources such as documentation and vignettes are provided on the package website:</w:t>
      </w:r>
      <w:r>
        <w:t xml:space="preserve"> </w:t>
      </w:r>
      <w:hyperlink r:id="rId35">
        <w:r>
          <w:rPr>
            <w:rStyle w:val="Hyperlink"/>
          </w:rPr>
          <w:t xml:space="preserve">https://janickweberpals.gitlab-pages.partners.org/smdi</w:t>
        </w:r>
      </w:hyperlink>
      <w:r>
        <w:t xml:space="preserve">.</w:t>
      </w:r>
    </w:p>
    <w:bookmarkEnd w:id="36"/>
    <w:bookmarkStart w:id="45" w:name="sec-results"/>
    <w:p>
      <w:pPr>
        <w:pStyle w:val="Heading1"/>
      </w:pPr>
      <w:r>
        <w:t xml:space="preserve">Results</w:t>
      </w:r>
    </w:p>
    <w:bookmarkStart w:id="44"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a MAR, MNAR and MCAR mechanism, respectively (more details:</w:t>
      </w:r>
      <w:r>
        <w:t xml:space="preserve"> </w:t>
      </w:r>
      <w:hyperlink r:id="rId37">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8"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[27]</w:t>
      </w:r>
      <w:r>
        <w:t xml:space="preserve">. This function uses a set visualization technique to visually infer potential (non-)monotone patterns based on the number of intersecting missing observations across all POCs</w:t>
      </w:r>
      <w:r>
        <w:t xml:space="preserve"> </w:t>
      </w:r>
      <w:r>
        <w:t xml:space="preserve">[28]</w:t>
      </w:r>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w:t>
      </w:r>
      <w:r>
        <w:t xml:space="preserve"> </w:t>
      </w:r>
      <w:hyperlink w:anchor="fig-examples">
        <w:r>
          <w:rPr>
            <w:rStyle w:val="Hyperlink"/>
          </w:rPr>
          <w:t xml:space="preserve">Figure 2</w:t>
        </w:r>
      </w:hyperlink>
      <w:r>
        <w:t xml:space="preserve"> </w:t>
      </w:r>
      <w:r>
        <w:t xml:space="preserve">b).</w:t>
      </w:r>
    </w:p>
    <w:bookmarkEnd w:id="38"/>
    <w:bookmarkStart w:id="43"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9"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[29–31]</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ASMDs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[32]</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[12,33]</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[13,27]</w:t>
      </w:r>
      <w:r>
        <w:t xml:space="preserve"> </w:t>
      </w:r>
      <w:r>
        <w:t xml:space="preserve">computes a single global chi-square test statistic and p-value across all POCs with the null hypothesis that the data are (globally) MCAR.</w:t>
      </w:r>
    </w:p>
    <w:p>
      <w:pPr>
        <w:pStyle w:val="BodyText"/>
      </w:pPr>
      <w:r>
        <w:t xml:space="preserve">Applying group 1 diagnostics to the synthetic example dataset would indicate that the ECOG POC (median ASMD 0.03, min-max 0.00-0.07, p-value 0.78) does not show any differences in observed patient characteristics between patients with and without and observed value for ECOG which would give evidence for a MCAR mechanism (</w:t>
      </w:r>
      <w:hyperlink w:anchor="fig-results">
        <w:r>
          <w:rPr>
            <w:rStyle w:val="Hyperlink"/>
          </w:rPr>
          <w:t xml:space="preserve">Figure 3</w:t>
        </w:r>
      </w:hyperlink>
      <w:r>
        <w:t xml:space="preserve"> </w:t>
      </w:r>
      <w:r>
        <w:t xml:space="preserve">bottom, Group 1 diagnostics - orange boxes) . Conversely, in the case of EGFR and PD-L1, the group 1 diagnostics display larger differences and hence may rather underlie a MAR or MNAR mechanism (</w:t>
      </w:r>
      <w:hyperlink w:anchor="fig-examples">
        <w:r>
          <w:rPr>
            <w:rStyle w:val="Hyperlink"/>
          </w:rPr>
          <w:t xml:space="preserve">Figure 2</w:t>
        </w:r>
      </w:hyperlink>
      <w:r>
        <w:t xml:space="preserve"> </w:t>
      </w:r>
      <w:r>
        <w:t xml:space="preserve">c,</w:t>
      </w:r>
      <w:r>
        <w:t xml:space="preserve"> </w:t>
      </w:r>
      <w:hyperlink w:anchor="fig-results">
        <w:r>
          <w:rPr>
            <w:rStyle w:val="Hyperlink"/>
          </w:rPr>
          <w:t xml:space="preserve">Figure 3</w:t>
        </w:r>
      </w:hyperlink>
      <w:r>
        <w:t xml:space="preserve">).</w:t>
      </w:r>
    </w:p>
    <w:bookmarkEnd w:id="39"/>
    <w:bookmarkStart w:id="40"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[11,34]</w:t>
      </w:r>
      <w:r>
        <w:t xml:space="preserve"> </w:t>
      </w:r>
      <w:r>
        <w:t xml:space="preserve">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 xml:space="preserve">train_test_ratio, ntree</w:t>
      </w:r>
      <w:r>
        <w:t xml:space="preserve"> </w:t>
      </w:r>
      <w:r>
        <w:t xml:space="preserve">and</w:t>
      </w:r>
      <w:r>
        <w:t xml:space="preserve"> </w:t>
      </w:r>
      <w:r>
        <w:rPr>
          <w:rStyle w:val="VerbatimChar"/>
        </w:rPr>
        <w:t xml:space="preserve">n_cores</w:t>
      </w:r>
      <w:r>
        <w:t xml:space="preserve"> </w:t>
      </w:r>
      <w:r>
        <w:t xml:space="preserve">parameter, respectively)</w:t>
      </w:r>
      <w:r>
        <w:t xml:space="preserve"> </w:t>
      </w:r>
      <w:r>
        <w:t xml:space="preserve">[34,35]</w:t>
      </w:r>
      <w:r>
        <w:t xml:space="preserve">.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it is recommended to run the diagnostics for each POC independently rather than jointly.</w:t>
      </w:r>
    </w:p>
    <w:p>
      <w:pPr>
        <w:pStyle w:val="BodyText"/>
      </w:pPr>
      <w:hyperlink w:anchor="fig-results">
        <w:r>
          <w:rPr>
            <w:rStyle w:val="Hyperlink"/>
          </w:rPr>
          <w:t xml:space="preserve">Figure 3</w:t>
        </w:r>
      </w:hyperlink>
      <w:r>
        <w:t xml:space="preserve"> </w:t>
      </w:r>
      <w:r>
        <w:t xml:space="preserve">(Group 2 diagnostics - blue boxes), for example, illustrates the AUC values of the output of</w:t>
      </w:r>
      <w:r>
        <w:t xml:space="preserve"> </w:t>
      </w:r>
      <w:r>
        <w:rPr>
          <w:rStyle w:val="VerbatimChar"/>
        </w:rPr>
        <w:t xml:space="preserve">smdi_rf()</w:t>
      </w:r>
      <w:r>
        <w:t xml:space="preserve"> </w:t>
      </w:r>
      <w:r>
        <w:t xml:space="preserve">when applied to the synthetic example dataset. Since the missingness of the EGFR POC follows a true MAR mechanism, it shows a an AUC of 0.63 which is expectedly meaningfully higher than what is observed for ECOG (0.51) and PD-L1 (0.52) which follow a true MCAR and MNAR mechanism, respectively.</w:t>
      </w:r>
    </w:p>
    <w:bookmarkEnd w:id="40"/>
    <w:bookmarkStart w:id="41"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 (</w:t>
      </w:r>
      <w:hyperlink w:anchor="fig-results">
        <w:r>
          <w:rPr>
            <w:rStyle w:val="Hyperlink"/>
          </w:rPr>
          <w:t xml:space="preserve">Figure 3</w:t>
        </w:r>
      </w:hyperlink>
      <w:r>
        <w:t xml:space="preserve"> </w:t>
      </w:r>
      <w:r>
        <w:t xml:space="preserve">top) [</w:t>
      </w:r>
      <w:r>
        <w:t xml:space="preserve">[22]</w:t>
      </w:r>
      <w:r>
        <w:t xml:space="preserve">]. As expected, under a MCAR mechanism the simulation suggested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[36]</w:t>
      </w:r>
      <w:r>
        <w:t xml:space="preserve">) for continuous outcomes, logistic regression (</w:t>
      </w:r>
      <w:r>
        <w:rPr>
          <w:iCs/>
          <w:i/>
        </w:rPr>
        <w:t xml:space="preserve">glm</w:t>
      </w:r>
      <w:r>
        <w:t xml:space="preserve"> </w:t>
      </w:r>
      <w:r>
        <w:t xml:space="preserve">[36]</w:t>
      </w:r>
      <w:r>
        <w:t xml:space="preserve">) for binary outcomes and a Cox proportional hazards model (</w:t>
      </w:r>
      <w:r>
        <w:rPr>
          <w:iCs/>
          <w:i/>
        </w:rPr>
        <w:t xml:space="preserve">coxph</w:t>
      </w:r>
      <w:r>
        <w:t xml:space="preserve"> </w:t>
      </w:r>
      <w:r>
        <w:t xml:space="preserve">[37]</w:t>
      </w:r>
      <w:r>
        <w:t xml:space="preserve">) for time-to-event outcomes. Besides the regression type (</w:t>
      </w:r>
      <w:r>
        <w:rPr>
          <w:rStyle w:val="VerbatimChar"/>
        </w:rPr>
        <w:t xml:space="preserve">model</w:t>
      </w:r>
      <w:r>
        <w:t xml:space="preserve"> </w:t>
      </w:r>
      <w:r>
        <w:t xml:space="preserve">parameter),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p>
      <w:pPr>
        <w:pStyle w:val="BodyText"/>
      </w:pPr>
      <w:r>
        <w:t xml:space="preserve">Illustrating the application of</w:t>
      </w:r>
      <w:r>
        <w:t xml:space="preserve"> </w:t>
      </w:r>
      <w:r>
        <w:rPr>
          <w:rStyle w:val="VerbatimChar"/>
        </w:rPr>
        <w:t xml:space="preserve">smdi_outcome()</w:t>
      </w:r>
      <w:r>
        <w:t xml:space="preserve">with the example dataset, the derived logHR coefficients for the missingness indicators of the POCs (</w:t>
      </w:r>
      <w:hyperlink w:anchor="fig-results">
        <w:r>
          <w:rPr>
            <w:rStyle w:val="Hyperlink"/>
          </w:rPr>
          <w:t xml:space="preserve">Figure 3</w:t>
        </w:r>
      </w:hyperlink>
      <w:r>
        <w:t xml:space="preserve"> </w:t>
      </w:r>
      <w:r>
        <w:t xml:space="preserve">bottom, Group 3 diagnostics - green boxes) conform with the results as expected by on our simulations</w:t>
      </w:r>
      <w:r>
        <w:t xml:space="preserve"> </w:t>
      </w:r>
      <w:r>
        <w:t xml:space="preserve">[22]</w:t>
      </w:r>
      <w:r>
        <w:t xml:space="preserve">. Here, EGFR displays no difference in the outcome after adjustment for fully observed covariates (logHR -0.01, 95% confidence intervals [CI] -0.10 to 0.09) indicating MAR, ECOG shows no difference in either unadjusted or adjusted model (logHR -0.06, -0.16 to 0.03) indicating MCAR, and PD-L1 exhibits differences in both models indicating MNAR.</w:t>
      </w:r>
    </w:p>
    <w:p>
      <w:pPr>
        <w:pStyle w:val="BodyText"/>
      </w:pPr>
      <w:r>
        <w:t xml:space="preserve">Demonstrating the utilization of smdi_outcome() using the example dataset, the derived logHR coefficients for the missingness indicators of the POCs (</w:t>
      </w:r>
      <w:hyperlink w:anchor="fig-results">
        <w:r>
          <w:rPr>
            <w:rStyle w:val="Hyperlink"/>
          </w:rPr>
          <w:t xml:space="preserve">Figure 3</w:t>
        </w:r>
      </w:hyperlink>
      <w:r>
        <w:t xml:space="preserve"> </w:t>
      </w:r>
      <w:r>
        <w:t xml:space="preserve">bottom, Group 3 diagnostics - green boxes) align with the anticipated outcomes from our simulations</w:t>
      </w:r>
      <w:r>
        <w:t xml:space="preserve"> </w:t>
      </w:r>
      <w:r>
        <w:t xml:space="preserve">[22]</w:t>
      </w:r>
      <w:r>
        <w:t xml:space="preserve">. Specifically, EGFR manifests no discernible difference in the outcome after adjustment for fully observed covariates (logHR -0.01, 95% confidence intervals [CI] -0.10 to 0.09), suggesting a MAR mechanism. ECOG exhibits no distinction in either the unadjusted or adjusted model (logHR -0.06, -0.16 to 0.03), indicating MCAR. Conversely, PD-L1 showcases differences in the outcome in both models, suggesting an MNAR context.</w:t>
      </w:r>
    </w:p>
    <w:bookmarkEnd w:id="41"/>
    <w:bookmarkStart w:id="42"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of the above discussed group diagnostics within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bookmarkEnd w:id="42"/>
    <w:bookmarkEnd w:id="43"/>
    <w:bookmarkEnd w:id="44"/>
    <w:bookmarkEnd w:id="45"/>
    <w:bookmarkStart w:id="47" w:name="discussion"/>
    <w:p>
      <w:pPr>
        <w:pStyle w:val="Heading1"/>
      </w:pPr>
      <w:r>
        <w:t xml:space="preserve">Discussion</w:t>
      </w:r>
    </w:p>
    <w:p>
      <w:pPr>
        <w:pStyle w:val="FirstParagraph"/>
      </w:pPr>
      <w:r>
        <w:t xml:space="preserve">Missing data are ubiquitous in RWE studies involving EHR and may introduce bias if not handled appropriately. To address this issue, we developed the</w:t>
      </w:r>
      <w:r>
        <w:t xml:space="preserve"> </w:t>
      </w:r>
      <w:r>
        <w:rPr>
          <w:rStyle w:val="VerbatimChar"/>
        </w:rPr>
        <w:t xml:space="preserve">smdi</w:t>
      </w:r>
      <w:r>
        <w:t xml:space="preserve"> </w:t>
      </w:r>
      <w:r>
        <w:t xml:space="preserve">R package to streamline routine diagnostics of missing data.</w:t>
      </w:r>
    </w:p>
    <w:p>
      <w:pPr>
        <w:pStyle w:val="BodyText"/>
      </w:pPr>
      <w:r>
        <w:t xml:space="preserve">The package does come with certain limitations, such that the true underlying mechanism causing the missing data can never be inferred with absolute certainty from the observed data. Therefore, it’s important to complement diagnostic results with substantive expert knowledge to factor in how covariates are measured in routine care and contextualize potential reasons for missingness. This collaborative approach allows for a contextualized understanding of potential causes for missing data in EHR.</w:t>
      </w:r>
    </w:p>
    <w:bookmarkStart w:id="46" w:name="conclusions"/>
    <w:p>
      <w:pPr>
        <w:pStyle w:val="Heading2"/>
      </w:pPr>
      <w:r>
        <w:t xml:space="preserve">Conclusions</w:t>
      </w:r>
    </w:p>
    <w:p>
      <w:pPr>
        <w:pStyle w:val="FirstParagraph"/>
      </w:pPr>
      <w:r>
        <w:t xml:space="preserve">The</w:t>
      </w:r>
      <w:r>
        <w:t xml:space="preserve"> </w:t>
      </w:r>
      <w:r>
        <w:rPr>
          <w:rStyle w:val="VerbatimChar"/>
        </w:rPr>
        <w:t xml:space="preserve">smdi</w:t>
      </w:r>
      <w:r>
        <w:t xml:space="preserve"> </w:t>
      </w:r>
      <w:r>
        <w:t xml:space="preserve">R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6"/>
    <w:bookmarkEnd w:id="47"/>
    <w:bookmarkStart w:id="134" w:name="references"/>
    <w:p>
      <w:pPr>
        <w:pStyle w:val="Heading1"/>
      </w:pPr>
      <w:r>
        <w:t xml:space="preserve">References</w:t>
      </w:r>
    </w:p>
    <w:bookmarkStart w:id="119" w:name="refs"/>
    <w:bookmarkStart w:id="49" w:name="ref-Desai2021"/>
    <w:p>
      <w:pPr>
        <w:pStyle w:val="Bibliography"/>
      </w:pPr>
      <w:r>
        <w:t xml:space="preserve">1</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2021;4. doi:</w:t>
      </w:r>
      <w:r>
        <w:t xml:space="preserve"> </w:t>
      </w:r>
      <w:hyperlink r:id="rId48">
        <w:r>
          <w:rPr>
            <w:rStyle w:val="Hyperlink"/>
          </w:rPr>
          <w:t xml:space="preserve">10.1038/s41746-021-00542-0</w:t>
        </w:r>
      </w:hyperlink>
    </w:p>
    <w:bookmarkEnd w:id="49"/>
    <w:bookmarkStart w:id="51" w:name="ref-fdaRWE2018"/>
    <w:p>
      <w:pPr>
        <w:pStyle w:val="Bibliography"/>
      </w:pPr>
      <w:r>
        <w:t xml:space="preserve">2</w:t>
      </w:r>
      <w:r>
        <w:t xml:space="preserve"> </w:t>
      </w:r>
      <w:r>
        <w:t xml:space="preserve">	</w:t>
      </w:r>
      <w:r>
        <w:t xml:space="preserve">United States Food and Drug Administration.</w:t>
      </w:r>
      <w:r>
        <w:t xml:space="preserve"> </w:t>
      </w:r>
      <w:hyperlink r:id="rId50">
        <w:r>
          <w:rPr>
            <w:rStyle w:val="Hyperlink"/>
          </w:rPr>
          <w:t xml:space="preserve">Framework for FDA’s real world evidence program. Dec 2018. Accessed 6/30/2023.</w:t>
        </w:r>
      </w:hyperlink>
    </w:p>
    <w:bookmarkEnd w:id="51"/>
    <w:bookmarkStart w:id="53"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w:t>
      </w:r>
      <w:hyperlink r:id="rId52">
        <w:r>
          <w:rPr>
            <w:rStyle w:val="Hyperlink"/>
          </w:rPr>
          <w:t xml:space="preserve">SA27 Comparison of Comorbidity Indices Between Electronic Health Records (EHR) Derived Database and Claims Data Among Patients With Metastatic Breast Cancer</w:t>
        </w:r>
      </w:hyperlink>
      <w:r>
        <w:t xml:space="preserve">.</w:t>
      </w:r>
      <w:r>
        <w:t xml:space="preserve"> </w:t>
      </w:r>
      <w:r>
        <w:rPr>
          <w:iCs/>
          <w:i/>
        </w:rPr>
        <w:t xml:space="preserve">Value in Health</w:t>
      </w:r>
      <w:r>
        <w:t xml:space="preserve">. 2022;25:S488.</w:t>
      </w:r>
    </w:p>
    <w:bookmarkEnd w:id="53"/>
    <w:bookmarkStart w:id="55" w:name="ref-gorelick2006"/>
    <w:p>
      <w:pPr>
        <w:pStyle w:val="Bibliography"/>
      </w:pPr>
      <w:r>
        <w:t xml:space="preserve">4</w:t>
      </w:r>
      <w:r>
        <w:t xml:space="preserve"> </w:t>
      </w:r>
      <w:r>
        <w:t xml:space="preserve">	</w:t>
      </w:r>
      <w:r>
        <w:t xml:space="preserve">Gorelick MH.</w:t>
      </w:r>
      <w:r>
        <w:t xml:space="preserve"> </w:t>
      </w:r>
      <w:hyperlink r:id="rId54">
        <w:r>
          <w:rPr>
            <w:rStyle w:val="Hyperlink"/>
          </w:rPr>
          <w:t xml:space="preserve">Bias arising from missing data in predictive models</w:t>
        </w:r>
      </w:hyperlink>
      <w:r>
        <w:t xml:space="preserve">.</w:t>
      </w:r>
      <w:r>
        <w:t xml:space="preserve"> </w:t>
      </w:r>
      <w:r>
        <w:rPr>
          <w:iCs/>
          <w:i/>
        </w:rPr>
        <w:t xml:space="preserve">Journal of Clinical Epidemiology</w:t>
      </w:r>
      <w:r>
        <w:t xml:space="preserve">. 2006;59:1115–23.</w:t>
      </w:r>
    </w:p>
    <w:bookmarkEnd w:id="55"/>
    <w:bookmarkStart w:id="57"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2019;17. doi:</w:t>
      </w:r>
      <w:r>
        <w:t xml:space="preserve"> </w:t>
      </w:r>
      <w:hyperlink r:id="rId56">
        <w:r>
          <w:rPr>
            <w:rStyle w:val="Hyperlink"/>
          </w:rPr>
          <w:t xml:space="preserve">10.1186/s12955-019-1181-2</w:t>
        </w:r>
      </w:hyperlink>
    </w:p>
    <w:bookmarkEnd w:id="57"/>
    <w:bookmarkStart w:id="59" w:name="ref-groenwold2020"/>
    <w:p>
      <w:pPr>
        <w:pStyle w:val="Bibliography"/>
      </w:pPr>
      <w:r>
        <w:t xml:space="preserve">6</w:t>
      </w:r>
      <w:r>
        <w:t xml:space="preserve"> </w:t>
      </w:r>
      <w:r>
        <w:t xml:space="preserve">	</w:t>
      </w:r>
      <w:r>
        <w:t xml:space="preserve">Groenwold RHH, Dekkers OM.</w:t>
      </w:r>
      <w:r>
        <w:t xml:space="preserve"> </w:t>
      </w:r>
      <w:hyperlink r:id="rId58">
        <w:r>
          <w:rPr>
            <w:rStyle w:val="Hyperlink"/>
          </w:rPr>
          <w:t xml:space="preserve">Missing data: The impact of what is not there</w:t>
        </w:r>
      </w:hyperlink>
      <w:r>
        <w:t xml:space="preserve">.</w:t>
      </w:r>
      <w:r>
        <w:t xml:space="preserve"> </w:t>
      </w:r>
      <w:r>
        <w:rPr>
          <w:iCs/>
          <w:i/>
        </w:rPr>
        <w:t xml:space="preserve">European Journal of Endocrinology</w:t>
      </w:r>
      <w:r>
        <w:t xml:space="preserve">. 2020;183:E7–9.</w:t>
      </w:r>
    </w:p>
    <w:bookmarkEnd w:id="59"/>
    <w:bookmarkStart w:id="61"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60">
        <w:r>
          <w:rPr>
            <w:rStyle w:val="Hyperlink"/>
          </w:rPr>
          <w:t xml:space="preserve">https://stefvanbuuren.name/fimd/missing-data-pattern.html</w:t>
        </w:r>
      </w:hyperlink>
    </w:p>
    <w:bookmarkEnd w:id="61"/>
    <w:bookmarkStart w:id="63" w:name="ref-rubin1976"/>
    <w:p>
      <w:pPr>
        <w:pStyle w:val="Bibliography"/>
      </w:pPr>
      <w:r>
        <w:t xml:space="preserve">8</w:t>
      </w:r>
      <w:r>
        <w:t xml:space="preserve"> </w:t>
      </w:r>
      <w:r>
        <w:t xml:space="preserve">	</w:t>
      </w:r>
      <w:r>
        <w:t xml:space="preserve">RUBIN DB.</w:t>
      </w:r>
      <w:r>
        <w:t xml:space="preserve"> </w:t>
      </w:r>
      <w:hyperlink r:id="rId62">
        <w:r>
          <w:rPr>
            <w:rStyle w:val="Hyperlink"/>
          </w:rPr>
          <w:t xml:space="preserve">Inference and missing data</w:t>
        </w:r>
      </w:hyperlink>
      <w:r>
        <w:t xml:space="preserve">.</w:t>
      </w:r>
      <w:r>
        <w:t xml:space="preserve"> </w:t>
      </w:r>
      <w:r>
        <w:rPr>
          <w:iCs/>
          <w:i/>
        </w:rPr>
        <w:t xml:space="preserve">Biometrika</w:t>
      </w:r>
      <w:r>
        <w:t xml:space="preserve">. 1976;63:581–92.</w:t>
      </w:r>
    </w:p>
    <w:bookmarkEnd w:id="63"/>
    <w:bookmarkStart w:id="64"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p>
    <w:bookmarkEnd w:id="64"/>
    <w:bookmarkStart w:id="66"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w:t>
      </w:r>
      <w:hyperlink r:id="rId65">
        <w:r>
          <w:rPr>
            <w:rStyle w:val="Hyperlink"/>
          </w:rPr>
          <w:t xml:space="preserve">Framework for the treatment and reporting of missing data in observational studies: The Treatment And Reporting of Missing data in Observational Studies framework</w:t>
        </w:r>
      </w:hyperlink>
      <w:r>
        <w:t xml:space="preserve">.</w:t>
      </w:r>
      <w:r>
        <w:t xml:space="preserve"> </w:t>
      </w:r>
      <w:r>
        <w:rPr>
          <w:iCs/>
          <w:i/>
        </w:rPr>
        <w:t xml:space="preserve">Journal of Clinical Epidemiology</w:t>
      </w:r>
      <w:r>
        <w:t xml:space="preserve">. 2021;134:79–88.</w:t>
      </w:r>
    </w:p>
    <w:bookmarkEnd w:id="66"/>
    <w:bookmarkStart w:id="68"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Published Online First: 15 June 2023. doi:</w:t>
      </w:r>
      <w:r>
        <w:t xml:space="preserve"> </w:t>
      </w:r>
      <w:hyperlink r:id="rId67">
        <w:r>
          <w:rPr>
            <w:rStyle w:val="Hyperlink"/>
          </w:rPr>
          <w:t xml:space="preserve">10.1002/psp4.12998</w:t>
        </w:r>
      </w:hyperlink>
    </w:p>
    <w:bookmarkEnd w:id="68"/>
    <w:bookmarkStart w:id="70" w:name="ref-hotelling1931"/>
    <w:p>
      <w:pPr>
        <w:pStyle w:val="Bibliography"/>
      </w:pPr>
      <w:r>
        <w:t xml:space="preserve">12</w:t>
      </w:r>
      <w:r>
        <w:t xml:space="preserve"> </w:t>
      </w:r>
      <w:r>
        <w:t xml:space="preserve">	</w:t>
      </w:r>
      <w:r>
        <w:t xml:space="preserve">Hotelling H.</w:t>
      </w:r>
      <w:r>
        <w:t xml:space="preserve"> </w:t>
      </w:r>
      <w:hyperlink r:id="rId69">
        <w:r>
          <w:rPr>
            <w:rStyle w:val="Hyperlink"/>
          </w:rPr>
          <w:t xml:space="preserve">The Generalization of Student’s Ratio</w:t>
        </w:r>
      </w:hyperlink>
      <w:r>
        <w:t xml:space="preserve">.</w:t>
      </w:r>
      <w:r>
        <w:t xml:space="preserve"> </w:t>
      </w:r>
      <w:r>
        <w:rPr>
          <w:iCs/>
          <w:i/>
        </w:rPr>
        <w:t xml:space="preserve">The Annals of Mathematical Statistics</w:t>
      </w:r>
      <w:r>
        <w:t xml:space="preserve">. 1931;2:360–78.</w:t>
      </w:r>
    </w:p>
    <w:bookmarkEnd w:id="70"/>
    <w:bookmarkStart w:id="72" w:name="ref-little1988"/>
    <w:p>
      <w:pPr>
        <w:pStyle w:val="Bibliography"/>
      </w:pPr>
      <w:r>
        <w:t xml:space="preserve">13</w:t>
      </w:r>
      <w:r>
        <w:t xml:space="preserve"> </w:t>
      </w:r>
      <w:r>
        <w:t xml:space="preserve">	</w:t>
      </w:r>
      <w:r>
        <w:t xml:space="preserve">Little RJA.</w:t>
      </w:r>
      <w:r>
        <w:t xml:space="preserve"> </w:t>
      </w:r>
      <w:hyperlink r:id="rId71">
        <w:r>
          <w:rPr>
            <w:rStyle w:val="Hyperlink"/>
          </w:rPr>
          <w:t xml:space="preserve">A Test of Missing Completely at Random for Multivariate Data with Missing Values</w:t>
        </w:r>
      </w:hyperlink>
      <w:r>
        <w:t xml:space="preserve">.</w:t>
      </w:r>
      <w:r>
        <w:t xml:space="preserve"> </w:t>
      </w:r>
      <w:r>
        <w:rPr>
          <w:iCs/>
          <w:i/>
        </w:rPr>
        <w:t xml:space="preserve">Journal of the American Statistical Association</w:t>
      </w:r>
      <w:r>
        <w:t xml:space="preserve">. 1988;83:1198–202.</w:t>
      </w:r>
    </w:p>
    <w:bookmarkEnd w:id="72"/>
    <w:bookmarkStart w:id="74"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w:t>
      </w:r>
      <w:hyperlink r:id="rId73">
        <w:r>
          <w:rPr>
            <w:rStyle w:val="Hyperlink"/>
          </w:rPr>
          <w:t xml:space="preserve">Missing data and multiple imputation in clinical epidemiological research</w:t>
        </w:r>
      </w:hyperlink>
      <w:r>
        <w:t xml:space="preserve">.</w:t>
      </w:r>
      <w:r>
        <w:t xml:space="preserve"> </w:t>
      </w:r>
      <w:r>
        <w:rPr>
          <w:iCs/>
          <w:i/>
        </w:rPr>
        <w:t xml:space="preserve">Clinical Epidemiology</w:t>
      </w:r>
      <w:r>
        <w:t xml:space="preserve">. 2017;Volume 9:157–66.</w:t>
      </w:r>
    </w:p>
    <w:bookmarkEnd w:id="74"/>
    <w:bookmarkStart w:id="76"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w:t>
      </w:r>
      <w:hyperlink r:id="rId75">
        <w:r>
          <w:rPr>
            <w:rStyle w:val="Hyperlink"/>
          </w:rPr>
          <w:t xml:space="preserve">The proportion of missing data should not be used to guide decisions on multiple imputation</w:t>
        </w:r>
      </w:hyperlink>
      <w:r>
        <w:t xml:space="preserve">.</w:t>
      </w:r>
      <w:r>
        <w:t xml:space="preserve"> </w:t>
      </w:r>
      <w:r>
        <w:rPr>
          <w:iCs/>
          <w:i/>
        </w:rPr>
        <w:t xml:space="preserve">Journal of Clinical Epidemiology</w:t>
      </w:r>
      <w:r>
        <w:t xml:space="preserve">. 2019;110:63–73.</w:t>
      </w:r>
    </w:p>
    <w:bookmarkEnd w:id="76"/>
    <w:bookmarkStart w:id="78"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Published Online First: 13 February 2023. doi:</w:t>
      </w:r>
      <w:r>
        <w:t xml:space="preserve"> </w:t>
      </w:r>
      <w:hyperlink r:id="rId77">
        <w:r>
          <w:rPr>
            <w:rStyle w:val="Hyperlink"/>
          </w:rPr>
          <w:t xml:space="preserve">10.1093/ije/dyad008</w:t>
        </w:r>
      </w:hyperlink>
    </w:p>
    <w:bookmarkEnd w:id="78"/>
    <w:bookmarkStart w:id="80"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w:t>
      </w:r>
      <w:hyperlink r:id="rId79">
        <w:r>
          <w:rPr>
            <w:rStyle w:val="Hyperlink"/>
          </w:rPr>
          <w:t xml:space="preserve">Canonical Causal Diagrams to Guide the Treatment of Missing Data in Epidemiologic Studies</w:t>
        </w:r>
      </w:hyperlink>
      <w:r>
        <w:t xml:space="preserve">.</w:t>
      </w:r>
      <w:r>
        <w:t xml:space="preserve"> </w:t>
      </w:r>
      <w:r>
        <w:rPr>
          <w:iCs/>
          <w:i/>
        </w:rPr>
        <w:t xml:space="preserve">American Journal of Epidemiology</w:t>
      </w:r>
      <w:r>
        <w:t xml:space="preserve">. 2018;187:2705–15.</w:t>
      </w:r>
    </w:p>
    <w:bookmarkEnd w:id="80"/>
    <w:bookmarkStart w:id="82" w:name="ref-mohan2021"/>
    <w:p>
      <w:pPr>
        <w:pStyle w:val="Bibliography"/>
      </w:pPr>
      <w:r>
        <w:t xml:space="preserve">18</w:t>
      </w:r>
      <w:r>
        <w:t xml:space="preserve"> </w:t>
      </w:r>
      <w:r>
        <w:t xml:space="preserve">	</w:t>
      </w:r>
      <w:r>
        <w:t xml:space="preserve">Mohan K, Pearl J.</w:t>
      </w:r>
      <w:r>
        <w:t xml:space="preserve"> </w:t>
      </w:r>
      <w:hyperlink r:id="rId81">
        <w:r>
          <w:rPr>
            <w:rStyle w:val="Hyperlink"/>
          </w:rPr>
          <w:t xml:space="preserve">Graphical Models for Processing Missing Data</w:t>
        </w:r>
      </w:hyperlink>
      <w:r>
        <w:t xml:space="preserve">.</w:t>
      </w:r>
      <w:r>
        <w:t xml:space="preserve"> </w:t>
      </w:r>
      <w:r>
        <w:rPr>
          <w:iCs/>
          <w:i/>
        </w:rPr>
        <w:t xml:space="preserve">Journal of the American Statistical Association</w:t>
      </w:r>
      <w:r>
        <w:t xml:space="preserve">. 2021;116:1023–37.</w:t>
      </w:r>
    </w:p>
    <w:bookmarkEnd w:id="82"/>
    <w:bookmarkStart w:id="84"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2020;20. doi:</w:t>
      </w:r>
      <w:r>
        <w:t xml:space="preserve"> </w:t>
      </w:r>
      <w:hyperlink r:id="rId83">
        <w:r>
          <w:rPr>
            <w:rStyle w:val="Hyperlink"/>
          </w:rPr>
          <w:t xml:space="preserve">10.1186/s12874-020-01018-7</w:t>
        </w:r>
      </w:hyperlink>
    </w:p>
    <w:bookmarkEnd w:id="84"/>
    <w:bookmarkStart w:id="86" w:name="ref-wood2004"/>
    <w:p>
      <w:pPr>
        <w:pStyle w:val="Bibliography"/>
      </w:pPr>
      <w:r>
        <w:t xml:space="preserve">20</w:t>
      </w:r>
      <w:r>
        <w:t xml:space="preserve"> </w:t>
      </w:r>
      <w:r>
        <w:t xml:space="preserve">	</w:t>
      </w:r>
      <w:r>
        <w:t xml:space="preserve">Wood AM, White IR, Thompson SG.</w:t>
      </w:r>
      <w:r>
        <w:t xml:space="preserve"> </w:t>
      </w:r>
      <w:hyperlink r:id="rId85">
        <w:r>
          <w:rPr>
            <w:rStyle w:val="Hyperlink"/>
          </w:rPr>
          <w:t xml:space="preserve">Are missing outcome data adequately handled? A review of published randomized controlled trials in major medical journals</w:t>
        </w:r>
      </w:hyperlink>
      <w:r>
        <w:t xml:space="preserve">.</w:t>
      </w:r>
      <w:r>
        <w:t xml:space="preserve"> </w:t>
      </w:r>
      <w:r>
        <w:rPr>
          <w:iCs/>
          <w:i/>
        </w:rPr>
        <w:t xml:space="preserve">Clinical Trials</w:t>
      </w:r>
      <w:r>
        <w:t xml:space="preserve">. 2004;1:368–76.</w:t>
      </w:r>
    </w:p>
    <w:bookmarkEnd w:id="86"/>
    <w:bookmarkStart w:id="88" w:name="ref-harel2012"/>
    <w:p>
      <w:pPr>
        <w:pStyle w:val="Bibliography"/>
      </w:pPr>
      <w:r>
        <w:t xml:space="preserve">21</w:t>
      </w:r>
      <w:r>
        <w:t xml:space="preserve"> </w:t>
      </w:r>
      <w:r>
        <w:t xml:space="preserve">	</w:t>
      </w:r>
      <w:r>
        <w:t xml:space="preserve">Harel O, Pellowski J, Kalichman S.</w:t>
      </w:r>
      <w:r>
        <w:t xml:space="preserve"> </w:t>
      </w:r>
      <w:hyperlink r:id="rId87">
        <w:r>
          <w:rPr>
            <w:rStyle w:val="Hyperlink"/>
          </w:rPr>
          <w:t xml:space="preserve">Are We Missing the Importance of Missing Values in HIV Prevention Randomized Clinical Trials? Review and Recommendations</w:t>
        </w:r>
      </w:hyperlink>
      <w:r>
        <w:t xml:space="preserve">.</w:t>
      </w:r>
      <w:r>
        <w:t xml:space="preserve"> </w:t>
      </w:r>
      <w:r>
        <w:rPr>
          <w:iCs/>
          <w:i/>
        </w:rPr>
        <w:t xml:space="preserve">AIDS and Behavior</w:t>
      </w:r>
      <w:r>
        <w:t xml:space="preserve">. 2012;16:1382–93.</w:t>
      </w:r>
    </w:p>
    <w:bookmarkEnd w:id="88"/>
    <w:bookmarkStart w:id="89"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2023.</w:t>
      </w:r>
    </w:p>
    <w:bookmarkEnd w:id="89"/>
    <w:bookmarkStart w:id="91" w:name="ref-nalichowski2006"/>
    <w:p>
      <w:pPr>
        <w:pStyle w:val="Bibliography"/>
      </w:pPr>
      <w:r>
        <w:t xml:space="preserve">23</w:t>
      </w:r>
      <w:r>
        <w:t xml:space="preserve"> </w:t>
      </w:r>
      <w:r>
        <w:t xml:space="preserve">	</w:t>
      </w:r>
      <w:r>
        <w:t xml:space="preserve">Nalichowski R, Keogh D, Chueh HC,</w:t>
      </w:r>
      <w:r>
        <w:t xml:space="preserve"> </w:t>
      </w:r>
      <w:r>
        <w:rPr>
          <w:iCs/>
          <w:i/>
        </w:rPr>
        <w:t xml:space="preserve">et al.</w:t>
      </w:r>
      <w:r>
        <w:t xml:space="preserve"> </w:t>
      </w:r>
      <w:hyperlink r:id="rId90">
        <w:r>
          <w:rPr>
            <w:rStyle w:val="Hyperlink"/>
          </w:rPr>
          <w:t xml:space="preserve">Calculating the benefits of a research patient data repository</w:t>
        </w:r>
      </w:hyperlink>
      <w:r>
        <w:t xml:space="preserve">.</w:t>
      </w:r>
      <w:r>
        <w:t xml:space="preserve"> </w:t>
      </w:r>
      <w:r>
        <w:rPr>
          <w:iCs/>
          <w:i/>
        </w:rPr>
        <w:t xml:space="preserve">AMIA Annual Symposium Proceedings</w:t>
      </w:r>
      <w:r>
        <w:t xml:space="preserve">. 2006;2006:1044.</w:t>
      </w:r>
    </w:p>
    <w:bookmarkEnd w:id="91"/>
    <w:bookmarkStart w:id="93" w:name="ref-cmsResdac"/>
    <w:p>
      <w:pPr>
        <w:pStyle w:val="Bibliography"/>
      </w:pPr>
      <w:r>
        <w:t xml:space="preserve">24</w:t>
      </w:r>
      <w:r>
        <w:t xml:space="preserve"> </w:t>
      </w:r>
      <w:r>
        <w:t xml:space="preserve">	</w:t>
      </w:r>
      <w:hyperlink r:id="rId92">
        <w:r>
          <w:rPr>
            <w:rStyle w:val="Hyperlink"/>
          </w:rPr>
          <w:t xml:space="preserve">https://resdac.org/</w:t>
        </w:r>
      </w:hyperlink>
      <w:r>
        <w:t xml:space="preserve"> </w:t>
      </w:r>
      <w:r>
        <w:t xml:space="preserve">(accessed 16 November 2023)</w:t>
      </w:r>
    </w:p>
    <w:bookmarkEnd w:id="93"/>
    <w:bookmarkStart w:id="95" w:name="ref-smdi"/>
    <w:p>
      <w:pPr>
        <w:pStyle w:val="Bibliography"/>
      </w:pPr>
      <w:r>
        <w:t xml:space="preserve">25</w:t>
      </w:r>
      <w:r>
        <w:t xml:space="preserve"> </w:t>
      </w:r>
      <w:r>
        <w:t xml:space="preserve">	</w:t>
      </w:r>
      <w:r>
        <w:t xml:space="preserve">Weberpals J.</w:t>
      </w:r>
      <w:r>
        <w:t xml:space="preserve"> </w:t>
      </w:r>
      <w:hyperlink r:id="rId94">
        <w:r>
          <w:rPr>
            <w:rStyle w:val="Hyperlink"/>
          </w:rPr>
          <w:t xml:space="preserve">Smdi: Perform structural missing data investigations</w:t>
        </w:r>
      </w:hyperlink>
      <w:r>
        <w:t xml:space="preserve">. Published Online First: 2023.</w:t>
      </w:r>
    </w:p>
    <w:bookmarkEnd w:id="95"/>
    <w:bookmarkStart w:id="96" w:name="ref-wickham2023r"/>
    <w:p>
      <w:pPr>
        <w:pStyle w:val="Bibliography"/>
      </w:pPr>
      <w:r>
        <w:t xml:space="preserve">26</w:t>
      </w:r>
      <w:r>
        <w:t xml:space="preserve"> </w:t>
      </w:r>
      <w:r>
        <w:t xml:space="preserve">	</w:t>
      </w:r>
      <w:r>
        <w:t xml:space="preserve">Wickham H, Bryan J.</w:t>
      </w:r>
      <w:r>
        <w:t xml:space="preserve"> </w:t>
      </w:r>
      <w:r>
        <w:rPr>
          <w:iCs/>
          <w:i/>
        </w:rPr>
        <w:t xml:space="preserve">R packages</w:t>
      </w:r>
      <w:r>
        <w:t xml:space="preserve">. " O’Reilly Media, Inc." 2023.</w:t>
      </w:r>
    </w:p>
    <w:bookmarkEnd w:id="96"/>
    <w:bookmarkStart w:id="98" w:name="ref-naniar"/>
    <w:p>
      <w:pPr>
        <w:pStyle w:val="Bibliography"/>
      </w:pPr>
      <w:r>
        <w:t xml:space="preserve">27</w:t>
      </w:r>
      <w:r>
        <w:t xml:space="preserve"> </w:t>
      </w:r>
      <w:r>
        <w:t xml:space="preserve">	</w:t>
      </w:r>
      <w:r>
        <w:t xml:space="preserve">Tierney N, Cook D. Expanding tidy data principles to facilitate missing data exploration, visualization and assessment of imputations. 2023;105. doi:</w:t>
      </w:r>
      <w:r>
        <w:t xml:space="preserve"> </w:t>
      </w:r>
      <w:hyperlink r:id="rId97">
        <w:r>
          <w:rPr>
            <w:rStyle w:val="Hyperlink"/>
          </w:rPr>
          <w:t xml:space="preserve">10.18637/jss.v105.i07</w:t>
        </w:r>
      </w:hyperlink>
    </w:p>
    <w:bookmarkEnd w:id="98"/>
    <w:bookmarkStart w:id="100" w:name="ref-ruddle2022"/>
    <w:p>
      <w:pPr>
        <w:pStyle w:val="Bibliography"/>
      </w:pPr>
      <w:r>
        <w:t xml:space="preserve">28</w:t>
      </w:r>
      <w:r>
        <w:t xml:space="preserve"> </w:t>
      </w:r>
      <w:r>
        <w:t xml:space="preserve">	</w:t>
      </w:r>
      <w:r>
        <w:t xml:space="preserve">Ruddle RA, Adnan M, Hall M.</w:t>
      </w:r>
      <w:r>
        <w:t xml:space="preserve"> </w:t>
      </w:r>
      <w:hyperlink r:id="rId99">
        <w:r>
          <w:rPr>
            <w:rStyle w:val="Hyperlink"/>
          </w:rPr>
          <w:t xml:space="preserve">Using set visualisation to find and explain patterns of missing values: a case study with NHS hospital episode statistics data</w:t>
        </w:r>
      </w:hyperlink>
      <w:r>
        <w:t xml:space="preserve">.</w:t>
      </w:r>
      <w:r>
        <w:t xml:space="preserve"> </w:t>
      </w:r>
      <w:r>
        <w:rPr>
          <w:iCs/>
          <w:i/>
        </w:rPr>
        <w:t xml:space="preserve">BMJ Open</w:t>
      </w:r>
      <w:r>
        <w:t xml:space="preserve">. 2022;12:e064887.</w:t>
      </w:r>
    </w:p>
    <w:bookmarkEnd w:id="100"/>
    <w:bookmarkStart w:id="102" w:name="ref-schober2019"/>
    <w:p>
      <w:pPr>
        <w:pStyle w:val="Bibliography"/>
      </w:pPr>
      <w:r>
        <w:t xml:space="preserve">29</w:t>
      </w:r>
      <w:r>
        <w:t xml:space="preserve"> </w:t>
      </w:r>
      <w:r>
        <w:t xml:space="preserve">	</w:t>
      </w:r>
      <w:r>
        <w:t xml:space="preserve">Schober P, Vetter TR.</w:t>
      </w:r>
      <w:r>
        <w:t xml:space="preserve"> </w:t>
      </w:r>
      <w:hyperlink r:id="rId101">
        <w:r>
          <w:rPr>
            <w:rStyle w:val="Hyperlink"/>
          </w:rPr>
          <w:t xml:space="preserve">Correct Baseline Comparisons in a Randomized Trial</w:t>
        </w:r>
      </w:hyperlink>
      <w:r>
        <w:t xml:space="preserve">.</w:t>
      </w:r>
      <w:r>
        <w:t xml:space="preserve"> </w:t>
      </w:r>
      <w:r>
        <w:rPr>
          <w:iCs/>
          <w:i/>
        </w:rPr>
        <w:t xml:space="preserve">Anesthesia &amp; Analgesia</w:t>
      </w:r>
      <w:r>
        <w:t xml:space="preserve">. 2019;129:639.</w:t>
      </w:r>
    </w:p>
    <w:bookmarkEnd w:id="102"/>
    <w:bookmarkStart w:id="104" w:name="ref-austin2011"/>
    <w:p>
      <w:pPr>
        <w:pStyle w:val="Bibliography"/>
      </w:pPr>
      <w:r>
        <w:t xml:space="preserve">30</w:t>
      </w:r>
      <w:r>
        <w:t xml:space="preserve"> </w:t>
      </w:r>
      <w:r>
        <w:t xml:space="preserve">	</w:t>
      </w:r>
      <w:r>
        <w:t xml:space="preserve">Austin PC.</w:t>
      </w:r>
      <w:r>
        <w:t xml:space="preserve"> </w:t>
      </w:r>
      <w:hyperlink r:id="rId103">
        <w:r>
          <w:rPr>
            <w:rStyle w:val="Hyperlink"/>
          </w:rPr>
          <w:t xml:space="preserve">An Introduction to Propensity Score Methods for Reducing the Effects of Confounding in Observational Studies</w:t>
        </w:r>
      </w:hyperlink>
      <w:r>
        <w:t xml:space="preserve">.</w:t>
      </w:r>
      <w:r>
        <w:t xml:space="preserve"> </w:t>
      </w:r>
      <w:r>
        <w:rPr>
          <w:iCs/>
          <w:i/>
        </w:rPr>
        <w:t xml:space="preserve">Multivariate Behavioral Research</w:t>
      </w:r>
      <w:r>
        <w:t xml:space="preserve">. 2011;46:399–424.</w:t>
      </w:r>
    </w:p>
    <w:bookmarkEnd w:id="104"/>
    <w:bookmarkStart w:id="106" w:name="ref-tableone"/>
    <w:p>
      <w:pPr>
        <w:pStyle w:val="Bibliography"/>
      </w:pPr>
      <w:r>
        <w:t xml:space="preserve">31</w:t>
      </w:r>
      <w:r>
        <w:t xml:space="preserve"> </w:t>
      </w:r>
      <w:r>
        <w:t xml:space="preserve">	</w:t>
      </w:r>
      <w:r>
        <w:t xml:space="preserve">Yoshida K, Bartel A.</w:t>
      </w:r>
      <w:r>
        <w:t xml:space="preserve"> </w:t>
      </w:r>
      <w:hyperlink r:id="rId105">
        <w:r>
          <w:rPr>
            <w:rStyle w:val="Hyperlink"/>
          </w:rPr>
          <w:t xml:space="preserve">Tableone: Create ’table 1’ to describe baseline characteristics with or without propensity score weights</w:t>
        </w:r>
      </w:hyperlink>
      <w:r>
        <w:t xml:space="preserve">. Published Online First: 2022.</w:t>
      </w:r>
    </w:p>
    <w:bookmarkEnd w:id="106"/>
    <w:bookmarkStart w:id="108" w:name="ref-ggplot2"/>
    <w:p>
      <w:pPr>
        <w:pStyle w:val="Bibliography"/>
      </w:pPr>
      <w:r>
        <w:t xml:space="preserve">32</w:t>
      </w:r>
      <w:r>
        <w:t xml:space="preserve"> </w:t>
      </w:r>
      <w:r>
        <w:t xml:space="preserve">	</w:t>
      </w:r>
      <w:r>
        <w:t xml:space="preserve">Wickham H.</w:t>
      </w:r>
      <w:r>
        <w:t xml:space="preserve"> </w:t>
      </w:r>
      <w:hyperlink r:id="rId107">
        <w:r>
          <w:rPr>
            <w:rStyle w:val="Hyperlink"/>
          </w:rPr>
          <w:t xml:space="preserve">ggplot2: Elegant graphics for data analysis</w:t>
        </w:r>
      </w:hyperlink>
      <w:r>
        <w:t xml:space="preserve">. Published Online First: 2016.</w:t>
      </w:r>
    </w:p>
    <w:bookmarkEnd w:id="108"/>
    <w:bookmarkStart w:id="110" w:name="ref-Hotelling"/>
    <w:p>
      <w:pPr>
        <w:pStyle w:val="Bibliography"/>
      </w:pPr>
      <w:r>
        <w:t xml:space="preserve">33</w:t>
      </w:r>
      <w:r>
        <w:t xml:space="preserve"> </w:t>
      </w:r>
      <w:r>
        <w:t xml:space="preserve">	</w:t>
      </w:r>
      <w:r>
        <w:t xml:space="preserve">Curran J, Hersh T.</w:t>
      </w:r>
      <w:r>
        <w:t xml:space="preserve"> </w:t>
      </w:r>
      <w:hyperlink r:id="rId109">
        <w:r>
          <w:rPr>
            <w:rStyle w:val="Hyperlink"/>
          </w:rPr>
          <w:t xml:space="preserve">Hotelling: Hotelling’s t</w:t>
        </w:r>
        <w:r>
          <w:rPr>
            <w:rStyle w:val="Hyperlink"/>
          </w:rPr>
          <w:t xml:space="preserve">^</w:t>
        </w:r>
        <w:r>
          <w:rPr>
            <w:rStyle w:val="Hyperlink"/>
          </w:rPr>
          <w:t xml:space="preserve">2 test and variants</w:t>
        </w:r>
      </w:hyperlink>
      <w:r>
        <w:t xml:space="preserve">. Published Online First: 2021.</w:t>
      </w:r>
    </w:p>
    <w:bookmarkEnd w:id="110"/>
    <w:bookmarkStart w:id="112" w:name="ref-randomForest"/>
    <w:p>
      <w:pPr>
        <w:pStyle w:val="Bibliography"/>
      </w:pPr>
      <w:r>
        <w:t xml:space="preserve">34</w:t>
      </w:r>
      <w:r>
        <w:t xml:space="preserve"> </w:t>
      </w:r>
      <w:r>
        <w:t xml:space="preserve">	</w:t>
      </w:r>
      <w:r>
        <w:t xml:space="preserve">Liaw A, Wiener M.</w:t>
      </w:r>
      <w:r>
        <w:t xml:space="preserve"> </w:t>
      </w:r>
      <w:hyperlink r:id="rId111">
        <w:r>
          <w:rPr>
            <w:rStyle w:val="Hyperlink"/>
          </w:rPr>
          <w:t xml:space="preserve">Classification and regression by randomForest</w:t>
        </w:r>
      </w:hyperlink>
      <w:r>
        <w:t xml:space="preserve">. 2002;2:18–22.</w:t>
      </w:r>
    </w:p>
    <w:bookmarkEnd w:id="112"/>
    <w:bookmarkStart w:id="114" w:name="ref-breiman2001"/>
    <w:p>
      <w:pPr>
        <w:pStyle w:val="Bibliography"/>
      </w:pPr>
      <w:r>
        <w:t xml:space="preserve">35</w:t>
      </w:r>
      <w:r>
        <w:t xml:space="preserve"> </w:t>
      </w:r>
      <w:r>
        <w:t xml:space="preserve">	</w:t>
      </w:r>
      <w:hyperlink r:id="rId113">
        <w:r>
          <w:rPr>
            <w:rStyle w:val="Hyperlink"/>
          </w:rPr>
          <w:t xml:space="preserve">Breiman L.</w:t>
        </w:r>
        <w:r>
          <w:rPr>
            <w:rStyle w:val="Hyperlink"/>
          </w:rPr>
          <w:t xml:space="preserve"> </w:t>
        </w:r>
        <w:r>
          <w:rPr>
            <w:rStyle w:val="Hyperlink"/>
            <w:iCs/>
            <w:i/>
          </w:rPr>
          <w:t xml:space="preserve">Machine Learning</w:t>
        </w:r>
        <w:r>
          <w:rPr>
            <w:rStyle w:val="Hyperlink"/>
          </w:rPr>
          <w:t xml:space="preserve">. 2001;45:5–32.</w:t>
        </w:r>
      </w:hyperlink>
    </w:p>
    <w:bookmarkEnd w:id="114"/>
    <w:bookmarkStart w:id="116" w:name="ref-stats"/>
    <w:p>
      <w:pPr>
        <w:pStyle w:val="Bibliography"/>
      </w:pPr>
      <w:r>
        <w:t xml:space="preserve">36</w:t>
      </w:r>
      <w:r>
        <w:t xml:space="preserve"> </w:t>
      </w:r>
      <w:r>
        <w:t xml:space="preserve">	</w:t>
      </w:r>
      <w:r>
        <w:t xml:space="preserve">R Core Team.</w:t>
      </w:r>
      <w:r>
        <w:t xml:space="preserve"> </w:t>
      </w:r>
      <w:hyperlink r:id="rId115">
        <w:r>
          <w:rPr>
            <w:rStyle w:val="Hyperlink"/>
          </w:rPr>
          <w:t xml:space="preserve">R: A language and environment for statistical computing</w:t>
        </w:r>
      </w:hyperlink>
      <w:r>
        <w:t xml:space="preserve">. Published Online First: 2022.</w:t>
      </w:r>
    </w:p>
    <w:bookmarkEnd w:id="116"/>
    <w:bookmarkStart w:id="118" w:name="ref-survival"/>
    <w:p>
      <w:pPr>
        <w:pStyle w:val="Bibliography"/>
      </w:pPr>
      <w:r>
        <w:t xml:space="preserve">37</w:t>
      </w:r>
      <w:r>
        <w:t xml:space="preserve"> </w:t>
      </w:r>
      <w:r>
        <w:t xml:space="preserve">	</w:t>
      </w:r>
      <w:r>
        <w:t xml:space="preserve">Therneau TM.</w:t>
      </w:r>
      <w:r>
        <w:t xml:space="preserve"> </w:t>
      </w:r>
      <w:hyperlink r:id="rId117">
        <w:r>
          <w:rPr>
            <w:rStyle w:val="Hyperlink"/>
          </w:rPr>
          <w:t xml:space="preserve">A package for survival analysis in r</w:t>
        </w:r>
      </w:hyperlink>
      <w:r>
        <w:t xml:space="preserve">. Published Online First: 2023.</w:t>
      </w:r>
    </w:p>
    <w:bookmarkEnd w:id="118"/>
    <w:bookmarkEnd w:id="119"/>
    <w:p>
      <w:r>
        <w:br w:type="page"/>
      </w:r>
    </w:p>
    <w:p>
      <w:pPr>
        <w:sectPr/>
      </w:pPr>
    </w:p>
    <w:bookmarkStart w:id="120"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are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w:t>
      </w:r>
      <w:r>
        <w:t xml:space="preserve"> </w:t>
      </w:r>
      <w:hyperlink w:anchor="fig-results">
        <w:r>
          <w:rPr>
            <w:rStyle w:val="Hyperlink"/>
          </w:rPr>
          <w:t xml:space="preserve">Figure 3</w:t>
        </w:r>
      </w:hyperlink>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20"/>
    <w:bookmarkStart w:id="133"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4" w:name="fig-workflow"/>
          <w:p>
            <w:pPr>
              <w:jc w:val="center"/>
            </w:pPr>
            <w:r>
              <w:drawing>
                <wp:inline>
                  <wp:extent cx="6537960" cy="3677602"/>
                  <wp:effectExtent b="0" l="0" r="0" t="0"/>
                  <wp:docPr descr="" title="" id="122" name="Picture"/>
                  <a:graphic>
                    <a:graphicData uri="http://schemas.openxmlformats.org/drawingml/2006/picture">
                      <pic:pic>
                        <pic:nvPicPr>
                          <pic:cNvPr descr="../figures/Figure_1_workflow.jpg" id="123" name="Picture"/>
                          <pic:cNvPicPr>
                            <a:picLocks noChangeArrowheads="1" noChangeAspect="1"/>
                          </pic:cNvPicPr>
                        </pic:nvPicPr>
                        <pic:blipFill>
                          <a:blip r:embed="rId121"/>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24"/>
        </w:tc>
      </w:tr>
    </w:tbl>
    <w:p>
      <w:r>
        <w:br w:type="page"/>
      </w:r>
    </w:p>
    <w:tbl>
      <w:tblPr>
        <w:tblStyle w:val="Table"/>
        <w:tblW w:type="pct" w:w="5000"/>
        <w:tblLook w:firstRow="0" w:lastRow="0" w:firstColumn="0" w:lastColumn="0" w:noHBand="0" w:noVBand="0" w:val="0000"/>
        <w:jc w:val="start"/>
      </w:tblPr>
      <w:tblGrid>
        <w:gridCol w:w="7920"/>
      </w:tblGrid>
      <w:tr>
        <w:tc>
          <w:tcPr/>
          <w:bookmarkStart w:id="128" w:name="fig-examples"/>
          <w:p>
            <w:pPr>
              <w:jc w:val="center"/>
            </w:pPr>
            <w:r>
              <w:drawing>
                <wp:inline>
                  <wp:extent cx="5943600" cy="2971800"/>
                  <wp:effectExtent b="0" l="0" r="0" t="0"/>
                  <wp:docPr descr="" title="" id="126" name="Picture"/>
                  <a:graphic>
                    <a:graphicData uri="http://schemas.openxmlformats.org/drawingml/2006/picture">
                      <pic:pic>
                        <pic:nvPicPr>
                          <pic:cNvPr descr="manuscript_files/figure-docx/fig-examples-1.png" id="127" name="Picture"/>
                          <pic:cNvPicPr>
                            <a:picLocks noChangeArrowheads="1" noChangeAspect="1"/>
                          </pic:cNvPicPr>
                        </pic:nvPicPr>
                        <pic:blipFill>
                          <a:blip r:embed="rId1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w:t>
            </w:r>
            <w:r>
              <w:t xml:space="preserve"> </w:t>
            </w:r>
            <w:r>
              <w:t xml:space="preserve">[28]</w:t>
            </w:r>
            <w: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oberserved ECOG performance score variable (ecog_cat).</w:t>
            </w:r>
          </w:p>
          <w:bookmarkEnd w:id="128"/>
        </w:tc>
      </w:tr>
    </w:tbl>
    <w:p>
      <w:r>
        <w:br w:type="page"/>
      </w:r>
    </w:p>
    <w:tbl>
      <w:tblPr>
        <w:tblStyle w:val="Table"/>
        <w:tblW w:type="pct" w:w="5000"/>
        <w:tblLook w:firstRow="0" w:lastRow="0" w:firstColumn="0" w:lastColumn="0" w:noHBand="0" w:noVBand="0" w:val="0000"/>
        <w:jc w:val="start"/>
      </w:tblPr>
      <w:tblGrid>
        <w:gridCol w:w="7920"/>
      </w:tblGrid>
      <w:tr>
        <w:tc>
          <w:tcPr/>
          <w:bookmarkStart w:id="132" w:name="fig-results"/>
          <w:p>
            <w:pPr>
              <w:jc w:val="center"/>
            </w:pPr>
            <w:r>
              <w:drawing>
                <wp:inline>
                  <wp:extent cx="5943600" cy="2698134"/>
                  <wp:effectExtent b="0" l="0" r="0" t="0"/>
                  <wp:docPr descr="" title="" id="130" name="Picture"/>
                  <a:graphic>
                    <a:graphicData uri="http://schemas.openxmlformats.org/drawingml/2006/picture">
                      <pic:pic>
                        <pic:nvPicPr>
                          <pic:cNvPr descr="../figures/Figure_3_results.jpg" id="131" name="Picture"/>
                          <pic:cNvPicPr>
                            <a:picLocks noChangeArrowheads="1" noChangeAspect="1"/>
                          </pic:cNvPicPr>
                        </pic:nvPicPr>
                        <pic:blipFill>
                          <a:blip r:embed="rId129"/>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32"/>
        </w:tc>
      </w:tr>
    </w:tbl>
    <w:p>
      <w:pPr>
        <w:sectPr>
          <w:pgSz w:h="11906" w:w="16838" w:orient="landscape"/>
        </w:sectPr>
      </w:pPr>
    </w:p>
    <w:bookmarkEnd w:id="133"/>
    <w:bookmarkEnd w:id="134"/>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1" Target="media/rId121.jpg" /><Relationship Type="http://schemas.openxmlformats.org/officeDocument/2006/relationships/image" Id="rId129" Target="media/rId129.jpg" /><Relationship Type="http://schemas.openxmlformats.org/officeDocument/2006/relationships/image" Id="rId26" Target="media/rId26.png" /><Relationship Type="http://schemas.openxmlformats.org/officeDocument/2006/relationships/image" Id="rId125" Target="media/rId125.png" /><Relationship Type="http://schemas.openxmlformats.org/officeDocument/2006/relationships/hyperlink" Id="rId111" Target="https://CRAN.R-project.org/doc/Rnews/" TargetMode="External" /><Relationship Type="http://schemas.openxmlformats.org/officeDocument/2006/relationships/hyperlink" Id="rId109" Target="https://CRAN.R-project.org/package=Hotelling" TargetMode="External" /><Relationship Type="http://schemas.openxmlformats.org/officeDocument/2006/relationships/hyperlink" Id="rId94" Target="https://CRAN.R-project.org/package=smdi" TargetMode="External" /><Relationship Type="http://schemas.openxmlformats.org/officeDocument/2006/relationships/hyperlink" Id="rId117" Target="https://CRAN.R-project.org/package=survival" TargetMode="External" /><Relationship Type="http://schemas.openxmlformats.org/officeDocument/2006/relationships/hyperlink" Id="rId105"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7" Target="https://doi.org/10.1002/psp4.12998" TargetMode="External" /><Relationship Type="http://schemas.openxmlformats.org/officeDocument/2006/relationships/hyperlink" Id="rId87" Target="https://doi.org/10.1007/s10461-011-0125-6" TargetMode="External" /><Relationship Type="http://schemas.openxmlformats.org/officeDocument/2006/relationships/hyperlink" Id="rId54" Target="https://doi.org/10.1016/j.jclinepi.2004.11.029" TargetMode="External" /><Relationship Type="http://schemas.openxmlformats.org/officeDocument/2006/relationships/hyperlink" Id="rId75" Target="https://doi.org/10.1016/j.jclinepi.2019.02.016" TargetMode="External" /><Relationship Type="http://schemas.openxmlformats.org/officeDocument/2006/relationships/hyperlink" Id="rId65" Target="https://doi.org/10.1016/j.jclinepi.2021.01.008" TargetMode="External" /><Relationship Type="http://schemas.openxmlformats.org/officeDocument/2006/relationships/hyperlink" Id="rId52" Target="https://doi.org/10.1016/j.jval.2022.09.2421" TargetMode="External" /><Relationship Type="http://schemas.openxmlformats.org/officeDocument/2006/relationships/hyperlink" Id="rId113" Target="https://doi.org/10.1023/a:1010933404324" TargetMode="External" /><Relationship Type="http://schemas.openxmlformats.org/officeDocument/2006/relationships/hyperlink" Id="rId48" Target="https://doi.org/10.1038/s41746-021-00542-0" TargetMode="External" /><Relationship Type="http://schemas.openxmlformats.org/officeDocument/2006/relationships/hyperlink" Id="rId103" Target="https://doi.org/10.1080/00273171.2011.568786" TargetMode="External" /><Relationship Type="http://schemas.openxmlformats.org/officeDocument/2006/relationships/hyperlink" Id="rId71" Target="https://doi.org/10.1080/01621459.1988.10478722" TargetMode="External" /><Relationship Type="http://schemas.openxmlformats.org/officeDocument/2006/relationships/hyperlink" Id="rId81" Target="https://doi.org/10.1080/01621459.2021.1874961" TargetMode="External" /><Relationship Type="http://schemas.openxmlformats.org/officeDocument/2006/relationships/hyperlink" Id="rId79" Target="https://doi.org/10.1093/aje/kwy173" TargetMode="External" /><Relationship Type="http://schemas.openxmlformats.org/officeDocument/2006/relationships/hyperlink" Id="rId62" Target="https://doi.org/10.1093/biomet/63.3.581" TargetMode="External" /><Relationship Type="http://schemas.openxmlformats.org/officeDocument/2006/relationships/hyperlink" Id="rId77" Target="https://doi.org/10.1093/ije/dyad008" TargetMode="External" /><Relationship Type="http://schemas.openxmlformats.org/officeDocument/2006/relationships/hyperlink" Id="rId99" Target="https://doi.org/10.1136/bmjopen-2022-064887" TargetMode="External" /><Relationship Type="http://schemas.openxmlformats.org/officeDocument/2006/relationships/hyperlink" Id="rId83" Target="https://doi.org/10.1186/s12874-020-01018-7" TargetMode="External" /><Relationship Type="http://schemas.openxmlformats.org/officeDocument/2006/relationships/hyperlink" Id="rId56" Target="https://doi.org/10.1186/s12955-019-1181-2" TargetMode="External" /><Relationship Type="http://schemas.openxmlformats.org/officeDocument/2006/relationships/hyperlink" Id="rId85" Target="https://doi.org/10.1191/1740774504cn032oa" TargetMode="External" /><Relationship Type="http://schemas.openxmlformats.org/officeDocument/2006/relationships/hyperlink" Id="rId101" Target="https://doi.org/10.1213/ane.0000000000004211" TargetMode="External" /><Relationship Type="http://schemas.openxmlformats.org/officeDocument/2006/relationships/hyperlink" Id="rId69" Target="https://doi.org/10.1214/aoms/1177732979" TargetMode="External" /><Relationship Type="http://schemas.openxmlformats.org/officeDocument/2006/relationships/hyperlink" Id="rId58" Target="https://doi.org/10.1530/eje-20-0732" TargetMode="External" /><Relationship Type="http://schemas.openxmlformats.org/officeDocument/2006/relationships/hyperlink" Id="rId97" Target="https://doi.org/10.18637/jss.v105.i07" TargetMode="External" /><Relationship Type="http://schemas.openxmlformats.org/officeDocument/2006/relationships/hyperlink" Id="rId73" Target="https://doi.org/10.2147/clep.s129785" TargetMode="External" /><Relationship Type="http://schemas.openxmlformats.org/officeDocument/2006/relationships/hyperlink" Id="rId107" Target="https://ggplot2.tidyverse.org" TargetMode="External" /><Relationship Type="http://schemas.openxmlformats.org/officeDocument/2006/relationships/hyperlink" Id="rId23" Target="https://github.com/janickweberpals/smdi-manuscript" TargetMode="External" /><Relationship Type="http://schemas.openxmlformats.org/officeDocument/2006/relationships/hyperlink" Id="rId22" Target="https://gitlab-scm.partners.org/drugepi/smdi-manuscript" TargetMode="External" /><Relationship Type="http://schemas.openxmlformats.org/officeDocument/2006/relationships/hyperlink" Id="rId34" Target="https://gitlab-scm.partners.org/janickweberpals/smdi" TargetMode="External" /><Relationship Type="http://schemas.openxmlformats.org/officeDocument/2006/relationships/hyperlink" Id="rId35" Target="https://janickweberpals.gitlab-pages.partners.org/smdi" TargetMode="External" /><Relationship Type="http://schemas.openxmlformats.org/officeDocument/2006/relationships/hyperlink" Id="rId24" Target="https://janickweberpals.gitlab-pages.partners.org/smdi/" TargetMode="External" /><Relationship Type="http://schemas.openxmlformats.org/officeDocument/2006/relationships/hyperlink" Id="rId37"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92" Target="https://resdac.org/" TargetMode="External" /><Relationship Type="http://schemas.openxmlformats.org/officeDocument/2006/relationships/hyperlink" Id="rId60" Target="https://stefvanbuuren.name/fimd/missing-data-pattern.html" TargetMode="External" /><Relationship Type="http://schemas.openxmlformats.org/officeDocument/2006/relationships/hyperlink" Id="rId115" Target="https://www.R-project.org/" TargetMode="External" /><Relationship Type="http://schemas.openxmlformats.org/officeDocument/2006/relationships/hyperlink" Id="rId50" Target="https://www.fda.gov/downloads/ScienceResearch/SpecialTopics/RealWorldEvidence/UCM627769.pdf" TargetMode="External" /><Relationship Type="http://schemas.openxmlformats.org/officeDocument/2006/relationships/hyperlink" Id="rId90" Target="https://www.ncbi.nlm.nih.gov/pmc/articles/PMC1839563/"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11" Target="https://CRAN.R-project.org/doc/Rnews/" TargetMode="External" /><Relationship Type="http://schemas.openxmlformats.org/officeDocument/2006/relationships/hyperlink" Id="rId109" Target="https://CRAN.R-project.org/package=Hotelling" TargetMode="External" /><Relationship Type="http://schemas.openxmlformats.org/officeDocument/2006/relationships/hyperlink" Id="rId94" Target="https://CRAN.R-project.org/package=smdi" TargetMode="External" /><Relationship Type="http://schemas.openxmlformats.org/officeDocument/2006/relationships/hyperlink" Id="rId117" Target="https://CRAN.R-project.org/package=survival" TargetMode="External" /><Relationship Type="http://schemas.openxmlformats.org/officeDocument/2006/relationships/hyperlink" Id="rId105"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7" Target="https://doi.org/10.1002/psp4.12998" TargetMode="External" /><Relationship Type="http://schemas.openxmlformats.org/officeDocument/2006/relationships/hyperlink" Id="rId87" Target="https://doi.org/10.1007/s10461-011-0125-6" TargetMode="External" /><Relationship Type="http://schemas.openxmlformats.org/officeDocument/2006/relationships/hyperlink" Id="rId54" Target="https://doi.org/10.1016/j.jclinepi.2004.11.029" TargetMode="External" /><Relationship Type="http://schemas.openxmlformats.org/officeDocument/2006/relationships/hyperlink" Id="rId75" Target="https://doi.org/10.1016/j.jclinepi.2019.02.016" TargetMode="External" /><Relationship Type="http://schemas.openxmlformats.org/officeDocument/2006/relationships/hyperlink" Id="rId65" Target="https://doi.org/10.1016/j.jclinepi.2021.01.008" TargetMode="External" /><Relationship Type="http://schemas.openxmlformats.org/officeDocument/2006/relationships/hyperlink" Id="rId52" Target="https://doi.org/10.1016/j.jval.2022.09.2421" TargetMode="External" /><Relationship Type="http://schemas.openxmlformats.org/officeDocument/2006/relationships/hyperlink" Id="rId113" Target="https://doi.org/10.1023/a:1010933404324" TargetMode="External" /><Relationship Type="http://schemas.openxmlformats.org/officeDocument/2006/relationships/hyperlink" Id="rId48" Target="https://doi.org/10.1038/s41746-021-00542-0" TargetMode="External" /><Relationship Type="http://schemas.openxmlformats.org/officeDocument/2006/relationships/hyperlink" Id="rId103" Target="https://doi.org/10.1080/00273171.2011.568786" TargetMode="External" /><Relationship Type="http://schemas.openxmlformats.org/officeDocument/2006/relationships/hyperlink" Id="rId71" Target="https://doi.org/10.1080/01621459.1988.10478722" TargetMode="External" /><Relationship Type="http://schemas.openxmlformats.org/officeDocument/2006/relationships/hyperlink" Id="rId81" Target="https://doi.org/10.1080/01621459.2021.1874961" TargetMode="External" /><Relationship Type="http://schemas.openxmlformats.org/officeDocument/2006/relationships/hyperlink" Id="rId79" Target="https://doi.org/10.1093/aje/kwy173" TargetMode="External" /><Relationship Type="http://schemas.openxmlformats.org/officeDocument/2006/relationships/hyperlink" Id="rId62" Target="https://doi.org/10.1093/biomet/63.3.581" TargetMode="External" /><Relationship Type="http://schemas.openxmlformats.org/officeDocument/2006/relationships/hyperlink" Id="rId77" Target="https://doi.org/10.1093/ije/dyad008" TargetMode="External" /><Relationship Type="http://schemas.openxmlformats.org/officeDocument/2006/relationships/hyperlink" Id="rId99" Target="https://doi.org/10.1136/bmjopen-2022-064887" TargetMode="External" /><Relationship Type="http://schemas.openxmlformats.org/officeDocument/2006/relationships/hyperlink" Id="rId83" Target="https://doi.org/10.1186/s12874-020-01018-7" TargetMode="External" /><Relationship Type="http://schemas.openxmlformats.org/officeDocument/2006/relationships/hyperlink" Id="rId56" Target="https://doi.org/10.1186/s12955-019-1181-2" TargetMode="External" /><Relationship Type="http://schemas.openxmlformats.org/officeDocument/2006/relationships/hyperlink" Id="rId85" Target="https://doi.org/10.1191/1740774504cn032oa" TargetMode="External" /><Relationship Type="http://schemas.openxmlformats.org/officeDocument/2006/relationships/hyperlink" Id="rId101" Target="https://doi.org/10.1213/ane.0000000000004211" TargetMode="External" /><Relationship Type="http://schemas.openxmlformats.org/officeDocument/2006/relationships/hyperlink" Id="rId69" Target="https://doi.org/10.1214/aoms/1177732979" TargetMode="External" /><Relationship Type="http://schemas.openxmlformats.org/officeDocument/2006/relationships/hyperlink" Id="rId58" Target="https://doi.org/10.1530/eje-20-0732" TargetMode="External" /><Relationship Type="http://schemas.openxmlformats.org/officeDocument/2006/relationships/hyperlink" Id="rId97" Target="https://doi.org/10.18637/jss.v105.i07" TargetMode="External" /><Relationship Type="http://schemas.openxmlformats.org/officeDocument/2006/relationships/hyperlink" Id="rId73" Target="https://doi.org/10.2147/clep.s129785" TargetMode="External" /><Relationship Type="http://schemas.openxmlformats.org/officeDocument/2006/relationships/hyperlink" Id="rId107" Target="https://ggplot2.tidyverse.org" TargetMode="External" /><Relationship Type="http://schemas.openxmlformats.org/officeDocument/2006/relationships/hyperlink" Id="rId23" Target="https://github.com/janickweberpals/smdi-manuscript" TargetMode="External" /><Relationship Type="http://schemas.openxmlformats.org/officeDocument/2006/relationships/hyperlink" Id="rId22" Target="https://gitlab-scm.partners.org/drugepi/smdi-manuscript" TargetMode="External" /><Relationship Type="http://schemas.openxmlformats.org/officeDocument/2006/relationships/hyperlink" Id="rId34" Target="https://gitlab-scm.partners.org/janickweberpals/smdi" TargetMode="External" /><Relationship Type="http://schemas.openxmlformats.org/officeDocument/2006/relationships/hyperlink" Id="rId35" Target="https://janickweberpals.gitlab-pages.partners.org/smdi" TargetMode="External" /><Relationship Type="http://schemas.openxmlformats.org/officeDocument/2006/relationships/hyperlink" Id="rId24" Target="https://janickweberpals.gitlab-pages.partners.org/smdi/" TargetMode="External" /><Relationship Type="http://schemas.openxmlformats.org/officeDocument/2006/relationships/hyperlink" Id="rId37"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92" Target="https://resdac.org/" TargetMode="External" /><Relationship Type="http://schemas.openxmlformats.org/officeDocument/2006/relationships/hyperlink" Id="rId60" Target="https://stefvanbuuren.name/fimd/missing-data-pattern.html" TargetMode="External" /><Relationship Type="http://schemas.openxmlformats.org/officeDocument/2006/relationships/hyperlink" Id="rId115" Target="https://www.R-project.org/" TargetMode="External" /><Relationship Type="http://schemas.openxmlformats.org/officeDocument/2006/relationships/hyperlink" Id="rId50" Target="https://www.fda.gov/downloads/ScienceResearch/SpecialTopics/RealWorldEvidence/UCM627769.pdf" TargetMode="External" /><Relationship Type="http://schemas.openxmlformats.org/officeDocument/2006/relationships/hyperlink" Id="rId90" Target="https://www.ncbi.nlm.nih.gov/pmc/articles/PMC1839563/"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2023-11-16T21:39:40Z</dcterms:created>
  <dcterms:modified xsi:type="dcterms:W3CDTF">2023-11-16T21:39:40Z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