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4.jpg" ContentType="image/jpeg"/>
  <Override PartName="/word/media/rId122.jpg" ContentType="image/jpeg"/>
  <Override PartName="/word/media/rId26.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4</w:t>
      </w:r>
      <w:r>
        <w:t xml:space="preserve">, Wei Liu</w:t>
      </w:r>
      <w:r>
        <w:rPr>
          <w:vertAlign w:val="superscript"/>
        </w:rPr>
        <w:t xml:space="preserve">4</w:t>
      </w:r>
      <w:r>
        <w:t xml:space="preserve">, Jie Li</w:t>
      </w:r>
      <w:r>
        <w:rPr>
          <w:vertAlign w:val="superscript"/>
        </w:rPr>
        <w:t xml:space="preserve">4</w:t>
      </w:r>
      <w:r>
        <w:t xml:space="preserve">, José J. Hernández-Muñoz</w:t>
      </w:r>
      <w:r>
        <w:rPr>
          <w:vertAlign w:val="superscript"/>
        </w:rPr>
        <w:t xml:space="preserve">4</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Department of Population Health Sciences, Duke University School of Medicine, Durham, NC</w:t>
      </w:r>
    </w:p>
    <w:p>
      <w:pPr>
        <w:pStyle w:val="BodyText"/>
      </w:pPr>
      <w:r>
        <w:rPr>
          <w:vertAlign w:val="superscript"/>
        </w:rPr>
        <w:t xml:space="preserve">3</w:t>
      </w:r>
      <w:r>
        <w:t xml:space="preserve">Biostatistics Division, Kaiser Permanente Washington Health Research Institute, Seattle, WA</w:t>
      </w:r>
    </w:p>
    <w:p>
      <w:pPr>
        <w:pStyle w:val="BodyText"/>
      </w:pPr>
      <w:r>
        <w:rPr>
          <w:vertAlign w:val="superscript"/>
        </w:rPr>
        <w:t xml:space="preserve">4</w:t>
      </w:r>
      <w:r>
        <w:t xml:space="preserve">Center for Drug Evaluation and Research, Food and Drug Administration, Silver Spring, MD</w:t>
      </w:r>
    </w:p>
    <w:p>
      <w:pPr>
        <w:pStyle w:val="BodyText"/>
      </w:pPr>
      <w:r>
        <w:rPr>
          <w:vertAlign w:val="superscript"/>
        </w:rPr>
        <w:t xml:space="preserve">5</w:t>
      </w:r>
      <w:r>
        <w:t xml:space="preserve">Department of Population Medicine, Harvard Medical School and Harvard Pilgrim Health Care Institute,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1,969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145 words/150 words</w:t>
      </w:r>
    </w:p>
    <w:p>
      <w:pPr>
        <w:pStyle w:val="BodyText"/>
      </w:pPr>
      <w:r>
        <w:rPr>
          <w:bCs/>
          <w:b/>
        </w:rPr>
        <w:t xml:space="preserve">Objectives</w:t>
      </w:r>
    </w:p>
    <w:p>
      <w:pPr>
        <w:pStyle w:val="BodyText"/>
      </w:pPr>
      <w:r>
        <w:t xml:space="preserve">Partially observed confounder data are a major challenge for the statistical analysis of electronic health records (EHR). While analytic approaches exist (e.g., multiple imputation), assumptions on underlying missingness patterns and mechanisms must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implements functions to visualize, describe, and infer potential missingness patterns and mechanisms based on available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GitLab (</w:t>
      </w:r>
      <w:hyperlink r:id="rId24">
        <w:r>
          <w:rPr>
            <w:rStyle w:val="Hyperlink"/>
          </w:rPr>
          <w:t xml:space="preserve">https://gitlab-scm.partners.org/janickweberpals/smdi</w:t>
        </w:r>
      </w:hyperlink>
      <w:r>
        <w:t xml:space="preserve">) and can give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As opposed to clinical trials, which are designed to collect data for research purposes in a harmonized manner, real-world data are typically generated for administrative purposes (e.g., health insurance claims for billing purposes) or clinical documentation (e.g., electronic health records). Hence, confounders and prognostic factors, which need to be balanced between treatment groups to infer causal treatment effects, are usually not available for all patients at all necessary time points which leads to missing data. If the underlying missingness mechanisms of such factors is not at random, e.g., patients with higher levels of a prognostic biomarker are more likely to have missing data, this can lead to bias in the resulting effect estimates for the studied treatments if common missing data analysis methods like complete case analysis or imputation are used. Hence, it is of utmost importance to investigate the potential patterns and mechanisms to know if assumptions for common analytic methods hold. Here, we present the</w:t>
            </w:r>
            <w:r>
              <w:t xml:space="preserve"> </w:t>
            </w:r>
            <w:r>
              <w:rPr>
                <w:rStyle w:val="VerbatimChar"/>
              </w:rPr>
              <w:t xml:space="preserve">smdi</w:t>
            </w:r>
            <w:r>
              <w:t xml:space="preserve"> </w:t>
            </w:r>
            <w:r>
              <w:t xml:space="preserve">R package, which enables researchers to perform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available data.</w:t>
            </w:r>
          </w:p>
        </w:tc>
      </w:tr>
    </w:tbl>
    <w:p>
      <w:r>
        <w:br w:type="page"/>
      </w:r>
    </w:p>
    <w:bookmarkEnd w:id="25"/>
    <w:bookmarkStart w:id="31" w:name="background-and-significance"/>
    <w:p>
      <w:pPr>
        <w:pStyle w:val="Heading1"/>
      </w:pPr>
      <w:r>
        <w:t xml:space="preserve">Background and Significance</w:t>
      </w:r>
    </w:p>
    <w:p>
      <w:pPr>
        <w:pStyle w:val="FirstParagraph"/>
      </w:pPr>
      <w:r>
        <w:t xml:space="preserve">Electronic health records (EHR) are increasingly used to conduct real-world evidence (RWE) studies to complement evidence from randomized controlled trials (RCTs)</w:t>
      </w:r>
      <w:r>
        <w:t xml:space="preserve"> </w:t>
      </w:r>
      <w:r>
        <w:t xml:space="preserve">[1,2]</w:t>
      </w:r>
      <w:r>
        <w:t xml:space="preserve">. Due to their detailed capture of clinical parameters, EHRs can significantly improve the ability to control for imbalances in prognostic factors between treatment groups, especially when linked to administrative claims databases</w:t>
      </w:r>
      <w:r>
        <w:t xml:space="preserve"> </w:t>
      </w:r>
      <w:r>
        <w:t xml:space="preserve">[3]</w:t>
      </w:r>
      <w:r>
        <w:t xml:space="preserve">. However, such prognostic factors are often partially observed which challenges the statistical analysis and can result in severe bias when estimating treatment effects if not handled appropriately</w:t>
      </w:r>
      <w:r>
        <w:t xml:space="preserve"> </w:t>
      </w:r>
      <w:r>
        <w:t xml:space="preserve">[4–6]</w:t>
      </w:r>
      <w:r>
        <w:t xml:space="preserve">.</w:t>
      </w:r>
    </w:p>
    <w:p>
      <w:pPr>
        <w:pStyle w:val="BodyText"/>
      </w:pPr>
      <w:r>
        <w:t xml:space="preserve">In order to make informed decisions about the most appropriate analytic approach, it is crucial to investigate the potential patterns and mechanisms that underlie the partially observed confounder (POC) data (see definitions box)</w:t>
      </w:r>
      <w:r>
        <w:t xml:space="preserve"> </w:t>
      </w:r>
      <w:r>
        <w:t xml:space="preserve">[7–9]</w:t>
      </w:r>
      <w:r>
        <w:t xml:space="preserve">. Usually these are not known for a given RWE study, but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been only described and tested in isolation from each other and no principled approach exists. In addition, the practical implementation of such diagnostics is time-consuming, tedious and consequently not often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30"/>
    <w:p>
      <w:pPr>
        <w:pStyle w:val="FirstParagraph"/>
      </w:pPr>
      <w:r>
        <w:t xml:space="preserve">Given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characterized missing data mechanisms well and provided helpful guidance for the appropriate choice of analytic methods to handle POC data.</w:t>
      </w:r>
    </w:p>
    <w:bookmarkEnd w:id="31"/>
    <w:bookmarkStart w:id="32" w:name="objective"/>
    <w:p>
      <w:pPr>
        <w:pStyle w:val="Heading1"/>
      </w:pPr>
      <w:r>
        <w:t xml:space="preserve">Objective</w:t>
      </w:r>
    </w:p>
    <w:p>
      <w:pPr>
        <w:pStyle w:val="FirstParagraph"/>
      </w:pPr>
      <w:r>
        <w:t xml:space="preserve">To streamline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2"/>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3">
        <w:r>
          <w:rPr>
            <w:rStyle w:val="Hyperlink"/>
          </w:rPr>
          <w:t xml:space="preserve">https://cran.r-project.org/web/packages/smdi</w:t>
        </w:r>
      </w:hyperlink>
      <w:r>
        <w:t xml:space="preserve">) and GitLab (</w:t>
      </w:r>
      <w:hyperlink r:id="rId2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such as patient identifiers, date columns, or zip codes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AMSDs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observed covariates as the predictors. If the resulting area under the receiver operating characteristic curve (AUC) is meaningfully higher than 0.5, this would give some evidence for MAR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specified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EHR and may lead to bias if not handled appropriately. We developed</w:t>
      </w:r>
      <w:r>
        <w:t xml:space="preserve"> </w:t>
      </w:r>
      <w:r>
        <w:rPr>
          <w:rStyle w:val="VerbatimChar"/>
        </w:rPr>
        <w:t xml:space="preserve">smdi</w:t>
      </w:r>
      <w:r>
        <w:t xml:space="preserve"> </w:t>
      </w:r>
      <w:r>
        <w:t xml:space="preserve">to streamline routine diagnostics of missing data.</w:t>
      </w:r>
    </w:p>
    <w:p>
      <w:pPr>
        <w:pStyle w:val="BodyText"/>
      </w:pPr>
      <w:r>
        <w:t xml:space="preserve">The package also has limitations, such that the true underlying missingness generating mechanism can never be inferred with absolute certainty from the observed data. Hence,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 smdi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7" w:name="references"/>
    <w:p>
      <w:pPr>
        <w:pStyle w:val="Heading1"/>
      </w:pPr>
      <w:r>
        <w:t xml:space="preserve">References</w:t>
      </w:r>
    </w:p>
    <w:bookmarkStart w:id="112"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w:t>
      </w:r>
      <w:r>
        <w:t xml:space="preserve"> </w:t>
      </w:r>
      <w:hyperlink r:id="rId47">
        <w:r>
          <w:rPr>
            <w:rStyle w:val="Hyperlink"/>
          </w:rPr>
          <w:t xml:space="preserve">https://www.fda.gov/downloads/ScienceResearch/SpecialTopics/RealWorldEvidence/UCM627769.pdf</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w:t>
      </w:r>
      <w:r>
        <w:t xml:space="preserve">2021;</w:t>
      </w:r>
      <w:r>
        <w:rPr>
          <w:bCs/>
          <w:b/>
        </w:rPr>
        <w:t xml:space="preserve">4</w:t>
      </w:r>
      <w:r>
        <w:t xml:space="preserve">. doi:</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SA27 Comparison of Comorbidity Indices Between Electronic Health Records (EHR) Derived Database and Claims Data Among Patients With Metastatic Breast Cancer.</w:t>
      </w:r>
      <w:r>
        <w:t xml:space="preserve"> </w:t>
      </w:r>
      <w:r>
        <w:rPr>
          <w:iCs/>
          <w:i/>
        </w:rPr>
        <w:t xml:space="preserve">Value in Health</w:t>
      </w:r>
      <w:r>
        <w:t xml:space="preserve"> </w:t>
      </w:r>
      <w:r>
        <w:t xml:space="preserve">2022;</w:t>
      </w:r>
      <w:r>
        <w:rPr>
          <w:bCs/>
          <w:b/>
        </w:rPr>
        <w:t xml:space="preserve">25</w:t>
      </w:r>
      <w:r>
        <w:t xml:space="preserve">:S488. doi:</w:t>
      </w:r>
      <w:hyperlink r:id="rId51">
        <w:r>
          <w:rPr>
            <w:rStyle w:val="Hyperlink"/>
          </w:rPr>
          <w:t xml:space="preserve">10.1016/j.jval.2022.09.2421</w:t>
        </w:r>
      </w:hyperlink>
    </w:p>
    <w:bookmarkEnd w:id="52"/>
    <w:bookmarkStart w:id="54" w:name="ref-gorelick2006"/>
    <w:p>
      <w:pPr>
        <w:pStyle w:val="Bibliography"/>
      </w:pPr>
      <w:r>
        <w:t xml:space="preserve">4</w:t>
      </w:r>
      <w:r>
        <w:t xml:space="preserve"> </w:t>
      </w:r>
      <w:r>
        <w:t xml:space="preserve">	</w:t>
      </w:r>
      <w:r>
        <w:t xml:space="preserve">Gorelick MH. Bias arising from missing data in predictive models.</w:t>
      </w:r>
      <w:r>
        <w:t xml:space="preserve"> </w:t>
      </w:r>
      <w:r>
        <w:rPr>
          <w:iCs/>
          <w:i/>
        </w:rPr>
        <w:t xml:space="preserve">Journal of Clinical Epidemiology</w:t>
      </w:r>
      <w:r>
        <w:t xml:space="preserve"> </w:t>
      </w:r>
      <w:r>
        <w:t xml:space="preserve">2006;</w:t>
      </w:r>
      <w:r>
        <w:rPr>
          <w:bCs/>
          <w:b/>
        </w:rPr>
        <w:t xml:space="preserve">59</w:t>
      </w:r>
      <w:r>
        <w:t xml:space="preserve">:1115–23. doi:</w:t>
      </w:r>
      <w:hyperlink r:id="rId53">
        <w:r>
          <w:rPr>
            <w:rStyle w:val="Hyperlink"/>
          </w:rPr>
          <w:t xml:space="preserve">10.1016/j.jclinepi.2004.11.029</w:t>
        </w:r>
      </w:hyperlink>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w:t>
      </w:r>
      <w:r>
        <w:t xml:space="preserve">2019;</w:t>
      </w:r>
      <w:r>
        <w:rPr>
          <w:bCs/>
          <w:b/>
        </w:rPr>
        <w:t xml:space="preserve">17</w:t>
      </w:r>
      <w:r>
        <w:t xml:space="preserve">. doi:</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 Missing data: The impact of what is not there.</w:t>
      </w:r>
      <w:r>
        <w:t xml:space="preserve"> </w:t>
      </w:r>
      <w:r>
        <w:rPr>
          <w:iCs/>
          <w:i/>
        </w:rPr>
        <w:t xml:space="preserve">European Journal of Endocrinology</w:t>
      </w:r>
      <w:r>
        <w:t xml:space="preserve"> </w:t>
      </w:r>
      <w:r>
        <w:t xml:space="preserve">2020;</w:t>
      </w:r>
      <w:r>
        <w:rPr>
          <w:bCs/>
          <w:b/>
        </w:rPr>
        <w:t xml:space="preserve">183</w:t>
      </w:r>
      <w:r>
        <w:t xml:space="preserve">:E7–9. doi:</w:t>
      </w:r>
      <w:hyperlink r:id="rId57">
        <w:r>
          <w:rPr>
            <w:rStyle w:val="Hyperlink"/>
          </w:rPr>
          <w:t xml:space="preserve">10.1530/eje-20-0732</w:t>
        </w:r>
      </w:hyperlink>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 Inference and missing data.</w:t>
      </w:r>
      <w:r>
        <w:t xml:space="preserve"> </w:t>
      </w:r>
      <w:r>
        <w:rPr>
          <w:iCs/>
          <w:i/>
        </w:rPr>
        <w:t xml:space="preserve">Biometrika</w:t>
      </w:r>
      <w:r>
        <w:t xml:space="preserve"> </w:t>
      </w:r>
      <w:r>
        <w:t xml:space="preserve">1976;</w:t>
      </w:r>
      <w:r>
        <w:rPr>
          <w:bCs/>
          <w:b/>
        </w:rPr>
        <w:t xml:space="preserve">63</w:t>
      </w:r>
      <w:r>
        <w:t xml:space="preserve">:581–92. doi:</w:t>
      </w:r>
      <w:hyperlink r:id="rId61">
        <w:r>
          <w:rPr>
            <w:rStyle w:val="Hyperlink"/>
          </w:rPr>
          <w:t xml:space="preserve">10.1093/biomet/63.3.581</w:t>
        </w:r>
      </w:hyperlink>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r>
        <w:t xml:space="preserve"> </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w:t>
      </w:r>
      <w:r>
        <w:t xml:space="preserve">2021;</w:t>
      </w:r>
      <w:r>
        <w:rPr>
          <w:bCs/>
          <w:b/>
        </w:rPr>
        <w:t xml:space="preserve">134</w:t>
      </w:r>
      <w:r>
        <w:t xml:space="preserve">:79–88. doi:</w:t>
      </w:r>
      <w:hyperlink r:id="rId64">
        <w:r>
          <w:rPr>
            <w:rStyle w:val="Hyperlink"/>
          </w:rPr>
          <w:t xml:space="preserve">10.1016/j.jclinepi.2021.01.008</w:t>
        </w:r>
      </w:hyperlink>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w:t>
      </w:r>
      <w:r>
        <w:t xml:space="preserve">Published Online First: 15 June 2023. doi:</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 The Generalization of Student’s Ratio.</w:t>
      </w:r>
      <w:r>
        <w:t xml:space="preserve"> </w:t>
      </w:r>
      <w:r>
        <w:rPr>
          <w:iCs/>
          <w:i/>
        </w:rPr>
        <w:t xml:space="preserve">The Annals of Mathematical Statistics</w:t>
      </w:r>
      <w:r>
        <w:t xml:space="preserve"> </w:t>
      </w:r>
      <w:r>
        <w:t xml:space="preserve">1931;</w:t>
      </w:r>
      <w:r>
        <w:rPr>
          <w:bCs/>
          <w:b/>
        </w:rPr>
        <w:t xml:space="preserve">2</w:t>
      </w:r>
      <w:r>
        <w:t xml:space="preserve">:360–78. doi:</w:t>
      </w:r>
      <w:hyperlink r:id="rId68">
        <w:r>
          <w:rPr>
            <w:rStyle w:val="Hyperlink"/>
          </w:rPr>
          <w:t xml:space="preserve">10.1214/aoms/1177732979</w:t>
        </w:r>
      </w:hyperlink>
    </w:p>
    <w:bookmarkEnd w:id="69"/>
    <w:bookmarkStart w:id="71" w:name="ref-little1988"/>
    <w:p>
      <w:pPr>
        <w:pStyle w:val="Bibliography"/>
      </w:pPr>
      <w:r>
        <w:t xml:space="preserve">13</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w:t>
      </w:r>
      <w:r>
        <w:t xml:space="preserve">1988;</w:t>
      </w:r>
      <w:r>
        <w:rPr>
          <w:bCs/>
          <w:b/>
        </w:rPr>
        <w:t xml:space="preserve">83</w:t>
      </w:r>
      <w:r>
        <w:t xml:space="preserve">:1198–202. doi:</w:t>
      </w:r>
      <w:hyperlink r:id="rId70">
        <w:r>
          <w:rPr>
            <w:rStyle w:val="Hyperlink"/>
          </w:rPr>
          <w:t xml:space="preserve">10.1080/01621459.1988.10478722</w:t>
        </w:r>
      </w:hyperlink>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Missing data and multiple imputation in clinical epidemiological research.</w:t>
      </w:r>
      <w:r>
        <w:t xml:space="preserve"> </w:t>
      </w:r>
      <w:r>
        <w:rPr>
          <w:iCs/>
          <w:i/>
        </w:rPr>
        <w:t xml:space="preserve">Clinical Epidemiology</w:t>
      </w:r>
      <w:r>
        <w:t xml:space="preserve"> </w:t>
      </w:r>
      <w:r>
        <w:t xml:space="preserve">2017;</w:t>
      </w:r>
      <w:r>
        <w:rPr>
          <w:bCs/>
          <w:b/>
        </w:rPr>
        <w:t xml:space="preserve">Volume 9</w:t>
      </w:r>
      <w:r>
        <w:t xml:space="preserve">:157–66. doi:</w:t>
      </w:r>
      <w:hyperlink r:id="rId72">
        <w:r>
          <w:rPr>
            <w:rStyle w:val="Hyperlink"/>
          </w:rPr>
          <w:t xml:space="preserve">10.2147/clep.s129785</w:t>
        </w:r>
      </w:hyperlink>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The proportion of missing data should not be used to guide decisions on multiple imputation.</w:t>
      </w:r>
      <w:r>
        <w:t xml:space="preserve"> </w:t>
      </w:r>
      <w:r>
        <w:rPr>
          <w:iCs/>
          <w:i/>
        </w:rPr>
        <w:t xml:space="preserve">Journal of Clinical Epidemiology</w:t>
      </w:r>
      <w:r>
        <w:t xml:space="preserve"> </w:t>
      </w:r>
      <w:r>
        <w:t xml:space="preserve">2019;</w:t>
      </w:r>
      <w:r>
        <w:rPr>
          <w:bCs/>
          <w:b/>
        </w:rPr>
        <w:t xml:space="preserve">110</w:t>
      </w:r>
      <w:r>
        <w:t xml:space="preserve">:63–73. doi:</w:t>
      </w:r>
      <w:hyperlink r:id="rId74">
        <w:r>
          <w:rPr>
            <w:rStyle w:val="Hyperlink"/>
          </w:rPr>
          <w:t xml:space="preserve">10.1016/j.jclinepi.2019.02.016</w:t>
        </w:r>
      </w:hyperlink>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w:t>
      </w:r>
      <w:r>
        <w:t xml:space="preserve">Published Online First: 13 February 2023. doi:</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Canonical Causal Diagrams to Guide the Treatment of Missing Data in Epidemiologic Studies.</w:t>
      </w:r>
      <w:r>
        <w:t xml:space="preserve"> </w:t>
      </w:r>
      <w:r>
        <w:rPr>
          <w:iCs/>
          <w:i/>
        </w:rPr>
        <w:t xml:space="preserve">American Journal of Epidemiology</w:t>
      </w:r>
      <w:r>
        <w:t xml:space="preserve"> </w:t>
      </w:r>
      <w:r>
        <w:t xml:space="preserve">2018;</w:t>
      </w:r>
      <w:r>
        <w:rPr>
          <w:bCs/>
          <w:b/>
        </w:rPr>
        <w:t xml:space="preserve">187</w:t>
      </w:r>
      <w:r>
        <w:t xml:space="preserve">:2705–15. doi:</w:t>
      </w:r>
      <w:hyperlink r:id="rId78">
        <w:r>
          <w:rPr>
            <w:rStyle w:val="Hyperlink"/>
          </w:rPr>
          <w:t xml:space="preserve">10.1093/aje/kwy173</w:t>
        </w:r>
      </w:hyperlink>
    </w:p>
    <w:bookmarkEnd w:id="79"/>
    <w:bookmarkStart w:id="81" w:name="ref-mohan2021"/>
    <w:p>
      <w:pPr>
        <w:pStyle w:val="Bibliography"/>
      </w:pPr>
      <w:r>
        <w:t xml:space="preserve">18</w:t>
      </w:r>
      <w:r>
        <w:t xml:space="preserve"> </w:t>
      </w:r>
      <w:r>
        <w:t xml:space="preserve">	</w:t>
      </w:r>
      <w:r>
        <w:t xml:space="preserve">Mohan K, Pearl J. Graphical Models for Processing Missing Data.</w:t>
      </w:r>
      <w:r>
        <w:t xml:space="preserve"> </w:t>
      </w:r>
      <w:r>
        <w:rPr>
          <w:iCs/>
          <w:i/>
        </w:rPr>
        <w:t xml:space="preserve">Journal of the American Statistical Association</w:t>
      </w:r>
      <w:r>
        <w:t xml:space="preserve"> </w:t>
      </w:r>
      <w:r>
        <w:t xml:space="preserve">2021;</w:t>
      </w:r>
      <w:r>
        <w:rPr>
          <w:bCs/>
          <w:b/>
        </w:rPr>
        <w:t xml:space="preserve">116</w:t>
      </w:r>
      <w:r>
        <w:t xml:space="preserve">:1023–37. doi:</w:t>
      </w:r>
      <w:hyperlink r:id="rId80">
        <w:r>
          <w:rPr>
            <w:rStyle w:val="Hyperlink"/>
          </w:rPr>
          <w:t xml:space="preserve">10.1080/01621459.2021.1874961</w:t>
        </w:r>
      </w:hyperlink>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w:t>
      </w:r>
      <w:r>
        <w:t xml:space="preserve">2020;</w:t>
      </w:r>
      <w:r>
        <w:rPr>
          <w:bCs/>
          <w:b/>
        </w:rPr>
        <w:t xml:space="preserve">20</w:t>
      </w:r>
      <w:r>
        <w:t xml:space="preserve">. doi:</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 Are missing outcome data adequately handled? A review of published randomized controlled trials in major medical journals.</w:t>
      </w:r>
      <w:r>
        <w:t xml:space="preserve"> </w:t>
      </w:r>
      <w:r>
        <w:rPr>
          <w:iCs/>
          <w:i/>
        </w:rPr>
        <w:t xml:space="preserve">Clinical Trials</w:t>
      </w:r>
      <w:r>
        <w:t xml:space="preserve"> </w:t>
      </w:r>
      <w:r>
        <w:t xml:space="preserve">2004;</w:t>
      </w:r>
      <w:r>
        <w:rPr>
          <w:bCs/>
          <w:b/>
        </w:rPr>
        <w:t xml:space="preserve">1</w:t>
      </w:r>
      <w:r>
        <w:t xml:space="preserve">:368–76. doi:</w:t>
      </w:r>
      <w:hyperlink r:id="rId84">
        <w:r>
          <w:rPr>
            <w:rStyle w:val="Hyperlink"/>
          </w:rPr>
          <w:t xml:space="preserve">10.1191/1740774504cn032oa</w:t>
        </w:r>
      </w:hyperlink>
    </w:p>
    <w:bookmarkEnd w:id="85"/>
    <w:bookmarkStart w:id="87" w:name="ref-harel2012"/>
    <w:p>
      <w:pPr>
        <w:pStyle w:val="Bibliography"/>
      </w:pPr>
      <w:r>
        <w:t xml:space="preserve">21</w:t>
      </w:r>
      <w:r>
        <w:t xml:space="preserve"> </w:t>
      </w:r>
      <w:r>
        <w:t xml:space="preserve">	</w:t>
      </w:r>
      <w:r>
        <w:t xml:space="preserve">Harel O, Pellowski J, Kalichman S. Are We Missing the Importance of Missing Values in HIV Prevention Randomized Clinical Trials? Review and Recommendations.</w:t>
      </w:r>
      <w:r>
        <w:t xml:space="preserve"> </w:t>
      </w:r>
      <w:r>
        <w:rPr>
          <w:iCs/>
          <w:i/>
        </w:rPr>
        <w:t xml:space="preserve">AIDS and Behavior</w:t>
      </w:r>
      <w:r>
        <w:t xml:space="preserve"> </w:t>
      </w:r>
      <w:r>
        <w:t xml:space="preserve">2012;</w:t>
      </w:r>
      <w:r>
        <w:rPr>
          <w:bCs/>
          <w:b/>
        </w:rPr>
        <w:t xml:space="preserve">16</w:t>
      </w:r>
      <w:r>
        <w:t xml:space="preserve">:1382–93. doi:</w:t>
      </w:r>
      <w:hyperlink r:id="rId86">
        <w:r>
          <w:rPr>
            <w:rStyle w:val="Hyperlink"/>
          </w:rPr>
          <w:t xml:space="preserve">10.1007/s10461-011-0125-6</w:t>
        </w:r>
      </w:hyperlink>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w:t>
      </w:r>
      <w:r>
        <w:t xml:space="preserve">2023.</w:t>
      </w:r>
    </w:p>
    <w:bookmarkEnd w:id="88"/>
    <w:bookmarkStart w:id="90" w:name="ref-smdi"/>
    <w:p>
      <w:pPr>
        <w:pStyle w:val="Bibliography"/>
      </w:pPr>
      <w:r>
        <w:t xml:space="preserve">23</w:t>
      </w:r>
      <w:r>
        <w:t xml:space="preserve"> </w:t>
      </w:r>
      <w:r>
        <w:t xml:space="preserve">	</w:t>
      </w:r>
      <w:r>
        <w:t xml:space="preserve">Weberpals J. Smdi: Perform structural missing data investigations. Published Online First: 2023.</w:t>
      </w:r>
      <w:hyperlink r:id="rId89">
        <w:r>
          <w:rPr>
            <w:rStyle w:val="Hyperlink"/>
          </w:rPr>
          <w:t xml:space="preserve">https://CRAN.R-project.org/package=smdi</w:t>
        </w:r>
      </w:hyperlink>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r>
        <w:t xml:space="preserve"> </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w:t>
      </w:r>
      <w:r>
        <w:rPr>
          <w:bCs/>
          <w:b/>
        </w:rPr>
        <w:t xml:space="preserve">105</w:t>
      </w:r>
      <w:r>
        <w:t xml:space="preserve">. doi:</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 Using set visualisation to find and explain patterns of missing values: a case study with NHS hospital episode statistics data.</w:t>
      </w:r>
      <w:r>
        <w:t xml:space="preserve"> </w:t>
      </w:r>
      <w:r>
        <w:rPr>
          <w:iCs/>
          <w:i/>
        </w:rPr>
        <w:t xml:space="preserve">BMJ Open</w:t>
      </w:r>
      <w:r>
        <w:t xml:space="preserve"> </w:t>
      </w:r>
      <w:r>
        <w:t xml:space="preserve">2022;</w:t>
      </w:r>
      <w:r>
        <w:rPr>
          <w:bCs/>
          <w:b/>
        </w:rPr>
        <w:t xml:space="preserve">12</w:t>
      </w:r>
      <w:r>
        <w:t xml:space="preserve">:e064887. doi:</w:t>
      </w:r>
      <w:hyperlink r:id="rId94">
        <w:r>
          <w:rPr>
            <w:rStyle w:val="Hyperlink"/>
          </w:rPr>
          <w:t xml:space="preserve">10.1136/bmjopen-2022-064887</w:t>
        </w:r>
      </w:hyperlink>
    </w:p>
    <w:bookmarkEnd w:id="95"/>
    <w:bookmarkStart w:id="97" w:name="ref-schober2019"/>
    <w:p>
      <w:pPr>
        <w:pStyle w:val="Bibliography"/>
      </w:pPr>
      <w:r>
        <w:t xml:space="preserve">27</w:t>
      </w:r>
      <w:r>
        <w:t xml:space="preserve"> </w:t>
      </w:r>
      <w:r>
        <w:t xml:space="preserve">	</w:t>
      </w:r>
      <w:r>
        <w:t xml:space="preserve">Schober P, Vetter TR. Correct Baseline Comparisons in a Randomized Trial.</w:t>
      </w:r>
      <w:r>
        <w:t xml:space="preserve"> </w:t>
      </w:r>
      <w:r>
        <w:rPr>
          <w:iCs/>
          <w:i/>
        </w:rPr>
        <w:t xml:space="preserve">Anesthesia &amp; Analgesia</w:t>
      </w:r>
      <w:r>
        <w:t xml:space="preserve"> </w:t>
      </w:r>
      <w:r>
        <w:t xml:space="preserve">2019;</w:t>
      </w:r>
      <w:r>
        <w:rPr>
          <w:bCs/>
          <w:b/>
        </w:rPr>
        <w:t xml:space="preserve">129</w:t>
      </w:r>
      <w:r>
        <w:t xml:space="preserve">:639. doi:</w:t>
      </w:r>
      <w:hyperlink r:id="rId96">
        <w:r>
          <w:rPr>
            <w:rStyle w:val="Hyperlink"/>
          </w:rPr>
          <w:t xml:space="preserve">10.1213/ane.0000000000004211</w:t>
        </w:r>
      </w:hyperlink>
    </w:p>
    <w:bookmarkEnd w:id="97"/>
    <w:bookmarkStart w:id="99" w:name="ref-austin2011"/>
    <w:p>
      <w:pPr>
        <w:pStyle w:val="Bibliography"/>
      </w:pPr>
      <w:r>
        <w:t xml:space="preserve">28</w:t>
      </w:r>
      <w:r>
        <w:t xml:space="preserve"> </w:t>
      </w:r>
      <w:r>
        <w:t xml:space="preserve">	</w:t>
      </w:r>
      <w:r>
        <w:t xml:space="preserve">Austin PC. An Introduction to Propensity Score Methods for Reducing the Effects of Confounding in Observational Studies.</w:t>
      </w:r>
      <w:r>
        <w:t xml:space="preserve"> </w:t>
      </w:r>
      <w:r>
        <w:rPr>
          <w:iCs/>
          <w:i/>
        </w:rPr>
        <w:t xml:space="preserve">Multivariate Behavioral Research</w:t>
      </w:r>
      <w:r>
        <w:t xml:space="preserve"> </w:t>
      </w:r>
      <w:r>
        <w:t xml:space="preserve">2011;</w:t>
      </w:r>
      <w:r>
        <w:rPr>
          <w:bCs/>
          <w:b/>
        </w:rPr>
        <w:t xml:space="preserve">46</w:t>
      </w:r>
      <w:r>
        <w:t xml:space="preserve">:399–424. doi:</w:t>
      </w:r>
      <w:hyperlink r:id="rId98">
        <w:r>
          <w:rPr>
            <w:rStyle w:val="Hyperlink"/>
          </w:rPr>
          <w:t xml:space="preserve">10.1080/00273171.2011.568786</w:t>
        </w:r>
      </w:hyperlink>
    </w:p>
    <w:bookmarkEnd w:id="99"/>
    <w:bookmarkStart w:id="101" w:name="ref-tableone"/>
    <w:p>
      <w:pPr>
        <w:pStyle w:val="Bibliography"/>
      </w:pPr>
      <w:r>
        <w:t xml:space="preserve">29</w:t>
      </w:r>
      <w:r>
        <w:t xml:space="preserve"> </w:t>
      </w:r>
      <w:r>
        <w:t xml:space="preserve">	</w:t>
      </w:r>
      <w:r>
        <w:t xml:space="preserve">Yoshida K, Bartel A. Tableone: Create ’table 1’ to describe baseline characteristics with or without propensity score weights. Published Online First: 2022.</w:t>
      </w:r>
      <w:hyperlink r:id="rId100">
        <w:r>
          <w:rPr>
            <w:rStyle w:val="Hyperlink"/>
          </w:rPr>
          <w:t xml:space="preserve">https://CRAN.R-project.org/package=tableone</w:t>
        </w:r>
      </w:hyperlink>
    </w:p>
    <w:bookmarkEnd w:id="101"/>
    <w:bookmarkStart w:id="103" w:name="ref-ggplot2"/>
    <w:p>
      <w:pPr>
        <w:pStyle w:val="Bibliography"/>
      </w:pPr>
      <w:r>
        <w:t xml:space="preserve">30</w:t>
      </w:r>
      <w:r>
        <w:t xml:space="preserve"> </w:t>
      </w:r>
      <w:r>
        <w:t xml:space="preserve">	</w:t>
      </w:r>
      <w:r>
        <w:t xml:space="preserve">Wickham H. ggplot2: Elegant graphics for data analysis. Published Online First: 2016.</w:t>
      </w:r>
      <w:hyperlink r:id="rId102">
        <w:r>
          <w:rPr>
            <w:rStyle w:val="Hyperlink"/>
          </w:rPr>
          <w:t xml:space="preserve">https://ggplot2.tidyverse.org</w:t>
        </w:r>
      </w:hyperlink>
    </w:p>
    <w:bookmarkEnd w:id="103"/>
    <w:bookmarkStart w:id="105" w:name="ref-Hotelling"/>
    <w:p>
      <w:pPr>
        <w:pStyle w:val="Bibliography"/>
      </w:pPr>
      <w:r>
        <w:t xml:space="preserve">31</w:t>
      </w:r>
      <w:r>
        <w:t xml:space="preserve"> </w:t>
      </w:r>
      <w:r>
        <w:t xml:space="preserve">	</w:t>
      </w:r>
      <w:r>
        <w:t xml:space="preserve">Curran J, Hersh T. Hotelling: Hotelling’s t</w:t>
      </w:r>
      <w:r>
        <w:t xml:space="preserve">^</w:t>
      </w:r>
      <w:r>
        <w:t xml:space="preserve">2 test and variants. Published Online First: 2021.</w:t>
      </w:r>
      <w:hyperlink r:id="rId104">
        <w:r>
          <w:rPr>
            <w:rStyle w:val="Hyperlink"/>
          </w:rPr>
          <w:t xml:space="preserve">https://CRAN.R-project.org/package=Hotelling</w:t>
        </w:r>
      </w:hyperlink>
    </w:p>
    <w:bookmarkEnd w:id="105"/>
    <w:bookmarkStart w:id="107" w:name="ref-randomForest"/>
    <w:p>
      <w:pPr>
        <w:pStyle w:val="Bibliography"/>
      </w:pPr>
      <w:r>
        <w:t xml:space="preserve">32</w:t>
      </w:r>
      <w:r>
        <w:t xml:space="preserve"> </w:t>
      </w:r>
      <w:r>
        <w:t xml:space="preserve">	</w:t>
      </w:r>
      <w:r>
        <w:t xml:space="preserve">Liaw A, Wiener M. Classification and regression by randomForest. 2002;</w:t>
      </w:r>
      <w:r>
        <w:rPr>
          <w:bCs/>
          <w:b/>
        </w:rPr>
        <w:t xml:space="preserve">2</w:t>
      </w:r>
      <w:r>
        <w:t xml:space="preserve">:18–22.</w:t>
      </w:r>
      <w:hyperlink r:id="rId106">
        <w:r>
          <w:rPr>
            <w:rStyle w:val="Hyperlink"/>
          </w:rPr>
          <w:t xml:space="preserve">https://CRAN.R-project.org/doc/Rnews/</w:t>
        </w:r>
      </w:hyperlink>
    </w:p>
    <w:bookmarkEnd w:id="107"/>
    <w:bookmarkStart w:id="109" w:name="ref-stats"/>
    <w:p>
      <w:pPr>
        <w:pStyle w:val="Bibliography"/>
      </w:pPr>
      <w:r>
        <w:t xml:space="preserve">33</w:t>
      </w:r>
      <w:r>
        <w:t xml:space="preserve"> </w:t>
      </w:r>
      <w:r>
        <w:t xml:space="preserve">	</w:t>
      </w:r>
      <w:r>
        <w:t xml:space="preserve">R Core Team. R: A language and environment for statistical computing. Published Online First: 2022.</w:t>
      </w:r>
      <w:hyperlink r:id="rId108">
        <w:r>
          <w:rPr>
            <w:rStyle w:val="Hyperlink"/>
          </w:rPr>
          <w:t xml:space="preserve">https://www.R-project.org/</w:t>
        </w:r>
      </w:hyperlink>
    </w:p>
    <w:bookmarkEnd w:id="109"/>
    <w:bookmarkStart w:id="111" w:name="ref-survival"/>
    <w:p>
      <w:pPr>
        <w:pStyle w:val="Bibliography"/>
      </w:pPr>
      <w:r>
        <w:t xml:space="preserve">34</w:t>
      </w:r>
      <w:r>
        <w:t xml:space="preserve"> </w:t>
      </w:r>
      <w:r>
        <w:t xml:space="preserve">	</w:t>
      </w:r>
      <w:r>
        <w:t xml:space="preserve">Therneau TM. A package for survival analysis in r. Published Online First: 2023.</w:t>
      </w:r>
      <w:hyperlink r:id="rId110">
        <w:r>
          <w:rPr>
            <w:rStyle w:val="Hyperlink"/>
          </w:rPr>
          <w:t xml:space="preserve">https://CRAN.R-project.org/package=survival</w:t>
        </w:r>
      </w:hyperlink>
    </w:p>
    <w:bookmarkEnd w:id="111"/>
    <w:bookmarkEnd w:id="112"/>
    <w:p>
      <w:r>
        <w:br w:type="page"/>
      </w:r>
    </w:p>
    <w:p>
      <w:pPr>
        <w:sectPr/>
      </w:pPr>
    </w:p>
    <w:bookmarkStart w:id="113"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3"/>
    <w:bookmarkStart w:id="12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7" w:name="fig-workflow"/>
          <w:p>
            <w:pPr>
              <w:jc w:val="center"/>
            </w:pPr>
            <w:r>
              <w:drawing>
                <wp:inline>
                  <wp:extent cx="6537960" cy="3677602"/>
                  <wp:effectExtent b="0" l="0" r="0" t="0"/>
                  <wp:docPr descr="" title="" id="115" name="Picture"/>
                  <a:graphic>
                    <a:graphicData uri="http://schemas.openxmlformats.org/drawingml/2006/picture">
                      <pic:pic>
                        <pic:nvPicPr>
                          <pic:cNvPr descr="../figures/Figure_1_workflow.jpg" id="116" name="Picture"/>
                          <pic:cNvPicPr>
                            <a:picLocks noChangeArrowheads="1" noChangeAspect="1"/>
                          </pic:cNvPicPr>
                        </pic:nvPicPr>
                        <pic:blipFill>
                          <a:blip r:embed="rId114"/>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7"/>
        </w:tc>
      </w:tr>
    </w:tbl>
    <w:p>
      <w:r>
        <w:br w:type="page"/>
      </w:r>
    </w:p>
    <w:tbl>
      <w:tblPr>
        <w:tblStyle w:val="Table"/>
        <w:tblW w:type="pct" w:w="5000"/>
        <w:tblLook w:firstRow="0" w:lastRow="0" w:firstColumn="0" w:lastColumn="0" w:noHBand="0" w:noVBand="0" w:val="0000"/>
        <w:jc w:val="start"/>
      </w:tblPr>
      <w:tblGrid>
        <w:gridCol w:w="7920"/>
      </w:tblGrid>
      <w:tr>
        <w:tc>
          <w:tcPr/>
          <w:bookmarkStart w:id="121" w:name="fig-examples"/>
          <w:p>
            <w:pPr>
              <w:jc w:val="center"/>
            </w:pPr>
            <w:r>
              <w:drawing>
                <wp:inline>
                  <wp:extent cx="5943600" cy="3962400"/>
                  <wp:effectExtent b="0" l="0" r="0" t="0"/>
                  <wp:docPr descr="" title="" id="119" name="Picture"/>
                  <a:graphic>
                    <a:graphicData uri="http://schemas.openxmlformats.org/drawingml/2006/picture">
                      <pic:pic>
                        <pic:nvPicPr>
                          <pic:cNvPr descr="manuscript_files/figure-docx/fig-examples-1.png" id="120" name="Picture"/>
                          <pic:cNvPicPr>
                            <a:picLocks noChangeArrowheads="1" noChangeAspect="1"/>
                          </pic:cNvPicPr>
                        </pic:nvPicPr>
                        <pic:blipFill>
                          <a:blip r:embed="rId118"/>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1"/>
        </w:tc>
      </w:tr>
    </w:tbl>
    <w:p>
      <w:r>
        <w:br w:type="page"/>
      </w:r>
    </w:p>
    <w:tbl>
      <w:tblPr>
        <w:tblStyle w:val="Table"/>
        <w:tblW w:type="pct" w:w="5000"/>
        <w:tblLook w:firstRow="0" w:lastRow="0" w:firstColumn="0" w:lastColumn="0" w:noHBand="0" w:noVBand="0" w:val="0000"/>
        <w:jc w:val="start"/>
      </w:tblPr>
      <w:tblGrid>
        <w:gridCol w:w="7920"/>
      </w:tblGrid>
      <w:tr>
        <w:tc>
          <w:tcPr/>
          <w:bookmarkStart w:id="125" w:name="fig-results"/>
          <w:p>
            <w:pPr>
              <w:jc w:val="center"/>
            </w:pPr>
            <w:r>
              <w:drawing>
                <wp:inline>
                  <wp:extent cx="5943600" cy="2698134"/>
                  <wp:effectExtent b="0" l="0" r="0" t="0"/>
                  <wp:docPr descr="" title="" id="123" name="Picture"/>
                  <a:graphic>
                    <a:graphicData uri="http://schemas.openxmlformats.org/drawingml/2006/picture">
                      <pic:pic>
                        <pic:nvPicPr>
                          <pic:cNvPr descr="../figures/Figure_3_results.jpg" id="124" name="Picture"/>
                          <pic:cNvPicPr>
                            <a:picLocks noChangeArrowheads="1" noChangeAspect="1"/>
                          </pic:cNvPicPr>
                        </pic:nvPicPr>
                        <pic:blipFill>
                          <a:blip r:embed="rId122"/>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5"/>
        </w:tc>
      </w:tr>
    </w:tbl>
    <w:p>
      <w:pPr>
        <w:sectPr>
          <w:pgSz w:h="11906" w:w="16838" w:orient="landscape"/>
        </w:sectPr>
      </w:pPr>
    </w:p>
    <w:bookmarkEnd w:id="126"/>
    <w:bookmarkEnd w:id="127"/>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4" Target="media/rId114.jpg" /><Relationship Type="http://schemas.openxmlformats.org/officeDocument/2006/relationships/image" Id="rId122" Target="media/rId122.jpg" /><Relationship Type="http://schemas.openxmlformats.org/officeDocument/2006/relationships/image" Id="rId26" Target="media/rId26.png" /><Relationship Type="http://schemas.openxmlformats.org/officeDocument/2006/relationships/image" Id="rId118" Target="media/rId118.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24"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2023-08-29T16:49:06Z</dcterms:created>
  <dcterms:modified xsi:type="dcterms:W3CDTF">2023-08-29T16:49:06Z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