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presented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background"/>
    <w:p>
      <w:pPr>
        <w:pStyle w:val="Heading1"/>
      </w:pPr>
      <w:r>
        <w:t xml:space="preserve">Background</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These methods comprise standard procedures such as comparing distributions of baseline characteristics and outcomes between patients with and without the partially observed covariate(s)</w:t>
      </w:r>
      <w:r>
        <w:t xml:space="preserve"> </w:t>
      </w:r>
      <w:r>
        <w:t xml:space="preserve">[10–13]</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[14]</w:t>
      </w:r>
      <w:r>
        <w:t xml:space="preserve"> </w:t>
      </w:r>
      <w:r>
        <w:t xml:space="preserve">and guided by directed acyclic graphs</w:t>
      </w:r>
      <w:r>
        <w:t xml:space="preserve"> </w:t>
      </w:r>
      <w:r>
        <w:t xml:space="preserve">[15,16]</w:t>
      </w:r>
      <w:r>
        <w:t xml:space="preserve"> </w:t>
      </w:r>
      <w:r>
        <w:t xml:space="preserve">or M-graphs</w:t>
      </w:r>
      <w:r>
        <w:t xml:space="preserve"> </w:t>
      </w:r>
      <w:r>
        <w:t xml:space="preserve">[17]</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w:t>
      </w:r>
      <w:r>
        <w:t xml:space="preserve"> </w:t>
      </w:r>
      <w:r>
        <w:t xml:space="preserve">[18–20]</w:t>
      </w:r>
      <w:r>
        <w:t xml:space="preserve">.</w:t>
      </w:r>
    </w:p>
    <w:p>
      <w:pPr>
        <w:pStyle w:val="BodyText"/>
      </w:pPr>
      <w:r>
        <w:t xml:space="preserve">To overcome these shortcomings, we</w:t>
      </w:r>
      <w:r>
        <w:t xml:space="preserve"> </w:t>
      </w:r>
      <w:r>
        <w:t xml:space="preserve">[21]</w:t>
      </w:r>
      <w:r>
        <w:t xml:space="preserve"> </w:t>
      </w:r>
      <w:r>
        <w:t xml:space="preserve">have recently developed and evaluated a principled approach combining a range of missing data diagnostics in an US EHR-claims database linkage</w:t>
      </w:r>
      <w:r>
        <w:t xml:space="preserve"> </w:t>
      </w:r>
      <w:r>
        <w:t xml:space="preserve">[22]</w:t>
      </w:r>
      <w:r>
        <w:t xml:space="preserve">. The results of this study revealed that the combination of these diagnostics characterized simulated missing data mechanisms well and provided helpful insights for the appropriate choice of analytic methods to handle the partially observed confounder data (e.g., missing data imputation).</w:t>
      </w:r>
    </w:p>
    <w:p>
      <w:pPr>
        <w:pStyle w:val="BodyText"/>
      </w:pPr>
      <w:r>
        <w:t xml:space="preserve">To streamline and ease the implementation of these routine missing data diagnostics for confounder data in RWE studies, we here present and demonstrate the use of the</w:t>
      </w:r>
      <w:r>
        <w:t xml:space="preserve"> </w:t>
      </w:r>
      <w:r>
        <w:rPr>
          <w:rStyle w:val="VerbatimChar"/>
        </w:rPr>
        <w:t xml:space="preserve">smdi</w:t>
      </w:r>
      <w:r>
        <w:t xml:space="preserve"> </w:t>
      </w:r>
      <w:r>
        <w:t xml:space="preserve">(structural missing data investigations) R package</w:t>
      </w:r>
      <w:r>
        <w:t xml:space="preserve"> </w:t>
      </w:r>
      <w:r>
        <w:t xml:space="preserve">[23]</w:t>
      </w:r>
      <w:r>
        <w:t xml:space="preserve">. To that end, we first provide some brief background on the theoretical assumptions that underlie the diagnostic functions of this package. We then give an overview of the implemented functions and demonstrate an end-to-end workflow application of the package with a hypothetical RWE study using simulated oncology EHR dataset that comes bundled with the package.</w:t>
      </w:r>
    </w:p>
    <w:p>
      <w:r>
        <w:br w:type="page"/>
      </w:r>
    </w:p>
    <w:bookmarkEnd w:id="25"/>
    <w:bookmarkStart w:id="28" w:name="methods"/>
    <w:p>
      <w:pPr>
        <w:pStyle w:val="Heading1"/>
      </w:pPr>
      <w:r>
        <w:t xml:space="preserve">Methods</w:t>
      </w:r>
    </w:p>
    <w:bookmarkStart w:id="26" w:name="problem-formalization"/>
    <w:p>
      <w:pPr>
        <w:pStyle w:val="Heading2"/>
      </w:pPr>
      <w:r>
        <w:t xml:space="preserve">Problem formalization</w:t>
      </w:r>
    </w:p>
    <w:p>
      <w:pPr>
        <w:pStyle w:val="FirstParagraph"/>
      </w:pPr>
      <w:r>
        <w:t xml:space="preserve">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neccessary time points</w:t>
      </w:r>
      <w:r>
        <w:t xml:space="preserve"> </w:t>
      </w:r>
      <w:r>
        <w:t xml:space="preserve">[24]</w:t>
      </w:r>
      <w:r>
        <w:t xml:space="preserve">. If the underlying mechanism for the missingness of such covariates is informative towards the outcome under study, e.g., patients who have a certain biomarker measured have a significantly increased risk if experiencing the outcome, this can lead to bias in the resulting effect estimates for the studied treatments under common missing data approaches like complete case analysis or imputation</w:t>
      </w:r>
      <w:r>
        <w:t xml:space="preserve"> </w:t>
      </w:r>
      <w:r>
        <w:t xml:space="preserve">[6]</w:t>
      </w:r>
      <w:r>
        <w:t xml:space="preserve">. Hence, it is of utmost importance to investigate the potential patterns and mechanisms to know if assumptions for specific missing data approaches hold</w:t>
      </w:r>
      <w:r>
        <w:t xml:space="preserve"> </w:t>
      </w:r>
      <w:r>
        <w:t xml:space="preserve">[25,26]</w:t>
      </w:r>
      <w:r>
        <w:t xml:space="preserve">.</w:t>
      </w:r>
    </w:p>
    <w:bookmarkEnd w:id="26"/>
    <w:bookmarkStart w:id="27" w:name="theoretical-background"/>
    <w:p>
      <w:pPr>
        <w:pStyle w:val="Heading2"/>
      </w:pPr>
      <w:r>
        <w:t xml:space="preserve">Theoretical background</w:t>
      </w:r>
    </w:p>
    <w:p>
      <w:pPr>
        <w:pStyle w:val="FirstParagraph"/>
      </w:pPr>
      <w:r>
        <w:t xml:space="preserve">In our previous work</w:t>
      </w:r>
      <w:r>
        <w:t xml:space="preserve"> </w:t>
      </w:r>
      <w:r>
        <w:t xml:space="preserve">[22]</w:t>
      </w:r>
      <w:r>
        <w:t xml:space="preserve"> </w:t>
      </w:r>
      <w:r>
        <w:t xml:space="preserve">and for the purpose of the</w:t>
      </w:r>
      <w:r>
        <w:t xml:space="preserve"> </w:t>
      </w:r>
      <w:r>
        <w:rPr>
          <w:rStyle w:val="VerbatimChar"/>
        </w:rPr>
        <w:t xml:space="preserve">smdi</w:t>
      </w:r>
      <w:r>
        <w:t xml:space="preserve"> </w:t>
      </w:r>
      <w:r>
        <w:t xml:space="preserve">R package, we categorize the implemented principled missing data investigations into three groups of diagnostics, which will be discussed in this section</w:t>
      </w:r>
      <w:r>
        <w:t xml:space="preserve"> </w:t>
      </w:r>
      <w:r>
        <w:rPr>
          <w:bCs/>
          <w:b/>
        </w:rPr>
        <w:t xml:space="preserve">?@tbl-overview</w:t>
      </w:r>
    </w:p>
    <w:p>
      <w:pPr>
        <w:pStyle w:val="BodyText"/>
      </w:pPr>
      <w:r>
        <w:t xml:space="preserve">Functions overview</w:t>
      </w:r>
    </w:p>
    <w:p>
      <w:pPr>
        <w:pStyle w:val="BodyText"/>
      </w:pPr>
      <w:r>
        <w:t xml:space="preserve">….</w:t>
      </w:r>
    </w:p>
    <w:p>
      <w:pPr>
        <w:pStyle w:val="BodyText"/>
      </w:pPr>
      <w:r>
        <w:t xml:space="preserve">Data generation for hypothetical study</w:t>
      </w:r>
    </w:p>
    <w:p>
      <w:pPr>
        <w:pStyle w:val="BodyText"/>
      </w:pPr>
      <w:r>
        <w:t xml:space="preserve">….</w:t>
      </w:r>
    </w:p>
    <w:p>
      <w:r>
        <w:br w:type="page"/>
      </w:r>
    </w:p>
    <w:bookmarkEnd w:id="27"/>
    <w:bookmarkEnd w:id="28"/>
    <w:bookmarkStart w:id="29" w:name="results"/>
    <w:p>
      <w:pPr>
        <w:pStyle w:val="Heading1"/>
      </w:pPr>
      <w:r>
        <w:t xml:space="preserve">Results</w:t>
      </w:r>
    </w:p>
    <w:p>
      <w:r>
        <w:br w:type="page"/>
      </w:r>
    </w:p>
    <w:bookmarkEnd w:id="29"/>
    <w:bookmarkStart w:id="30" w:name="discussion"/>
    <w:p>
      <w:pPr>
        <w:pStyle w:val="Heading1"/>
      </w:pPr>
      <w:r>
        <w:t xml:space="preserve">Discussion</w:t>
      </w:r>
    </w:p>
    <w:p>
      <w:r>
        <w:br w:type="page"/>
      </w:r>
    </w:p>
    <w:bookmarkEnd w:id="30"/>
    <w:bookmarkStart w:id="82" w:name="references"/>
    <w:p>
      <w:pPr>
        <w:pStyle w:val="Heading1"/>
      </w:pPr>
      <w:r>
        <w:t xml:space="preserve">References</w:t>
      </w:r>
    </w:p>
    <w:bookmarkStart w:id="79" w:name="refs"/>
    <w:bookmarkStart w:id="32"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31">
        <w:r>
          <w:rPr>
            <w:rStyle w:val="Hyperlink"/>
          </w:rPr>
          <w:t xml:space="preserve">https://www.fda.gov/downloads/ScienceResearch/SpecialTopics/RealWorldEvidence/UCM627769.pdf</w:t>
        </w:r>
      </w:hyperlink>
      <w:r>
        <w:t xml:space="preserve">.</w:t>
      </w:r>
    </w:p>
    <w:bookmarkEnd w:id="32"/>
    <w:bookmarkStart w:id="34"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33">
        <w:r>
          <w:rPr>
            <w:rStyle w:val="Hyperlink"/>
          </w:rPr>
          <w:t xml:space="preserve">10.1038/s41746-021-00542-0</w:t>
        </w:r>
      </w:hyperlink>
      <w:r>
        <w:t xml:space="preserve">.</w:t>
      </w:r>
    </w:p>
    <w:bookmarkEnd w:id="34"/>
    <w:bookmarkStart w:id="36"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35">
        <w:r>
          <w:rPr>
            <w:rStyle w:val="Hyperlink"/>
          </w:rPr>
          <w:t xml:space="preserve">10.1016/j.jval.2022.09.2421</w:t>
        </w:r>
      </w:hyperlink>
      <w:r>
        <w:t xml:space="preserve">.</w:t>
      </w:r>
    </w:p>
    <w:bookmarkEnd w:id="36"/>
    <w:bookmarkStart w:id="38"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37">
        <w:r>
          <w:rPr>
            <w:rStyle w:val="Hyperlink"/>
          </w:rPr>
          <w:t xml:space="preserve">10.1016/j.jclinepi.2004.11.029</w:t>
        </w:r>
      </w:hyperlink>
      <w:r>
        <w:t xml:space="preserve">.</w:t>
      </w:r>
    </w:p>
    <w:bookmarkEnd w:id="38"/>
    <w:bookmarkStart w:id="40"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39">
        <w:r>
          <w:rPr>
            <w:rStyle w:val="Hyperlink"/>
          </w:rPr>
          <w:t xml:space="preserve">10.1186/s12955-019-1181-2</w:t>
        </w:r>
      </w:hyperlink>
      <w:r>
        <w:t xml:space="preserve">.</w:t>
      </w:r>
    </w:p>
    <w:bookmarkEnd w:id="40"/>
    <w:bookmarkStart w:id="42"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41">
        <w:r>
          <w:rPr>
            <w:rStyle w:val="Hyperlink"/>
          </w:rPr>
          <w:t xml:space="preserve">10.1530/eje-20-0732</w:t>
        </w:r>
      </w:hyperlink>
      <w:r>
        <w:t xml:space="preserve">.</w:t>
      </w:r>
    </w:p>
    <w:bookmarkEnd w:id="42"/>
    <w:bookmarkStart w:id="43" w:name="ref-vanbuuren2018"/>
    <w:p>
      <w:pPr>
        <w:pStyle w:val="Bibliography"/>
      </w:pPr>
      <w:r>
        <w:t xml:space="preserve">[7]</w:t>
      </w:r>
      <w:r>
        <w:t xml:space="preserve"> </w:t>
      </w:r>
      <w:r>
        <w:t xml:space="preserve">	</w:t>
      </w:r>
      <w:r>
        <w:t xml:space="preserve">S. Van Buuren, Flexible imputation of missing data, CRC press, 2018.</w:t>
      </w:r>
    </w:p>
    <w:bookmarkEnd w:id="43"/>
    <w:bookmarkStart w:id="45" w:name="ref-rubin1976"/>
    <w:p>
      <w:pPr>
        <w:pStyle w:val="Bibliography"/>
      </w:pPr>
      <w:r>
        <w:t xml:space="preserve">[8]</w:t>
      </w:r>
      <w:r>
        <w:t xml:space="preserve"> </w:t>
      </w:r>
      <w:r>
        <w:t xml:space="preserve">	</w:t>
      </w:r>
      <w:r>
        <w:t xml:space="preserve">D.B. RUBIN, Inference and missing data, Biometrika. 63 (1976) 581–592. https://doi.org/</w:t>
      </w:r>
      <w:hyperlink r:id="rId44">
        <w:r>
          <w:rPr>
            <w:rStyle w:val="Hyperlink"/>
          </w:rPr>
          <w:t xml:space="preserve">10.1093/biomet/63.3.581</w:t>
        </w:r>
      </w:hyperlink>
      <w:r>
        <w:t xml:space="preserve">.</w:t>
      </w:r>
    </w:p>
    <w:bookmarkEnd w:id="45"/>
    <w:bookmarkStart w:id="46" w:name="ref-little2019"/>
    <w:p>
      <w:pPr>
        <w:pStyle w:val="Bibliography"/>
      </w:pPr>
      <w:r>
        <w:t xml:space="preserve">[9]</w:t>
      </w:r>
      <w:r>
        <w:t xml:space="preserve"> </w:t>
      </w:r>
      <w:r>
        <w:t xml:space="preserve">	</w:t>
      </w:r>
      <w:r>
        <w:t xml:space="preserve">R.J. Little, D.B. Rubin, Statistical analysis with missing data, John Wiley &amp; Sons, 2019.</w:t>
      </w:r>
    </w:p>
    <w:bookmarkEnd w:id="46"/>
    <w:bookmarkStart w:id="48"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47">
        <w:r>
          <w:rPr>
            <w:rStyle w:val="Hyperlink"/>
          </w:rPr>
          <w:t xml:space="preserve">10.1016/j.jclinepi.2021.01.008</w:t>
        </w:r>
      </w:hyperlink>
      <w:r>
        <w:t xml:space="preserve">.</w:t>
      </w:r>
    </w:p>
    <w:bookmarkEnd w:id="48"/>
    <w:bookmarkStart w:id="49" w:name="ref-sondhi2023"/>
    <w:p>
      <w:pPr>
        <w:pStyle w:val="Bibliography"/>
      </w:pPr>
      <w:r>
        <w:t xml:space="preserve">[11]</w:t>
      </w:r>
      <w:r>
        <w:t xml:space="preserve"> </w:t>
      </w:r>
      <w:r>
        <w:t xml:space="preserve">	</w:t>
      </w:r>
      <w:r>
        <w:t xml:space="preserve">A. Sondhi, J. Weberpals, P. Yerram, C. Jiang, M.D. Taylor, M. Samant, S. Cherng, A systematic approach towards missing lab data in electronic health records: A case study in non-small cell lung cancer and multiple myeloma. (accepted), CPT Pharmacometrics Syst Pharmacol. (2023).</w:t>
      </w:r>
    </w:p>
    <w:bookmarkEnd w:id="49"/>
    <w:bookmarkStart w:id="51"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50">
        <w:r>
          <w:rPr>
            <w:rStyle w:val="Hyperlink"/>
          </w:rPr>
          <w:t xml:space="preserve">10.1214/aoms/1177732979</w:t>
        </w:r>
      </w:hyperlink>
      <w:r>
        <w:t xml:space="preserve">.</w:t>
      </w:r>
    </w:p>
    <w:bookmarkEnd w:id="51"/>
    <w:bookmarkStart w:id="53"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52">
        <w:r>
          <w:rPr>
            <w:rStyle w:val="Hyperlink"/>
          </w:rPr>
          <w:t xml:space="preserve">10.1080/01621459.1988.10478722</w:t>
        </w:r>
      </w:hyperlink>
      <w:r>
        <w:t xml:space="preserve">.</w:t>
      </w:r>
    </w:p>
    <w:bookmarkEnd w:id="53"/>
    <w:bookmarkStart w:id="55" w:name="ref-madley-dowd2019"/>
    <w:p>
      <w:pPr>
        <w:pStyle w:val="Bibliography"/>
      </w:pPr>
      <w:r>
        <w:t xml:space="preserve">[14]</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54">
        <w:r>
          <w:rPr>
            <w:rStyle w:val="Hyperlink"/>
          </w:rPr>
          <w:t xml:space="preserve">10.1016/j.jclinepi.2019.02.016</w:t>
        </w:r>
      </w:hyperlink>
      <w:r>
        <w:t xml:space="preserve">.</w:t>
      </w:r>
    </w:p>
    <w:bookmarkEnd w:id="55"/>
    <w:bookmarkStart w:id="57" w:name="ref-Lee2023"/>
    <w:p>
      <w:pPr>
        <w:pStyle w:val="Bibliography"/>
      </w:pPr>
      <w:r>
        <w:t xml:space="preserve">[15]</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56">
        <w:r>
          <w:rPr>
            <w:rStyle w:val="Hyperlink"/>
          </w:rPr>
          <w:t xml:space="preserve">10.1093/ije/dyad008</w:t>
        </w:r>
      </w:hyperlink>
      <w:r>
        <w:t xml:space="preserve">.</w:t>
      </w:r>
    </w:p>
    <w:bookmarkEnd w:id="57"/>
    <w:bookmarkStart w:id="59" w:name="ref-Moreno-Betancur2018"/>
    <w:p>
      <w:pPr>
        <w:pStyle w:val="Bibliography"/>
      </w:pPr>
      <w:r>
        <w:t xml:space="preserve">[16]</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58">
        <w:r>
          <w:rPr>
            <w:rStyle w:val="Hyperlink"/>
          </w:rPr>
          <w:t xml:space="preserve">10.1093/aje/kwy173</w:t>
        </w:r>
      </w:hyperlink>
      <w:r>
        <w:t xml:space="preserve">.</w:t>
      </w:r>
    </w:p>
    <w:bookmarkEnd w:id="59"/>
    <w:bookmarkStart w:id="61" w:name="ref-mohan2021"/>
    <w:p>
      <w:pPr>
        <w:pStyle w:val="Bibliography"/>
      </w:pPr>
      <w:r>
        <w:t xml:space="preserve">[17]</w:t>
      </w:r>
      <w:r>
        <w:t xml:space="preserve"> </w:t>
      </w:r>
      <w:r>
        <w:t xml:space="preserve">	</w:t>
      </w:r>
      <w:r>
        <w:t xml:space="preserve">K. Mohan, J. Pearl, Graphical Models for Processing Missing Data, Journal of the American Statistical Association. 116 (2021) 1023–1037. https://doi.org/</w:t>
      </w:r>
      <w:hyperlink r:id="rId60">
        <w:r>
          <w:rPr>
            <w:rStyle w:val="Hyperlink"/>
          </w:rPr>
          <w:t xml:space="preserve">10.1080/01621459.2021.1874961</w:t>
        </w:r>
      </w:hyperlink>
      <w:r>
        <w:t xml:space="preserve">.</w:t>
      </w:r>
    </w:p>
    <w:bookmarkEnd w:id="61"/>
    <w:bookmarkStart w:id="63" w:name="ref-carroll2020"/>
    <w:p>
      <w:pPr>
        <w:pStyle w:val="Bibliography"/>
      </w:pPr>
      <w:r>
        <w:t xml:space="preserve">[18]</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62">
        <w:r>
          <w:rPr>
            <w:rStyle w:val="Hyperlink"/>
          </w:rPr>
          <w:t xml:space="preserve">10.1186/s12874-020-01018-7</w:t>
        </w:r>
      </w:hyperlink>
      <w:r>
        <w:t xml:space="preserve">.</w:t>
      </w:r>
    </w:p>
    <w:bookmarkEnd w:id="63"/>
    <w:bookmarkStart w:id="65" w:name="ref-wood2004"/>
    <w:p>
      <w:pPr>
        <w:pStyle w:val="Bibliography"/>
      </w:pPr>
      <w:r>
        <w:t xml:space="preserve">[19]</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64">
        <w:r>
          <w:rPr>
            <w:rStyle w:val="Hyperlink"/>
          </w:rPr>
          <w:t xml:space="preserve">10.1191/1740774504cn032oa</w:t>
        </w:r>
      </w:hyperlink>
      <w:r>
        <w:t xml:space="preserve">.</w:t>
      </w:r>
    </w:p>
    <w:bookmarkEnd w:id="65"/>
    <w:bookmarkStart w:id="67" w:name="ref-harel2012"/>
    <w:p>
      <w:pPr>
        <w:pStyle w:val="Bibliography"/>
      </w:pPr>
      <w:r>
        <w:t xml:space="preserve">[20]</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66">
        <w:r>
          <w:rPr>
            <w:rStyle w:val="Hyperlink"/>
          </w:rPr>
          <w:t xml:space="preserve">10.1007/s10461-011-0125-6</w:t>
        </w:r>
      </w:hyperlink>
      <w:r>
        <w:t xml:space="preserve">.</w:t>
      </w:r>
    </w:p>
    <w:bookmarkEnd w:id="67"/>
    <w:bookmarkStart w:id="69" w:name="ref-SentinelCI3"/>
    <w:p>
      <w:pPr>
        <w:pStyle w:val="Bibliography"/>
      </w:pPr>
      <w:r>
        <w:t xml:space="preserve">[21]</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68">
        <w:r>
          <w:rPr>
            <w:rStyle w:val="Hyperlink"/>
          </w:rPr>
          <w:t xml:space="preserve">https://www.sentinelinitiative.org/methods-data-tools/methods/approaches-handling-partially-observed-confounder-data-electronic-health</w:t>
        </w:r>
      </w:hyperlink>
      <w:r>
        <w:t xml:space="preserve">.</w:t>
      </w:r>
    </w:p>
    <w:bookmarkEnd w:id="69"/>
    <w:bookmarkStart w:id="70" w:name="ref-weberpals2023"/>
    <w:p>
      <w:pPr>
        <w:pStyle w:val="Bibliography"/>
      </w:pPr>
      <w:r>
        <w:t xml:space="preserve">[22]</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70"/>
    <w:bookmarkStart w:id="72" w:name="ref-smdi"/>
    <w:p>
      <w:pPr>
        <w:pStyle w:val="Bibliography"/>
      </w:pPr>
      <w:r>
        <w:t xml:space="preserve">[23]</w:t>
      </w:r>
      <w:r>
        <w:t xml:space="preserve"> </w:t>
      </w:r>
      <w:r>
        <w:t xml:space="preserve">	</w:t>
      </w:r>
      <w:r>
        <w:t xml:space="preserve">J. Weberpals, Smdi: Perform structural missing data investigations, (2023).</w:t>
      </w:r>
      <w:r>
        <w:t xml:space="preserve"> </w:t>
      </w:r>
      <w:hyperlink r:id="rId71">
        <w:r>
          <w:rPr>
            <w:rStyle w:val="Hyperlink"/>
          </w:rPr>
          <w:t xml:space="preserve">https://CRAN.R-project.org/package=smdi</w:t>
        </w:r>
      </w:hyperlink>
      <w:r>
        <w:t xml:space="preserve">.</w:t>
      </w:r>
    </w:p>
    <w:bookmarkEnd w:id="72"/>
    <w:bookmarkStart w:id="74" w:name="ref-toh2012a"/>
    <w:p>
      <w:pPr>
        <w:pStyle w:val="Bibliography"/>
      </w:pPr>
      <w:r>
        <w:t xml:space="preserve">[24]</w:t>
      </w:r>
      <w:r>
        <w:t xml:space="preserve"> </w:t>
      </w:r>
      <w:r>
        <w:t xml:space="preserve">	</w:t>
      </w:r>
      <w:r>
        <w:t xml:space="preserve">S. Toh, L.A. García Rodríguez, M.A. Hernán, Analyzing partially missing confounder information in comparative effectiveness and safety research of therapeutics, Pharmacoepidemiology and Drug Safety. 21 (2012) 13–20. https://doi.org/</w:t>
      </w:r>
      <w:hyperlink r:id="rId73">
        <w:r>
          <w:rPr>
            <w:rStyle w:val="Hyperlink"/>
          </w:rPr>
          <w:t xml:space="preserve">10.1002/pds.3248</w:t>
        </w:r>
      </w:hyperlink>
      <w:r>
        <w:t xml:space="preserve">.</w:t>
      </w:r>
    </w:p>
    <w:bookmarkEnd w:id="74"/>
    <w:bookmarkStart w:id="76" w:name="ref-pedersen2017"/>
    <w:p>
      <w:pPr>
        <w:pStyle w:val="Bibliography"/>
      </w:pPr>
      <w:r>
        <w:t xml:space="preserve">[25]</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75">
        <w:r>
          <w:rPr>
            <w:rStyle w:val="Hyperlink"/>
          </w:rPr>
          <w:t xml:space="preserve">10.2147/clep.s129785</w:t>
        </w:r>
      </w:hyperlink>
      <w:r>
        <w:t xml:space="preserve">.</w:t>
      </w:r>
    </w:p>
    <w:bookmarkEnd w:id="76"/>
    <w:bookmarkStart w:id="78" w:name="ref-lee2013"/>
    <w:p>
      <w:pPr>
        <w:pStyle w:val="Bibliography"/>
      </w:pPr>
      <w:r>
        <w:t xml:space="preserve">[26]</w:t>
      </w:r>
      <w:r>
        <w:t xml:space="preserve"> </w:t>
      </w:r>
      <w:r>
        <w:t xml:space="preserve">	</w:t>
      </w:r>
      <w:r>
        <w:t xml:space="preserve">K.J. Lee, J.A. Simpson, Introduction to multiple imputation for dealing with missing data, Respirology. 19 (2013) 162–167. https://doi.org/</w:t>
      </w:r>
      <w:hyperlink r:id="rId77">
        <w:r>
          <w:rPr>
            <w:rStyle w:val="Hyperlink"/>
          </w:rPr>
          <w:t xml:space="preserve">10.1111/resp.12226</w:t>
        </w:r>
      </w:hyperlink>
      <w:r>
        <w:t xml:space="preserve">.</w:t>
      </w:r>
    </w:p>
    <w:bookmarkEnd w:id="78"/>
    <w:bookmarkEnd w:id="79"/>
    <w:p>
      <w:r>
        <w:br w:type="page"/>
      </w:r>
    </w:p>
    <w:p>
      <w:pPr>
        <w:sectPr/>
      </w:pPr>
    </w:p>
    <w:bookmarkStart w:id="81" w:name="tables"/>
    <w:p>
      <w:pPr>
        <w:pStyle w:val="Heading1"/>
      </w:pPr>
      <w:r>
        <w:t xml:space="preserve">Tables</w:t>
      </w:r>
    </w:p>
    <w:bookmarkStart w:id="80" w:name="tbl-overview"/>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Overview of the main functions of the smdi package.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T^2^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pPr>
        <w:pStyle w:val="FirstParagraph"/>
      </w:pPr>
      <w:r>
        <w:rPr>
          <w:bCs/>
          <w:b/>
        </w:rPr>
        <w:t xml:space="preserve">?(caption)</w:t>
      </w:r>
    </w:p>
    <w:bookmarkEnd w:id="80"/>
    <w:p>
      <w:pPr>
        <w:sectPr>
          <w:pgSz w:h="11906" w:w="16838" w:orient="landscape"/>
        </w:sectPr>
      </w:pPr>
    </w:p>
    <w:bookmarkEnd w:id="81"/>
    <w:p>
      <w:r>
        <w:br w:type="page"/>
      </w:r>
    </w:p>
    <w:bookmarkEnd w:id="82"/>
    <w:bookmarkStart w:id="83" w:name="figures"/>
    <w:p>
      <w:pPr>
        <w:pStyle w:val="Heading1"/>
      </w:pPr>
      <w:r>
        <w:t xml:space="preserve">Figures</w:t>
      </w:r>
    </w:p>
    <w:p>
      <w:r>
        <w:br w:type="page"/>
      </w:r>
    </w:p>
    <w:bookmarkEnd w:id="83"/>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71" Target="https://CRAN.R-project.org/package=smdi" TargetMode="External" /><Relationship Type="http://schemas.openxmlformats.org/officeDocument/2006/relationships/hyperlink" Id="rId73" Target="https://doi.org/10.1002/pds.3248" TargetMode="External" /><Relationship Type="http://schemas.openxmlformats.org/officeDocument/2006/relationships/hyperlink" Id="rId66" Target="https://doi.org/10.1007/s10461-011-0125-6" TargetMode="External" /><Relationship Type="http://schemas.openxmlformats.org/officeDocument/2006/relationships/hyperlink" Id="rId37" Target="https://doi.org/10.1016/j.jclinepi.2004.11.029" TargetMode="External" /><Relationship Type="http://schemas.openxmlformats.org/officeDocument/2006/relationships/hyperlink" Id="rId54" Target="https://doi.org/10.1016/j.jclinepi.2019.02.016" TargetMode="External" /><Relationship Type="http://schemas.openxmlformats.org/officeDocument/2006/relationships/hyperlink" Id="rId47" Target="https://doi.org/10.1016/j.jclinepi.2021.01.008" TargetMode="External" /><Relationship Type="http://schemas.openxmlformats.org/officeDocument/2006/relationships/hyperlink" Id="rId35" Target="https://doi.org/10.1016/j.jval.2022.09.2421" TargetMode="External" /><Relationship Type="http://schemas.openxmlformats.org/officeDocument/2006/relationships/hyperlink" Id="rId33" Target="https://doi.org/10.1038/s41746-021-00542-0" TargetMode="External" /><Relationship Type="http://schemas.openxmlformats.org/officeDocument/2006/relationships/hyperlink" Id="rId52" Target="https://doi.org/10.1080/01621459.1988.10478722" TargetMode="External" /><Relationship Type="http://schemas.openxmlformats.org/officeDocument/2006/relationships/hyperlink" Id="rId60" Target="https://doi.org/10.1080/01621459.2021.1874961" TargetMode="External" /><Relationship Type="http://schemas.openxmlformats.org/officeDocument/2006/relationships/hyperlink" Id="rId58" Target="https://doi.org/10.1093/aje/kwy173" TargetMode="External" /><Relationship Type="http://schemas.openxmlformats.org/officeDocument/2006/relationships/hyperlink" Id="rId44" Target="https://doi.org/10.1093/biomet/63.3.581" TargetMode="External" /><Relationship Type="http://schemas.openxmlformats.org/officeDocument/2006/relationships/hyperlink" Id="rId56" Target="https://doi.org/10.1093/ije/dyad008" TargetMode="External" /><Relationship Type="http://schemas.openxmlformats.org/officeDocument/2006/relationships/hyperlink" Id="rId77" Target="https://doi.org/10.1111/resp.12226" TargetMode="External" /><Relationship Type="http://schemas.openxmlformats.org/officeDocument/2006/relationships/hyperlink" Id="rId62" Target="https://doi.org/10.1186/s12874-020-01018-7" TargetMode="External" /><Relationship Type="http://schemas.openxmlformats.org/officeDocument/2006/relationships/hyperlink" Id="rId39" Target="https://doi.org/10.1186/s12955-019-1181-2" TargetMode="External" /><Relationship Type="http://schemas.openxmlformats.org/officeDocument/2006/relationships/hyperlink" Id="rId64" Target="https://doi.org/10.1191/1740774504cn032oa" TargetMode="External" /><Relationship Type="http://schemas.openxmlformats.org/officeDocument/2006/relationships/hyperlink" Id="rId50" Target="https://doi.org/10.1214/aoms/1177732979" TargetMode="External" /><Relationship Type="http://schemas.openxmlformats.org/officeDocument/2006/relationships/hyperlink" Id="rId41" Target="https://doi.org/10.1530/eje-20-0732" TargetMode="External" /><Relationship Type="http://schemas.openxmlformats.org/officeDocument/2006/relationships/hyperlink" Id="rId75" Target="https://doi.org/10.2147/clep.s129785"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31" Target="https://www.fda.gov/downloads/ScienceResearch/SpecialTopics/RealWorldEvidence/UCM627769.pdf" TargetMode="External" /><Relationship Type="http://schemas.openxmlformats.org/officeDocument/2006/relationships/hyperlink" Id="rId6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71" Target="https://CRAN.R-project.org/package=smdi" TargetMode="External" /><Relationship Type="http://schemas.openxmlformats.org/officeDocument/2006/relationships/hyperlink" Id="rId73" Target="https://doi.org/10.1002/pds.3248" TargetMode="External" /><Relationship Type="http://schemas.openxmlformats.org/officeDocument/2006/relationships/hyperlink" Id="rId66" Target="https://doi.org/10.1007/s10461-011-0125-6" TargetMode="External" /><Relationship Type="http://schemas.openxmlformats.org/officeDocument/2006/relationships/hyperlink" Id="rId37" Target="https://doi.org/10.1016/j.jclinepi.2004.11.029" TargetMode="External" /><Relationship Type="http://schemas.openxmlformats.org/officeDocument/2006/relationships/hyperlink" Id="rId54" Target="https://doi.org/10.1016/j.jclinepi.2019.02.016" TargetMode="External" /><Relationship Type="http://schemas.openxmlformats.org/officeDocument/2006/relationships/hyperlink" Id="rId47" Target="https://doi.org/10.1016/j.jclinepi.2021.01.008" TargetMode="External" /><Relationship Type="http://schemas.openxmlformats.org/officeDocument/2006/relationships/hyperlink" Id="rId35" Target="https://doi.org/10.1016/j.jval.2022.09.2421" TargetMode="External" /><Relationship Type="http://schemas.openxmlformats.org/officeDocument/2006/relationships/hyperlink" Id="rId33" Target="https://doi.org/10.1038/s41746-021-00542-0" TargetMode="External" /><Relationship Type="http://schemas.openxmlformats.org/officeDocument/2006/relationships/hyperlink" Id="rId52" Target="https://doi.org/10.1080/01621459.1988.10478722" TargetMode="External" /><Relationship Type="http://schemas.openxmlformats.org/officeDocument/2006/relationships/hyperlink" Id="rId60" Target="https://doi.org/10.1080/01621459.2021.1874961" TargetMode="External" /><Relationship Type="http://schemas.openxmlformats.org/officeDocument/2006/relationships/hyperlink" Id="rId58" Target="https://doi.org/10.1093/aje/kwy173" TargetMode="External" /><Relationship Type="http://schemas.openxmlformats.org/officeDocument/2006/relationships/hyperlink" Id="rId44" Target="https://doi.org/10.1093/biomet/63.3.581" TargetMode="External" /><Relationship Type="http://schemas.openxmlformats.org/officeDocument/2006/relationships/hyperlink" Id="rId56" Target="https://doi.org/10.1093/ije/dyad008" TargetMode="External" /><Relationship Type="http://schemas.openxmlformats.org/officeDocument/2006/relationships/hyperlink" Id="rId77" Target="https://doi.org/10.1111/resp.12226" TargetMode="External" /><Relationship Type="http://schemas.openxmlformats.org/officeDocument/2006/relationships/hyperlink" Id="rId62" Target="https://doi.org/10.1186/s12874-020-01018-7" TargetMode="External" /><Relationship Type="http://schemas.openxmlformats.org/officeDocument/2006/relationships/hyperlink" Id="rId39" Target="https://doi.org/10.1186/s12955-019-1181-2" TargetMode="External" /><Relationship Type="http://schemas.openxmlformats.org/officeDocument/2006/relationships/hyperlink" Id="rId64" Target="https://doi.org/10.1191/1740774504cn032oa" TargetMode="External" /><Relationship Type="http://schemas.openxmlformats.org/officeDocument/2006/relationships/hyperlink" Id="rId50" Target="https://doi.org/10.1214/aoms/1177732979" TargetMode="External" /><Relationship Type="http://schemas.openxmlformats.org/officeDocument/2006/relationships/hyperlink" Id="rId41" Target="https://doi.org/10.1530/eje-20-0732" TargetMode="External" /><Relationship Type="http://schemas.openxmlformats.org/officeDocument/2006/relationships/hyperlink" Id="rId75" Target="https://doi.org/10.2147/clep.s129785"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31" Target="https://www.fda.gov/downloads/ScienceResearch/SpecialTopics/RealWorldEvidence/UCM627769.pdf" TargetMode="External" /><Relationship Type="http://schemas.openxmlformats.org/officeDocument/2006/relationships/hyperlink" Id="rId68"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2023-07-19T21:20:43Z</dcterms:created>
  <dcterms:modified xsi:type="dcterms:W3CDTF">2023-07-19T21:20:43Z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bl-cap-location">
    <vt:lpwstr>top</vt:lpwstr>
  </property>
  <property fmtid="{D5CDD505-2E9C-101B-9397-08002B2CF9AE}" pid="12" name="toc-title">
    <vt:lpwstr>Table of contents</vt:lpwstr>
  </property>
</Properties>
</file>