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jpg" ContentType="image/jpeg"/>
  <Override PartName="/word/media/rId133.jpg" ContentType="image/jpeg"/>
  <Override PartName="/word/media/rId26.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RPh, PhD, Sudha R. Raman</w:t>
      </w:r>
      <w:r>
        <w:rPr>
          <w:vertAlign w:val="superscript"/>
        </w:rPr>
        <w:t xml:space="preserve">2</w:t>
      </w:r>
      <w:r>
        <w:t xml:space="preserve">, PhD, Pamela A. Shaw</w:t>
      </w:r>
      <w:r>
        <w:rPr>
          <w:vertAlign w:val="superscript"/>
        </w:rPr>
        <w:t xml:space="preserve">3</w:t>
      </w:r>
      <w:r>
        <w:t xml:space="preserve">, PhD, MS, Hana Lee</w:t>
      </w:r>
      <w:r>
        <w:rPr>
          <w:vertAlign w:val="superscript"/>
        </w:rPr>
        <w:t xml:space="preserve">4</w:t>
      </w:r>
      <w:r>
        <w:t xml:space="preserve">, PhD, Bradley G. Hammill</w:t>
      </w:r>
      <w:r>
        <w:rPr>
          <w:vertAlign w:val="superscript"/>
        </w:rPr>
        <w:t xml:space="preserve">2</w:t>
      </w:r>
      <w:r>
        <w:t xml:space="preserve">, DrPH, Sengwee Toh</w:t>
      </w:r>
      <w:r>
        <w:rPr>
          <w:vertAlign w:val="superscript"/>
        </w:rPr>
        <w:t xml:space="preserve">5</w:t>
      </w:r>
      <w:r>
        <w:t xml:space="preserve">, ScD, John G. Connolly</w:t>
      </w:r>
      <w:r>
        <w:rPr>
          <w:vertAlign w:val="superscript"/>
        </w:rPr>
        <w:t xml:space="preserve">5</w:t>
      </w:r>
      <w:r>
        <w:t xml:space="preserve">, ScD, Kimberly J. Dandreo</w:t>
      </w:r>
      <w:r>
        <w:rPr>
          <w:vertAlign w:val="superscript"/>
        </w:rPr>
        <w:t xml:space="preserve">5</w:t>
      </w:r>
      <w:r>
        <w:t xml:space="preserve">, MS, Fang Tian</w:t>
      </w:r>
      <w:r>
        <w:rPr>
          <w:vertAlign w:val="superscript"/>
        </w:rPr>
        <w:t xml:space="preserve">6</w:t>
      </w:r>
      <w:r>
        <w:t xml:space="preserve">, PhD, Wei Liu</w:t>
      </w:r>
      <w:r>
        <w:rPr>
          <w:vertAlign w:val="superscript"/>
        </w:rPr>
        <w:t xml:space="preserve">6</w:t>
      </w:r>
      <w:r>
        <w:t xml:space="preserve">, PhD, Jie Li</w:t>
      </w:r>
      <w:r>
        <w:rPr>
          <w:vertAlign w:val="superscript"/>
        </w:rPr>
        <w:t xml:space="preserve">6</w:t>
      </w:r>
      <w:r>
        <w:t xml:space="preserve">, PhD, José J. Hernández-Muñoz</w:t>
      </w:r>
      <w:r>
        <w:rPr>
          <w:vertAlign w:val="superscript"/>
        </w:rPr>
        <w:t xml:space="preserve">6</w:t>
      </w:r>
      <w:r>
        <w:t xml:space="preserve">, PhD, Robert J. Glynn</w:t>
      </w:r>
      <w:r>
        <w:rPr>
          <w:vertAlign w:val="superscript"/>
        </w:rPr>
        <w:t xml:space="preserve">1</w:t>
      </w:r>
      <w:r>
        <w:t xml:space="preserve">, PhD, ScD, Rishi J. Desai</w:t>
      </w:r>
      <w:r>
        <w:rPr>
          <w:vertAlign w:val="superscript"/>
        </w:rPr>
        <w:t xml:space="preserve">1</w:t>
      </w:r>
      <w:r>
        <w:t xml:space="preserve">, PhD</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2,522 words</w:t>
      </w:r>
    </w:p>
    <w:p>
      <w:pPr>
        <w:pStyle w:val="BodyText"/>
      </w:pPr>
      <w:r>
        <w:rPr>
          <w:bCs/>
          <w:b/>
          <w:u w:val="single"/>
        </w:rPr>
        <w:t xml:space="preserve">Tables:</w:t>
      </w:r>
      <w:r>
        <w:t xml:space="preserve"> </w:t>
      </w:r>
      <w:r>
        <w:t xml:space="preserve">2</w:t>
      </w:r>
    </w:p>
    <w:p>
      <w:pPr>
        <w:pStyle w:val="BodyText"/>
      </w:pPr>
      <w:r>
        <w:rPr>
          <w:bCs/>
          <w:b/>
          <w:u w:val="single"/>
        </w:rPr>
        <w:t xml:space="preserve">Figures:</w:t>
      </w:r>
      <w:r>
        <w:t xml:space="preserve"> </w:t>
      </w:r>
      <w:r>
        <w:t xml:space="preserve">3</w:t>
      </w:r>
    </w:p>
    <w:p>
      <w:pPr>
        <w:pStyle w:val="BodyText"/>
      </w:pPr>
      <w:r>
        <w:rPr>
          <w:bCs/>
          <w:b/>
          <w:u w:val="single"/>
        </w:rPr>
        <w:t xml:space="preserve">Supplementary material:</w:t>
      </w:r>
      <w:r>
        <w:t xml:space="preserve"> </w:t>
      </w:r>
      <w:r>
        <w:t xml:space="preserve">Supplementary Methods</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w:t>
      </w:r>
      <w:r>
        <w:t xml:space="preserve">or</w:t>
      </w:r>
      <w:r>
        <w:t xml:space="preserve"> </w:t>
      </w:r>
      <w:hyperlink r:id="rId23">
        <w:r>
          <w:rPr>
            <w:rStyle w:val="Hyperlink"/>
          </w:rPr>
          <w:t xml:space="preserve">https://github.com/janickweberpals/smdi-manuscript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(version 0.2.2 at time of manuscript submission) or from</w:t>
      </w:r>
      <w:r>
        <w:t xml:space="preserve"> </w:t>
      </w:r>
      <w:hyperlink r:id="rId24">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w:t>
      </w:r>
      <w:r>
        <w:t xml:space="preserve"> </w:t>
      </w:r>
      <w:r>
        <w:t xml:space="preserve">[1]</w:t>
      </w:r>
      <w:r>
        <w:t xml:space="preserve">, linking claims databases and electronic health records (EHR) to generate real-world evidence (RWE) and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At the moment, substantial efforts focusing on the linkage of claims databases and EHR are underway, for instance, in the FDA Sentinel Initiative</w:t>
      </w:r>
      <w:r>
        <w:t xml:space="preserve"> </w:t>
      </w:r>
      <w:r>
        <w:t xml:space="preserve">[1]</w:t>
      </w:r>
      <w:r>
        <w:t xml:space="preserve">. However, prognostic factors coming from EHR are often only partially observed, posing a challenge to the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30"/>
    <w:p>
      <w:pPr>
        <w:pStyle w:val="FirstParagraph"/>
      </w:pPr>
      <w:r>
        <w:t xml:space="preserve">Considering these limitations, we have recently developed and evaluated a principled approach combining multiple missing data diagnostics</w:t>
      </w:r>
      <w:r>
        <w:t xml:space="preserve"> </w:t>
      </w:r>
      <w:r>
        <w:t xml:space="preserve">[22]</w:t>
      </w:r>
      <w:r>
        <w:t xml:space="preserve"> </w:t>
      </w:r>
      <w:r>
        <w:t xml:space="preserve">using a database linkage from the Mass General Brigham Research Patient Data Registry EHR in Boston</w:t>
      </w:r>
      <w:r>
        <w:t xml:space="preserve"> </w:t>
      </w:r>
      <w:r>
        <w:t xml:space="preserve">[23]</w:t>
      </w:r>
      <w:r>
        <w:t xml:space="preserve"> </w:t>
      </w:r>
      <w:r>
        <w:t xml:space="preserve">linked with Medicare fee-for-service claims data</w:t>
      </w:r>
      <w:r>
        <w:t xml:space="preserve"> </w:t>
      </w:r>
      <w:r>
        <w:t xml:space="preserve">[24]</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1"/>
    <w:bookmarkStart w:id="32"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[25]</w:t>
      </w:r>
      <w:r>
        <w:t xml:space="preserve">.</w:t>
      </w:r>
    </w:p>
    <w:bookmarkEnd w:id="32"/>
    <w:bookmarkStart w:id="36"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3">
        <w:r>
          <w:rPr>
            <w:rStyle w:val="Hyperlink"/>
          </w:rPr>
          <w:t xml:space="preserve">https://cran.r-project.org/web/packages/smdi</w:t>
        </w:r>
      </w:hyperlink>
      <w:r>
        <w:t xml:space="preserve">) and GitLab (</w:t>
      </w:r>
      <w:hyperlink r:id="rId3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[26]</w:t>
      </w:r>
      <w:r>
        <w:t xml:space="preserve"> </w:t>
      </w:r>
      <w:r>
        <w:t xml:space="preserve">via continuous integration and deployment. Additional resources such as documentation and vignettes are provided on the package website:</w:t>
      </w:r>
      <w:r>
        <w:t xml:space="preserve"> </w:t>
      </w:r>
      <w:hyperlink r:id="rId35">
        <w:r>
          <w:rPr>
            <w:rStyle w:val="Hyperlink"/>
          </w:rPr>
          <w:t xml:space="preserve">https://janickweberpals.gitlab-pages.partners.org/smdi</w:t>
        </w:r>
      </w:hyperlink>
      <w:r>
        <w:t xml:space="preserve">.</w:t>
      </w:r>
    </w:p>
    <w:bookmarkEnd w:id="36"/>
    <w:bookmarkStart w:id="45" w:name="sec-results"/>
    <w:p>
      <w:pPr>
        <w:pStyle w:val="Heading1"/>
      </w:pPr>
      <w:r>
        <w:t xml:space="preserve">Results</w:t>
      </w:r>
    </w:p>
    <w:bookmarkStart w:id="44"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a MAR, MNAR and MCAR mechanism, respectively (more details:</w:t>
      </w:r>
      <w:r>
        <w:t xml:space="preserve"> </w:t>
      </w:r>
      <w:hyperlink r:id="rId37">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p>
      <w:pPr>
        <w:pStyle w:val="BodyText"/>
      </w:pPr>
      <w:r>
        <w:t xml:space="preserve">Details on missingness assumptions, key statistical principles and further information on all functions can be found in the</w:t>
      </w:r>
      <w:r>
        <w:t xml:space="preserve"> </w:t>
      </w:r>
      <w:r>
        <w:rPr>
          <w:bCs/>
          <w:b/>
        </w:rPr>
        <w:t xml:space="preserve">Supplementary Methods</w:t>
      </w:r>
      <w:r>
        <w:t xml:space="preserve"> </w:t>
      </w:r>
      <w:r>
        <w:t xml:space="preserve">and in the documentation of each respective function which can be accessed in R by preceding the function name with a question mark, e.g.:</w:t>
      </w:r>
    </w:p>
    <w:p>
      <w:pPr>
        <w:pStyle w:val="SourceCode"/>
      </w:pPr>
      <w:r>
        <w:rPr>
          <w:rStyle w:val="NormalTok"/>
        </w:rPr>
        <w:t xml:space="preserve">?</w:t>
      </w:r>
      <w:r>
        <w:rPr>
          <w:rStyle w:val="FunctionTok"/>
        </w:rPr>
        <w:t xml:space="preserve">smdi_diagnose</w:t>
      </w:r>
      <w:r>
        <w:rPr>
          <w:rStyle w:val="NormalTok"/>
        </w:rPr>
        <w:t xml:space="preserve">()</w:t>
      </w:r>
    </w:p>
    <w:bookmarkStart w:id="38"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[27]</w:t>
      </w:r>
      <w:r>
        <w:t xml:space="preserve">. This function uses a set visualization technique to visually infer potential (non-)monotone patterns based on the number of intersecting missing observations across all POCs</w:t>
      </w:r>
      <w:r>
        <w:t xml:space="preserve"> </w:t>
      </w:r>
      <w:r>
        <w:t xml:space="preserve">[28]</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 The</w:t>
      </w:r>
      <w:r>
        <w:t xml:space="preserve"> </w:t>
      </w:r>
      <w:r>
        <w:rPr>
          <w:rStyle w:val="VerbatimChar"/>
        </w:rPr>
        <w:t xml:space="preserve">md.pattern()</w:t>
      </w:r>
      <w:r>
        <w:t xml:space="preserve"> </w:t>
      </w:r>
      <w:r>
        <w:t xml:space="preserve">function, a re-export of the mice package</w:t>
      </w:r>
      <w:r>
        <w:t xml:space="preserve"> </w:t>
      </w:r>
      <w:r>
        <w:t xml:space="preserve">[29]</w:t>
      </w:r>
      <w:r>
        <w:t xml:space="preserve">, provides a similar functionality and returns a matrix displaying the frequency of each observed missing data pattern.</w:t>
      </w:r>
    </w:p>
    <w:bookmarkEnd w:id="38"/>
    <w:bookmarkStart w:id="43"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9"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[30–32]</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[33]</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[12,34]</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[13,27]</w:t>
      </w:r>
      <w:r>
        <w:t xml:space="preserve"> </w:t>
      </w:r>
      <w:r>
        <w:t xml:space="preserve">computes a single global chi-square test statistic and p-value across all POCs with the null hypothesis that the data are (globally) MCAR.</w:t>
      </w:r>
    </w:p>
    <w:p>
      <w:pPr>
        <w:pStyle w:val="BodyText"/>
      </w:pPr>
      <w:r>
        <w:t xml:space="preserve">Applying group 1 diagnostics to the synthetic example dataset would indicate that the ECOG POC (median ASMD 0.03, min-max 0.00-0.07, p-value 0.78) does not show any differences in observed patient characteristics between patients with and without and observed value for ECOG which would give evidence for a MCAR mechanism (</w:t>
      </w:r>
      <w:hyperlink w:anchor="fig-results">
        <w:r>
          <w:rPr>
            <w:rStyle w:val="Hyperlink"/>
          </w:rPr>
          <w:t xml:space="preserve">Figure 3</w:t>
        </w:r>
      </w:hyperlink>
      <w:r>
        <w:t xml:space="preserve"> </w:t>
      </w:r>
      <w:r>
        <w:t xml:space="preserve">bottom, Group 1 diagnostics - orange boxes) . Conversely, in the case of EGFR and PD-L1, the group 1 diagnostics display larger differences and hence may rather underlie a MAR or MNAR mechanism (</w:t>
      </w:r>
      <w:hyperlink w:anchor="fig-examples">
        <w:r>
          <w:rPr>
            <w:rStyle w:val="Hyperlink"/>
          </w:rPr>
          <w:t xml:space="preserve">Figure 2</w:t>
        </w:r>
      </w:hyperlink>
      <w:r>
        <w:t xml:space="preserve"> </w:t>
      </w:r>
      <w:r>
        <w:t xml:space="preserve">c,</w:t>
      </w:r>
      <w:r>
        <w:t xml:space="preserve"> </w:t>
      </w:r>
      <w:hyperlink w:anchor="fig-results">
        <w:r>
          <w:rPr>
            <w:rStyle w:val="Hyperlink"/>
          </w:rPr>
          <w:t xml:space="preserve">Figure 3</w:t>
        </w:r>
      </w:hyperlink>
      <w:r>
        <w:t xml:space="preserve">).</w:t>
      </w:r>
    </w:p>
    <w:bookmarkEnd w:id="39"/>
    <w:bookmarkStart w:id="40"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[11,35]</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[35,36]</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p>
      <w:pPr>
        <w:pStyle w:val="BodyText"/>
      </w:pPr>
      <w:hyperlink w:anchor="fig-results">
        <w:r>
          <w:rPr>
            <w:rStyle w:val="Hyperlink"/>
          </w:rPr>
          <w:t xml:space="preserve">Figure 3</w:t>
        </w:r>
      </w:hyperlink>
      <w:r>
        <w:t xml:space="preserve"> </w:t>
      </w:r>
      <w:r>
        <w:t xml:space="preserve">(Group 2 diagnostics - blue boxes), for example, illustrates the AUC values of the output of</w:t>
      </w:r>
      <w:r>
        <w:t xml:space="preserve"> </w:t>
      </w:r>
      <w:r>
        <w:rPr>
          <w:rStyle w:val="VerbatimChar"/>
        </w:rPr>
        <w:t xml:space="preserve">smdi_rf()</w:t>
      </w:r>
      <w:r>
        <w:t xml:space="preserve"> </w:t>
      </w:r>
      <w:r>
        <w:t xml:space="preserve">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p>
    <w:bookmarkEnd w:id="40"/>
    <w:bookmarkStart w:id="41"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hyperlink w:anchor="fig-results">
        <w:r>
          <w:rPr>
            <w:rStyle w:val="Hyperlink"/>
          </w:rPr>
          <w:t xml:space="preserve">Figure 3</w:t>
        </w:r>
      </w:hyperlink>
      <w:r>
        <w:t xml:space="preserve"> </w:t>
      </w:r>
      <w:r>
        <w:t xml:space="preserve">top)</w:t>
      </w:r>
      <w:r>
        <w:t xml:space="preserve"> </w:t>
      </w:r>
      <w:r>
        <w:t xml:space="preserve">[22]</w:t>
      </w:r>
      <w:r>
        <w:t xml:space="preserve">. As expected, under a MCAR mechanism the simulation suggested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rPr>
          <w:rStyle w:val="VerbatimChar"/>
        </w:rPr>
        <w:t xml:space="preserve">smdi_outcome()</w:t>
      </w:r>
      <w:r>
        <w:t xml:space="preserve"> </w:t>
      </w:r>
      <w:r>
        <w:t xml:space="preserve">supports multiple outcome regression types including linear regression (</w:t>
      </w:r>
      <w:r>
        <w:rPr>
          <w:iCs/>
          <w:i/>
        </w:rPr>
        <w:t xml:space="preserve">lm</w:t>
      </w:r>
      <w:r>
        <w:t xml:space="preserve"> </w:t>
      </w:r>
      <w:r>
        <w:t xml:space="preserve">[37]</w:t>
      </w:r>
      <w:r>
        <w:t xml:space="preserve">) for continuous outcomes, Cox proportional hazards model (</w:t>
      </w:r>
      <w:r>
        <w:rPr>
          <w:iCs/>
          <w:i/>
        </w:rPr>
        <w:t xml:space="preserve">coxph</w:t>
      </w:r>
      <w:r>
        <w:t xml:space="preserve"> </w:t>
      </w:r>
      <w:r>
        <w:t xml:space="preserve">[38]</w:t>
      </w:r>
      <w:r>
        <w:t xml:space="preserve">) for time-to-event outcomes, and generalized linear regression models (</w:t>
      </w:r>
      <w:r>
        <w:rPr>
          <w:iCs/>
          <w:i/>
        </w:rPr>
        <w:t xml:space="preserve">glm</w:t>
      </w:r>
      <w:r>
        <w:t xml:space="preserve"> </w:t>
      </w:r>
      <w:r>
        <w:t xml:space="preserve">[37]</w:t>
      </w:r>
      <w:r>
        <w:t xml:space="preserve">) for which the family of conditional distributions of the outcome can be selected using the</w:t>
      </w:r>
      <w:r>
        <w:t xml:space="preserve"> </w:t>
      </w:r>
      <w:r>
        <w:rPr>
          <w:rStyle w:val="VerbatimChar"/>
        </w:rPr>
        <w:t xml:space="preserve">glm_family</w:t>
      </w:r>
      <w:r>
        <w:t xml:space="preserve"> </w:t>
      </w:r>
      <w:r>
        <w:t xml:space="preserve">parameter (the default is</w:t>
      </w:r>
      <w:r>
        <w:t xml:space="preserve"> </w:t>
      </w:r>
      <w:r>
        <w:rPr>
          <w:rStyle w:val="VerbatimChar"/>
        </w:rPr>
        <w:t xml:space="preserve">binomial(link='logit')</w:t>
      </w:r>
      <w:r>
        <w:t xml:space="preserve">). Besides the regression type (</w:t>
      </w:r>
      <w:r>
        <w:rPr>
          <w:rStyle w:val="VerbatimChar"/>
        </w:rPr>
        <w:t xml:space="preserve">model</w:t>
      </w:r>
      <w:r>
        <w:t xml:space="preserve"> </w:t>
      </w:r>
      <w:r>
        <w:t xml:space="preserve">parameter) and the</w:t>
      </w:r>
      <w:r>
        <w:t xml:space="preserve"> </w:t>
      </w:r>
      <w:r>
        <w:rPr>
          <w:rStyle w:val="VerbatimChar"/>
        </w:rPr>
        <w:t xml:space="preserve">glm_family</w:t>
      </w:r>
      <w:r>
        <w:t xml:space="preserve"> </w:t>
      </w:r>
      <w:r>
        <w:t xml:space="preserve">(in case of a glm model),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p>
      <w:pPr>
        <w:pStyle w:val="BodyText"/>
      </w:pPr>
      <w:r>
        <w:t xml:space="preserve">Demonstrating the utilization of smdi_outcome() using the example dataset, the derived logHR coefficients for the missingness indicators of the POCs (</w:t>
      </w:r>
      <w:hyperlink w:anchor="fig-results">
        <w:r>
          <w:rPr>
            <w:rStyle w:val="Hyperlink"/>
          </w:rPr>
          <w:t xml:space="preserve">Figure 3</w:t>
        </w:r>
      </w:hyperlink>
      <w:r>
        <w:t xml:space="preserve"> </w:t>
      </w:r>
      <w:r>
        <w:t xml:space="preserve">bottom, Group 3 diagnostics - green boxes) align with the anticipated outcomes from our simulations</w:t>
      </w:r>
      <w:r>
        <w:t xml:space="preserve"> </w:t>
      </w:r>
      <w:r>
        <w:t xml:space="preserve">[22]</w:t>
      </w:r>
      <w:r>
        <w:t xml:space="preserve">. Specifically, EGFR manifests no discernible difference in the outcome after adjustment for fully observed covariates (logHR -0.01, 95% confidence intervals [CI] -0.10 to 0.09), suggesting a MAR mechanism. ECOG exhibits no distinction in either the unadjusted or adjusted model (logHR -0.06, -0.16 to 0.03), indicating MCAR. Conversely, PD-L1 showcases differences in the outcome in both models, suggesting an MNAR context.</w:t>
      </w:r>
    </w:p>
    <w:bookmarkEnd w:id="41"/>
    <w:bookmarkStart w:id="42"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of the above discussed group diagnostics within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as illustrated in in the above examples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p>
      <w:pPr>
        <w:pStyle w:val="BodyText"/>
      </w:pPr>
      <w:r>
        <w:t xml:space="preserve">The</w:t>
      </w:r>
      <w:r>
        <w:t xml:space="preserve"> </w:t>
      </w:r>
      <w:r>
        <w:rPr>
          <w:rStyle w:val="VerbatimChar"/>
        </w:rPr>
        <w:t xml:space="preserve">smdi_style_gt()</w:t>
      </w:r>
      <w:r>
        <w:t xml:space="preserve"> </w:t>
      </w:r>
      <w:r>
        <w:t xml:space="preserve">function is an ancillary function that takes an object of class</w:t>
      </w:r>
      <w:r>
        <w:t xml:space="preserve"> </w:t>
      </w:r>
      <w:r>
        <w:rPr>
          <w:rStyle w:val="VerbatimChar"/>
        </w:rPr>
        <w:t xml:space="preserve">smdi</w:t>
      </w:r>
      <w:r>
        <w:t xml:space="preserve"> </w:t>
      </w:r>
      <w:r>
        <w:t xml:space="preserve">and produces a formatted and publication-ready gt table</w:t>
      </w:r>
      <w:r>
        <w:t xml:space="preserve"> </w:t>
      </w:r>
      <w:r>
        <w:t xml:space="preserve">[39]</w:t>
      </w:r>
      <w:r>
        <w:t xml:space="preserve"> </w:t>
      </w:r>
      <w:r>
        <w:t xml:space="preserve">which can be seamlessly exported to different file formats (e.g., .docx, .pdf, etc.) for reports or manuscripts.</w:t>
      </w:r>
    </w:p>
    <w:bookmarkEnd w:id="42"/>
    <w:bookmarkEnd w:id="43"/>
    <w:bookmarkEnd w:id="44"/>
    <w:bookmarkEnd w:id="45"/>
    <w:bookmarkStart w:id="47"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should be used with certain limitations in mind. Most importantly, the true underlying mechanism causing the missing data can never be inferred with absolute certainty from the observed data. Therefore, it is important to complement diagnostic results with substantive expert knowledge to factor in how covariates are measured in routine care, which could be system-specific, and contextualize potential reasons for missingness. This collaborative approach allows for a contextualized understanding of potential causes for missing data in EHR.</w:t>
      </w:r>
    </w:p>
    <w:bookmarkStart w:id="46"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6"/>
    <w:bookmarkEnd w:id="47"/>
    <w:bookmarkStart w:id="138" w:name="references"/>
    <w:p>
      <w:pPr>
        <w:pStyle w:val="Heading1"/>
      </w:pPr>
      <w:r>
        <w:t xml:space="preserve">References</w:t>
      </w:r>
    </w:p>
    <w:bookmarkStart w:id="123" w:name="refs"/>
    <w:bookmarkStart w:id="49" w:name="ref-Desai2021"/>
    <w:p>
      <w:pPr>
        <w:pStyle w:val="Bibliography"/>
      </w:pPr>
      <w:r>
        <w:t xml:space="preserve">1</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8">
        <w:r>
          <w:rPr>
            <w:rStyle w:val="Hyperlink"/>
          </w:rPr>
          <w:t xml:space="preserve">10.1038/s41746-021-00542-0</w:t>
        </w:r>
      </w:hyperlink>
    </w:p>
    <w:bookmarkEnd w:id="49"/>
    <w:bookmarkStart w:id="51" w:name="ref-fdaRWE2018"/>
    <w:p>
      <w:pPr>
        <w:pStyle w:val="Bibliography"/>
      </w:pPr>
      <w:r>
        <w:t xml:space="preserve">2</w:t>
      </w:r>
      <w:r>
        <w:t xml:space="preserve"> </w:t>
      </w:r>
      <w:r>
        <w:t xml:space="preserve">	</w:t>
      </w:r>
      <w:r>
        <w:t xml:space="preserve">United States Food and Drug Administration. Framework for FDA’s real world evidence program. Dec 2018. Accessed 6/30/2023.</w:t>
      </w:r>
      <w:r>
        <w:t xml:space="preserve"> </w:t>
      </w:r>
      <w:hyperlink r:id="rId50">
        <w:r>
          <w:rPr>
            <w:rStyle w:val="Hyperlink"/>
          </w:rPr>
          <w:t xml:space="preserve">https://www.fda.gov/downloads/ScienceResearch/SpecialTopics/RealWorldEvidence/UCM627769.pdf</w:t>
        </w:r>
      </w:hyperlink>
    </w:p>
    <w:bookmarkEnd w:id="51"/>
    <w:bookmarkStart w:id="53"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2">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3"/>
    <w:bookmarkStart w:id="55" w:name="ref-gorelick2006"/>
    <w:p>
      <w:pPr>
        <w:pStyle w:val="Bibliography"/>
      </w:pPr>
      <w:r>
        <w:t xml:space="preserve">4</w:t>
      </w:r>
      <w:r>
        <w:t xml:space="preserve"> </w:t>
      </w:r>
      <w:r>
        <w:t xml:space="preserve">	</w:t>
      </w:r>
      <w:r>
        <w:t xml:space="preserve">Gorelick MH.</w:t>
      </w:r>
      <w:r>
        <w:t xml:space="preserve"> </w:t>
      </w:r>
      <w:hyperlink r:id="rId54">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5"/>
    <w:bookmarkStart w:id="57"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6">
        <w:r>
          <w:rPr>
            <w:rStyle w:val="Hyperlink"/>
          </w:rPr>
          <w:t xml:space="preserve">10.1186/s12955-019-1181-2</w:t>
        </w:r>
      </w:hyperlink>
    </w:p>
    <w:bookmarkEnd w:id="57"/>
    <w:bookmarkStart w:id="59" w:name="ref-groenwold2020"/>
    <w:p>
      <w:pPr>
        <w:pStyle w:val="Bibliography"/>
      </w:pPr>
      <w:r>
        <w:t xml:space="preserve">6</w:t>
      </w:r>
      <w:r>
        <w:t xml:space="preserve"> </w:t>
      </w:r>
      <w:r>
        <w:t xml:space="preserve">	</w:t>
      </w:r>
      <w:r>
        <w:t xml:space="preserve">Groenwold RHH, Dekkers OM.</w:t>
      </w:r>
      <w:r>
        <w:t xml:space="preserve"> </w:t>
      </w:r>
      <w:hyperlink r:id="rId58">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9"/>
    <w:bookmarkStart w:id="61"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60">
        <w:r>
          <w:rPr>
            <w:rStyle w:val="Hyperlink"/>
          </w:rPr>
          <w:t xml:space="preserve">https://stefvanbuuren.name/fimd/missing-data-pattern.html</w:t>
        </w:r>
      </w:hyperlink>
    </w:p>
    <w:bookmarkEnd w:id="61"/>
    <w:bookmarkStart w:id="63" w:name="ref-rubin1976"/>
    <w:p>
      <w:pPr>
        <w:pStyle w:val="Bibliography"/>
      </w:pPr>
      <w:r>
        <w:t xml:space="preserve">8</w:t>
      </w:r>
      <w:r>
        <w:t xml:space="preserve"> </w:t>
      </w:r>
      <w:r>
        <w:t xml:space="preserve">	</w:t>
      </w:r>
      <w:r>
        <w:t xml:space="preserve">Rubin DB.</w:t>
      </w:r>
      <w:r>
        <w:t xml:space="preserve"> </w:t>
      </w:r>
      <w:hyperlink r:id="rId62">
        <w:r>
          <w:rPr>
            <w:rStyle w:val="Hyperlink"/>
          </w:rPr>
          <w:t xml:space="preserve">Inference and missing data</w:t>
        </w:r>
      </w:hyperlink>
      <w:r>
        <w:t xml:space="preserve">.</w:t>
      </w:r>
      <w:r>
        <w:t xml:space="preserve"> </w:t>
      </w:r>
      <w:r>
        <w:rPr>
          <w:iCs/>
          <w:i/>
        </w:rPr>
        <w:t xml:space="preserve">Biometrika</w:t>
      </w:r>
      <w:r>
        <w:t xml:space="preserve">. 1976;63:581–92.</w:t>
      </w:r>
    </w:p>
    <w:bookmarkEnd w:id="63"/>
    <w:bookmarkStart w:id="64"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4"/>
    <w:bookmarkStart w:id="66"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5">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6"/>
    <w:bookmarkStart w:id="68"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7">
        <w:r>
          <w:rPr>
            <w:rStyle w:val="Hyperlink"/>
          </w:rPr>
          <w:t xml:space="preserve">10.1002/psp4.12998</w:t>
        </w:r>
      </w:hyperlink>
    </w:p>
    <w:bookmarkEnd w:id="68"/>
    <w:bookmarkStart w:id="70" w:name="ref-hotelling1931"/>
    <w:p>
      <w:pPr>
        <w:pStyle w:val="Bibliography"/>
      </w:pPr>
      <w:r>
        <w:t xml:space="preserve">12</w:t>
      </w:r>
      <w:r>
        <w:t xml:space="preserve"> </w:t>
      </w:r>
      <w:r>
        <w:t xml:space="preserve">	</w:t>
      </w:r>
      <w:r>
        <w:t xml:space="preserve">Hotelling H.</w:t>
      </w:r>
      <w:r>
        <w:t xml:space="preserve"> </w:t>
      </w:r>
      <w:hyperlink r:id="rId69">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70"/>
    <w:bookmarkStart w:id="72" w:name="ref-little1988"/>
    <w:p>
      <w:pPr>
        <w:pStyle w:val="Bibliography"/>
      </w:pPr>
      <w:r>
        <w:t xml:space="preserve">13</w:t>
      </w:r>
      <w:r>
        <w:t xml:space="preserve"> </w:t>
      </w:r>
      <w:r>
        <w:t xml:space="preserve">	</w:t>
      </w:r>
      <w:r>
        <w:t xml:space="preserve">Little RJA.</w:t>
      </w:r>
      <w:r>
        <w:t xml:space="preserve"> </w:t>
      </w:r>
      <w:hyperlink r:id="rId71">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2"/>
    <w:bookmarkStart w:id="74"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3">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4"/>
    <w:bookmarkStart w:id="76"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5">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6"/>
    <w:bookmarkStart w:id="78"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7">
        <w:r>
          <w:rPr>
            <w:rStyle w:val="Hyperlink"/>
          </w:rPr>
          <w:t xml:space="preserve">10.1093/ije/dyad008</w:t>
        </w:r>
      </w:hyperlink>
    </w:p>
    <w:bookmarkEnd w:id="78"/>
    <w:bookmarkStart w:id="80"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9">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80"/>
    <w:bookmarkStart w:id="82" w:name="ref-mohan2021"/>
    <w:p>
      <w:pPr>
        <w:pStyle w:val="Bibliography"/>
      </w:pPr>
      <w:r>
        <w:t xml:space="preserve">18</w:t>
      </w:r>
      <w:r>
        <w:t xml:space="preserve"> </w:t>
      </w:r>
      <w:r>
        <w:t xml:space="preserve">	</w:t>
      </w:r>
      <w:r>
        <w:t xml:space="preserve">Mohan K, Pearl J.</w:t>
      </w:r>
      <w:r>
        <w:t xml:space="preserve"> </w:t>
      </w:r>
      <w:hyperlink r:id="rId81">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2"/>
    <w:bookmarkStart w:id="84"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3">
        <w:r>
          <w:rPr>
            <w:rStyle w:val="Hyperlink"/>
          </w:rPr>
          <w:t xml:space="preserve">10.1186/s12874-020-01018-7</w:t>
        </w:r>
      </w:hyperlink>
    </w:p>
    <w:bookmarkEnd w:id="84"/>
    <w:bookmarkStart w:id="86" w:name="ref-wood2004"/>
    <w:p>
      <w:pPr>
        <w:pStyle w:val="Bibliography"/>
      </w:pPr>
      <w:r>
        <w:t xml:space="preserve">20</w:t>
      </w:r>
      <w:r>
        <w:t xml:space="preserve"> </w:t>
      </w:r>
      <w:r>
        <w:t xml:space="preserve">	</w:t>
      </w:r>
      <w:r>
        <w:t xml:space="preserve">Wood AM, White IR, Thompson SG.</w:t>
      </w:r>
      <w:r>
        <w:t xml:space="preserve"> </w:t>
      </w:r>
      <w:hyperlink r:id="rId85">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6"/>
    <w:bookmarkStart w:id="88" w:name="ref-harel2012"/>
    <w:p>
      <w:pPr>
        <w:pStyle w:val="Bibliography"/>
      </w:pPr>
      <w:r>
        <w:t xml:space="preserve">21</w:t>
      </w:r>
      <w:r>
        <w:t xml:space="preserve"> </w:t>
      </w:r>
      <w:r>
        <w:t xml:space="preserve">	</w:t>
      </w:r>
      <w:r>
        <w:t xml:space="preserve">Harel O, Pellowski J, Kalichman S.</w:t>
      </w:r>
      <w:r>
        <w:t xml:space="preserve"> </w:t>
      </w:r>
      <w:hyperlink r:id="rId87">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8"/>
    <w:bookmarkStart w:id="89"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9"/>
    <w:bookmarkStart w:id="91" w:name="ref-nalichowski2006"/>
    <w:p>
      <w:pPr>
        <w:pStyle w:val="Bibliography"/>
      </w:pPr>
      <w:r>
        <w:t xml:space="preserve">23</w:t>
      </w:r>
      <w:r>
        <w:t xml:space="preserve"> </w:t>
      </w:r>
      <w:r>
        <w:t xml:space="preserve">	</w:t>
      </w:r>
      <w:r>
        <w:t xml:space="preserve">Nalichowski R, Keogh D, Chueh HC,</w:t>
      </w:r>
      <w:r>
        <w:t xml:space="preserve"> </w:t>
      </w:r>
      <w:r>
        <w:rPr>
          <w:iCs/>
          <w:i/>
        </w:rPr>
        <w:t xml:space="preserve">et al.</w:t>
      </w:r>
      <w:r>
        <w:t xml:space="preserve"> </w:t>
      </w:r>
      <w:hyperlink r:id="rId90">
        <w:r>
          <w:rPr>
            <w:rStyle w:val="Hyperlink"/>
          </w:rPr>
          <w:t xml:space="preserve">Calculating the benefits of a research patient data repository</w:t>
        </w:r>
      </w:hyperlink>
      <w:r>
        <w:t xml:space="preserve">.</w:t>
      </w:r>
      <w:r>
        <w:t xml:space="preserve"> </w:t>
      </w:r>
      <w:r>
        <w:rPr>
          <w:iCs/>
          <w:i/>
        </w:rPr>
        <w:t xml:space="preserve">AMIA Annual Symposium Proceedings</w:t>
      </w:r>
      <w:r>
        <w:t xml:space="preserve">. 2006;2006:1044.</w:t>
      </w:r>
    </w:p>
    <w:bookmarkEnd w:id="91"/>
    <w:bookmarkStart w:id="93" w:name="ref-cmsResdac"/>
    <w:p>
      <w:pPr>
        <w:pStyle w:val="Bibliography"/>
      </w:pPr>
      <w:r>
        <w:t xml:space="preserve">24</w:t>
      </w:r>
      <w:r>
        <w:t xml:space="preserve"> </w:t>
      </w:r>
      <w:r>
        <w:t xml:space="preserve">	</w:t>
      </w:r>
      <w:r>
        <w:t xml:space="preserve">CMS resdac.</w:t>
      </w:r>
      <w:r>
        <w:t xml:space="preserve"> </w:t>
      </w:r>
      <w:hyperlink r:id="rId92">
        <w:r>
          <w:rPr>
            <w:rStyle w:val="Hyperlink"/>
          </w:rPr>
          <w:t xml:space="preserve">https://resdac.org/</w:t>
        </w:r>
      </w:hyperlink>
      <w:r>
        <w:t xml:space="preserve"> </w:t>
      </w:r>
      <w:r>
        <w:t xml:space="preserve">(accessed 16 November 2023)</w:t>
      </w:r>
    </w:p>
    <w:bookmarkEnd w:id="93"/>
    <w:bookmarkStart w:id="95" w:name="ref-smdi"/>
    <w:p>
      <w:pPr>
        <w:pStyle w:val="Bibliography"/>
      </w:pPr>
      <w:r>
        <w:t xml:space="preserve">25</w:t>
      </w:r>
      <w:r>
        <w:t xml:space="preserve"> </w:t>
      </w:r>
      <w:r>
        <w:t xml:space="preserve">	</w:t>
      </w:r>
      <w:r>
        <w:t xml:space="preserve">Weberpals J. Smdi: Perform structural missing data investigations. 2023.</w:t>
      </w:r>
      <w:r>
        <w:t xml:space="preserve"> </w:t>
      </w:r>
      <w:hyperlink r:id="rId94">
        <w:r>
          <w:rPr>
            <w:rStyle w:val="Hyperlink"/>
          </w:rPr>
          <w:t xml:space="preserve">https://CRAN.R-project.org/package=smdi</w:t>
        </w:r>
      </w:hyperlink>
    </w:p>
    <w:bookmarkEnd w:id="95"/>
    <w:bookmarkStart w:id="96" w:name="ref-wickham2023r"/>
    <w:p>
      <w:pPr>
        <w:pStyle w:val="Bibliography"/>
      </w:pPr>
      <w:r>
        <w:t xml:space="preserve">26</w:t>
      </w:r>
      <w:r>
        <w:t xml:space="preserve"> </w:t>
      </w:r>
      <w:r>
        <w:t xml:space="preserve">	</w:t>
      </w:r>
      <w:r>
        <w:t xml:space="preserve">Wickham H, Bryan J.</w:t>
      </w:r>
      <w:r>
        <w:t xml:space="preserve"> </w:t>
      </w:r>
      <w:r>
        <w:rPr>
          <w:iCs/>
          <w:i/>
        </w:rPr>
        <w:t xml:space="preserve">R packages</w:t>
      </w:r>
      <w:r>
        <w:t xml:space="preserve">. " O’Reilly Media, Inc." 2023.</w:t>
      </w:r>
    </w:p>
    <w:bookmarkEnd w:id="96"/>
    <w:bookmarkStart w:id="98" w:name="ref-naniar"/>
    <w:p>
      <w:pPr>
        <w:pStyle w:val="Bibliography"/>
      </w:pPr>
      <w:r>
        <w:t xml:space="preserve">27</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7">
        <w:r>
          <w:rPr>
            <w:rStyle w:val="Hyperlink"/>
          </w:rPr>
          <w:t xml:space="preserve">10.18637/jss.v105.i07</w:t>
        </w:r>
      </w:hyperlink>
    </w:p>
    <w:bookmarkEnd w:id="98"/>
    <w:bookmarkStart w:id="100" w:name="ref-ruddle2022"/>
    <w:p>
      <w:pPr>
        <w:pStyle w:val="Bibliography"/>
      </w:pPr>
      <w:r>
        <w:t xml:space="preserve">28</w:t>
      </w:r>
      <w:r>
        <w:t xml:space="preserve"> </w:t>
      </w:r>
      <w:r>
        <w:t xml:space="preserve">	</w:t>
      </w:r>
      <w:r>
        <w:t xml:space="preserve">Ruddle RA, Adnan M, Hall M.</w:t>
      </w:r>
      <w:r>
        <w:t xml:space="preserve"> </w:t>
      </w:r>
      <w:hyperlink r:id="rId99">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100"/>
    <w:bookmarkStart w:id="102" w:name="ref-mice"/>
    <w:p>
      <w:pPr>
        <w:pStyle w:val="Bibliography"/>
      </w:pPr>
      <w:r>
        <w:t xml:space="preserve">29</w:t>
      </w:r>
      <w:r>
        <w:t xml:space="preserve"> </w:t>
      </w:r>
      <w:r>
        <w:t xml:space="preserve">	</w:t>
      </w:r>
      <w:r>
        <w:t xml:space="preserve">Buuren S van, Groothuis-Oudshoorn K.</w:t>
      </w:r>
      <w:r>
        <w:t xml:space="preserve"> </w:t>
      </w:r>
      <w:hyperlink r:id="rId101">
        <w:r>
          <w:rPr>
            <w:rStyle w:val="Hyperlink"/>
          </w:rPr>
          <w:t xml:space="preserve">Mice: Multivariate imputation by chained equations in r</w:t>
        </w:r>
      </w:hyperlink>
      <w:r>
        <w:t xml:space="preserve">.</w:t>
      </w:r>
      <w:r>
        <w:t xml:space="preserve"> </w:t>
      </w:r>
      <w:r>
        <w:rPr>
          <w:iCs/>
          <w:i/>
        </w:rPr>
        <w:t xml:space="preserve">Journal of Statistical Software</w:t>
      </w:r>
      <w:r>
        <w:t xml:space="preserve">. 2011;45:1–67.</w:t>
      </w:r>
    </w:p>
    <w:bookmarkEnd w:id="102"/>
    <w:bookmarkStart w:id="104" w:name="ref-schober2019"/>
    <w:p>
      <w:pPr>
        <w:pStyle w:val="Bibliography"/>
      </w:pPr>
      <w:r>
        <w:t xml:space="preserve">30</w:t>
      </w:r>
      <w:r>
        <w:t xml:space="preserve"> </w:t>
      </w:r>
      <w:r>
        <w:t xml:space="preserve">	</w:t>
      </w:r>
      <w:r>
        <w:t xml:space="preserve">Schober P, Vetter TR.</w:t>
      </w:r>
      <w:r>
        <w:t xml:space="preserve"> </w:t>
      </w:r>
      <w:hyperlink r:id="rId103">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104"/>
    <w:bookmarkStart w:id="106" w:name="ref-austin2011"/>
    <w:p>
      <w:pPr>
        <w:pStyle w:val="Bibliography"/>
      </w:pPr>
      <w:r>
        <w:t xml:space="preserve">31</w:t>
      </w:r>
      <w:r>
        <w:t xml:space="preserve"> </w:t>
      </w:r>
      <w:r>
        <w:t xml:space="preserve">	</w:t>
      </w:r>
      <w:r>
        <w:t xml:space="preserve">Austin PC.</w:t>
      </w:r>
      <w:r>
        <w:t xml:space="preserve"> </w:t>
      </w:r>
      <w:hyperlink r:id="rId105">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106"/>
    <w:bookmarkStart w:id="108" w:name="ref-tableone"/>
    <w:p>
      <w:pPr>
        <w:pStyle w:val="Bibliography"/>
      </w:pPr>
      <w:r>
        <w:t xml:space="preserve">32</w:t>
      </w:r>
      <w:r>
        <w:t xml:space="preserve"> </w:t>
      </w:r>
      <w:r>
        <w:t xml:space="preserve">	</w:t>
      </w:r>
      <w:r>
        <w:t xml:space="preserve">Yoshida K, Bartel A. Tableone: Create ’table 1’ to describe baseline characteristics with or without propensity score weights. 2022.</w:t>
      </w:r>
      <w:r>
        <w:t xml:space="preserve"> </w:t>
      </w:r>
      <w:hyperlink r:id="rId107">
        <w:r>
          <w:rPr>
            <w:rStyle w:val="Hyperlink"/>
          </w:rPr>
          <w:t xml:space="preserve">https://CRAN.R-project.org/package=tableone</w:t>
        </w:r>
      </w:hyperlink>
    </w:p>
    <w:bookmarkEnd w:id="108"/>
    <w:bookmarkStart w:id="110" w:name="ref-ggplot2"/>
    <w:p>
      <w:pPr>
        <w:pStyle w:val="Bibliography"/>
      </w:pPr>
      <w:r>
        <w:t xml:space="preserve">33</w:t>
      </w:r>
      <w:r>
        <w:t xml:space="preserve"> </w:t>
      </w:r>
      <w:r>
        <w:t xml:space="preserve">	</w:t>
      </w:r>
      <w:r>
        <w:t xml:space="preserve">Wickham H. ggplot2: Elegant graphics for data analysis. 2016.</w:t>
      </w:r>
      <w:r>
        <w:t xml:space="preserve"> </w:t>
      </w:r>
      <w:hyperlink r:id="rId109">
        <w:r>
          <w:rPr>
            <w:rStyle w:val="Hyperlink"/>
          </w:rPr>
          <w:t xml:space="preserve">https://ggplot2.tidyverse.org</w:t>
        </w:r>
      </w:hyperlink>
    </w:p>
    <w:bookmarkEnd w:id="110"/>
    <w:bookmarkStart w:id="112" w:name="ref-Hotelling"/>
    <w:p>
      <w:pPr>
        <w:pStyle w:val="Bibliography"/>
      </w:pPr>
      <w:r>
        <w:t xml:space="preserve">34</w:t>
      </w:r>
      <w:r>
        <w:t xml:space="preserve"> </w:t>
      </w:r>
      <w:r>
        <w:t xml:space="preserve">	</w:t>
      </w:r>
      <w:r>
        <w:t xml:space="preserve">Curran J, Hersh T. Hotelling: Hotelling’s t</w:t>
      </w:r>
      <w:r>
        <w:t xml:space="preserve">^</w:t>
      </w:r>
      <w:r>
        <w:t xml:space="preserve">2 test and variants. 2021.</w:t>
      </w:r>
      <w:r>
        <w:t xml:space="preserve"> </w:t>
      </w:r>
      <w:hyperlink r:id="rId111">
        <w:r>
          <w:rPr>
            <w:rStyle w:val="Hyperlink"/>
          </w:rPr>
          <w:t xml:space="preserve">https://CRAN.R-project.org/package=Hotelling</w:t>
        </w:r>
      </w:hyperlink>
    </w:p>
    <w:bookmarkEnd w:id="112"/>
    <w:bookmarkStart w:id="114" w:name="ref-randomForest"/>
    <w:p>
      <w:pPr>
        <w:pStyle w:val="Bibliography"/>
      </w:pPr>
      <w:r>
        <w:t xml:space="preserve">35</w:t>
      </w:r>
      <w:r>
        <w:t xml:space="preserve"> </w:t>
      </w:r>
      <w:r>
        <w:t xml:space="preserve">	</w:t>
      </w:r>
      <w:r>
        <w:t xml:space="preserve">Liaw A, Wiener M. Classification and regression by randomForest. 2002;2:18–22.</w:t>
      </w:r>
      <w:r>
        <w:t xml:space="preserve"> </w:t>
      </w:r>
      <w:hyperlink r:id="rId113">
        <w:r>
          <w:rPr>
            <w:rStyle w:val="Hyperlink"/>
          </w:rPr>
          <w:t xml:space="preserve">https://CRAN.R-project.org/doc/Rnews/</w:t>
        </w:r>
      </w:hyperlink>
    </w:p>
    <w:bookmarkEnd w:id="114"/>
    <w:bookmarkStart w:id="116" w:name="ref-breiman2001"/>
    <w:p>
      <w:pPr>
        <w:pStyle w:val="Bibliography"/>
      </w:pPr>
      <w:r>
        <w:t xml:space="preserve">36</w:t>
      </w:r>
      <w:r>
        <w:t xml:space="preserve"> </w:t>
      </w:r>
      <w:r>
        <w:t xml:space="preserve">	</w:t>
      </w:r>
      <w:r>
        <w:t xml:space="preserve">Breiman L.</w:t>
      </w:r>
      <w:r>
        <w:t xml:space="preserve"> </w:t>
      </w:r>
      <w:hyperlink r:id="rId115">
        <w:r>
          <w:rPr>
            <w:rStyle w:val="Hyperlink"/>
          </w:rPr>
          <w:t xml:space="preserve">Random forests</w:t>
        </w:r>
      </w:hyperlink>
      <w:r>
        <w:t xml:space="preserve">.</w:t>
      </w:r>
      <w:r>
        <w:t xml:space="preserve"> </w:t>
      </w:r>
      <w:r>
        <w:rPr>
          <w:iCs/>
          <w:i/>
        </w:rPr>
        <w:t xml:space="preserve">Machine Learning</w:t>
      </w:r>
      <w:r>
        <w:t xml:space="preserve">. 2001;45:5–32.</w:t>
      </w:r>
    </w:p>
    <w:bookmarkEnd w:id="116"/>
    <w:bookmarkStart w:id="118" w:name="ref-stats"/>
    <w:p>
      <w:pPr>
        <w:pStyle w:val="Bibliography"/>
      </w:pPr>
      <w:r>
        <w:t xml:space="preserve">37</w:t>
      </w:r>
      <w:r>
        <w:t xml:space="preserve"> </w:t>
      </w:r>
      <w:r>
        <w:t xml:space="preserve">	</w:t>
      </w:r>
      <w:r>
        <w:t xml:space="preserve">R Core Team. R: A language and environment for statistical computing. 2022.</w:t>
      </w:r>
      <w:r>
        <w:t xml:space="preserve"> </w:t>
      </w:r>
      <w:hyperlink r:id="rId117">
        <w:r>
          <w:rPr>
            <w:rStyle w:val="Hyperlink"/>
          </w:rPr>
          <w:t xml:space="preserve">https://www.R-project.org/</w:t>
        </w:r>
      </w:hyperlink>
    </w:p>
    <w:bookmarkEnd w:id="118"/>
    <w:bookmarkStart w:id="120" w:name="ref-survival"/>
    <w:p>
      <w:pPr>
        <w:pStyle w:val="Bibliography"/>
      </w:pPr>
      <w:r>
        <w:t xml:space="preserve">38</w:t>
      </w:r>
      <w:r>
        <w:t xml:space="preserve"> </w:t>
      </w:r>
      <w:r>
        <w:t xml:space="preserve">	</w:t>
      </w:r>
      <w:r>
        <w:t xml:space="preserve">Therneau TM. A package for survival analysis in r. 2023.</w:t>
      </w:r>
      <w:r>
        <w:t xml:space="preserve"> </w:t>
      </w:r>
      <w:hyperlink r:id="rId119">
        <w:r>
          <w:rPr>
            <w:rStyle w:val="Hyperlink"/>
          </w:rPr>
          <w:t xml:space="preserve">https://CRAN.R-project.org/package=survival</w:t>
        </w:r>
      </w:hyperlink>
    </w:p>
    <w:bookmarkEnd w:id="120"/>
    <w:bookmarkStart w:id="122" w:name="ref-gt"/>
    <w:p>
      <w:pPr>
        <w:pStyle w:val="Bibliography"/>
      </w:pPr>
      <w:r>
        <w:t xml:space="preserve">39</w:t>
      </w:r>
      <w:r>
        <w:t xml:space="preserve"> </w:t>
      </w:r>
      <w:r>
        <w:t xml:space="preserve">	</w:t>
      </w:r>
      <w:r>
        <w:t xml:space="preserve">Iannone R, Cheng J, Schloerke B,</w:t>
      </w:r>
      <w:r>
        <w:t xml:space="preserve"> </w:t>
      </w:r>
      <w:r>
        <w:rPr>
          <w:iCs/>
          <w:i/>
        </w:rPr>
        <w:t xml:space="preserve">et al.</w:t>
      </w:r>
      <w:r>
        <w:t xml:space="preserve"> Gt: Easily create presentation-ready display tables. 2023.</w:t>
      </w:r>
      <w:r>
        <w:t xml:space="preserve"> </w:t>
      </w:r>
      <w:hyperlink r:id="rId121">
        <w:r>
          <w:rPr>
            <w:rStyle w:val="Hyperlink"/>
          </w:rPr>
          <w:t xml:space="preserve">https://CRAN.R-project.org/package=gt</w:t>
        </w:r>
      </w:hyperlink>
    </w:p>
    <w:bookmarkEnd w:id="122"/>
    <w:bookmarkEnd w:id="123"/>
    <w:p>
      <w:r>
        <w:br w:type="page"/>
      </w:r>
    </w:p>
    <w:p>
      <w:pPr>
        <w:sectPr/>
      </w:pPr>
    </w:p>
    <w:bookmarkStart w:id="124"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p>
            <w:pPr>
              <w:pStyle w:val="ListParagraph"/>
              <w:numPr>
                <w:ilvl w:val="0"/>
              </w:numPr>
              <w:spacing w:before="0" w:after="60"/>
              <w:keepNext/>
              <w:jc w:val="start"/>
            </w:pPr>
            <w:r>
              <w:t xml:space="preserve">- </w:t>
            </w:r>
            <w:r>
              <w:rPr>
                <w:rFonts w:ascii="Calibri" w:hAnsi="Calibri"/>
                <w:sz w:val="20"/>
              </w:rPr>
              <w:t xml:space="preserve">Estimated out-of-bag (OOB) error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glm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24"/>
    <w:bookmarkStart w:id="137"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workflow"/>
          <w:p>
            <w:pPr>
              <w:jc w:val="center"/>
            </w:pPr>
            <w:r>
              <w:drawing>
                <wp:inline>
                  <wp:extent cx="6537960" cy="3677602"/>
                  <wp:effectExtent b="0" l="0" r="0" t="0"/>
                  <wp:docPr descr="" title="" id="126" name="Picture"/>
                  <a:graphic>
                    <a:graphicData uri="http://schemas.openxmlformats.org/drawingml/2006/picture">
                      <pic:pic>
                        <pic:nvPicPr>
                          <pic:cNvPr descr="../figures/Figure_1_workflow.jpg" id="127" name="Picture"/>
                          <pic:cNvPicPr>
                            <a:picLocks noChangeArrowheads="1" noChangeAspect="1"/>
                          </pic:cNvPicPr>
                        </pic:nvPicPr>
                        <pic:blipFill>
                          <a:blip r:embed="rId125"/>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examples"/>
          <w:p>
            <w:pPr>
              <w:jc w:val="center"/>
            </w:pPr>
            <w:r>
              <w:drawing>
                <wp:inline>
                  <wp:extent cx="5943600" cy="2971800"/>
                  <wp:effectExtent b="0" l="0" r="0" t="0"/>
                  <wp:docPr descr="" title="" id="130" name="Picture"/>
                  <a:graphic>
                    <a:graphicData uri="http://schemas.openxmlformats.org/drawingml/2006/picture">
                      <pic:pic>
                        <pic:nvPicPr>
                          <pic:cNvPr descr="manuscript_files/figure-docx/fig-examples-1.png" id="131" name="Picture"/>
                          <pic:cNvPicPr>
                            <a:picLocks noChangeArrowheads="1" noChangeAspect="1"/>
                          </pic:cNvPicPr>
                        </pic:nvPicPr>
                        <pic:blipFill>
                          <a:blip r:embed="rId129"/>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[28]</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results"/>
          <w:p>
            <w:pPr>
              <w:jc w:val="center"/>
            </w:pPr>
            <w:r>
              <w:drawing>
                <wp:inline>
                  <wp:extent cx="5943600" cy="2698134"/>
                  <wp:effectExtent b="0" l="0" r="0" t="0"/>
                  <wp:docPr descr="" title="" id="134" name="Picture"/>
                  <a:graphic>
                    <a:graphicData uri="http://schemas.openxmlformats.org/drawingml/2006/picture">
                      <pic:pic>
                        <pic:nvPicPr>
                          <pic:cNvPr descr="../figures/Figure_3_results.jpg" id="135" name="Picture"/>
                          <pic:cNvPicPr>
                            <a:picLocks noChangeArrowheads="1" noChangeAspect="1"/>
                          </pic:cNvPicPr>
                        </pic:nvPicPr>
                        <pic:blipFill>
                          <a:blip r:embed="rId133"/>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36"/>
        </w:tc>
      </w:tr>
    </w:tbl>
    <w:p>
      <w:pPr>
        <w:sectPr>
          <w:pgSz w:h="11906" w:w="16838" w:orient="landscape"/>
        </w:sectPr>
      </w:pPr>
    </w:p>
    <w:bookmarkEnd w:id="137"/>
    <w:bookmarkEnd w:id="138"/>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jpg" /><Relationship Type="http://schemas.openxmlformats.org/officeDocument/2006/relationships/image" Id="rId133" Target="media/rId133.jpg" /><Relationship Type="http://schemas.openxmlformats.org/officeDocument/2006/relationships/image" Id="rId26" Target="media/rId26.png" /><Relationship Type="http://schemas.openxmlformats.org/officeDocument/2006/relationships/image" Id="rId129" Target="media/rId129.png" /><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2023-12-05T18:30:50Z</dcterms:created>
  <dcterms:modified xsi:type="dcterms:W3CDTF">2023-12-05T18:30:50Z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