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6.jpg" ContentType="image/jpeg"/>
  <Override PartName="/word/media/rId124.jpg" ContentType="image/jpeg"/>
  <Override PartName="/word/media/rId26.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4</w:t>
      </w:r>
      <w:r>
        <w:t xml:space="preserve">, Wei Liu</w:t>
      </w:r>
      <w:r>
        <w:rPr>
          <w:vertAlign w:val="superscript"/>
        </w:rPr>
        <w:t xml:space="preserve">4</w:t>
      </w:r>
      <w:r>
        <w:t xml:space="preserve">, Jie Li</w:t>
      </w:r>
      <w:r>
        <w:rPr>
          <w:vertAlign w:val="superscript"/>
        </w:rPr>
        <w:t xml:space="preserve">4</w:t>
      </w:r>
      <w:r>
        <w:t xml:space="preserve">, José J. Hernández-Muñoz</w:t>
      </w:r>
      <w:r>
        <w:rPr>
          <w:vertAlign w:val="superscript"/>
        </w:rPr>
        <w:t xml:space="preserve">4</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Department of Population Health Sciences, Duke University School of Medicine, Durham, NC</w:t>
      </w:r>
    </w:p>
    <w:p>
      <w:pPr>
        <w:pStyle w:val="BodyText"/>
      </w:pPr>
      <w:r>
        <w:rPr>
          <w:vertAlign w:val="superscript"/>
        </w:rPr>
        <w:t xml:space="preserve">3</w:t>
      </w:r>
      <w:r>
        <w:t xml:space="preserve">Biostatistics Division, Kaiser Permanente Washington Health Research Institute, Seattle, WA</w:t>
      </w:r>
    </w:p>
    <w:p>
      <w:pPr>
        <w:pStyle w:val="BodyText"/>
      </w:pPr>
      <w:r>
        <w:rPr>
          <w:vertAlign w:val="superscript"/>
        </w:rPr>
        <w:t xml:space="preserve">4</w:t>
      </w:r>
      <w:r>
        <w:t xml:space="preserve">Center for Drug Evaluation and Research, Food and Drug Administration, Silver Spring, MD</w:t>
      </w:r>
    </w:p>
    <w:p>
      <w:pPr>
        <w:pStyle w:val="BodyText"/>
      </w:pPr>
      <w:r>
        <w:rPr>
          <w:vertAlign w:val="superscript"/>
        </w:rPr>
        <w:t xml:space="preserve">5</w:t>
      </w:r>
      <w:r>
        <w:t xml:space="preserve">Department of Population Medicine, Harvard Medical School and Harvard Pilgrim Health Care Institute,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2,070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147 words/150 words</w:t>
      </w:r>
    </w:p>
    <w:p>
      <w:pPr>
        <w:pStyle w:val="BodyText"/>
      </w:pPr>
      <w:r>
        <w:rPr>
          <w:bCs/>
          <w:b/>
        </w:rPr>
        <w:t xml:space="preserve">Objectives</w:t>
      </w:r>
    </w:p>
    <w:p>
      <w:pPr>
        <w:pStyle w:val="BodyText"/>
      </w:pPr>
      <w:r>
        <w:t xml:space="preserve">Partially observed confounder data are a major challenge for the statistical analysis of electronic health records (EHR). While analytic approaches exist (e.g., multiple imputation), assumptions on underlying missingness patterns and mechanisms have to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 smdi (structural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t xml:space="preserve">smdi enables users to run principled missing data investigations on partially observed confounders and implements functions to visualize, describe and infer potential missingness patterns and mechanisms based on available data.</w:t>
      </w:r>
    </w:p>
    <w:p>
      <w:pPr>
        <w:pStyle w:val="BodyText"/>
      </w:pPr>
      <w:r>
        <w:rPr>
          <w:bCs/>
          <w:b/>
        </w:rPr>
        <w:t xml:space="preserve">Conclusions</w:t>
      </w:r>
    </w:p>
    <w:p>
      <w:pPr>
        <w:pStyle w:val="BodyText"/>
      </w:pPr>
      <w:r>
        <w:t xml:space="preserve">The smdi R package is freely available on CRAN and GitLab (</w:t>
      </w:r>
      <w:hyperlink r:id="rId24">
        <w:r>
          <w:rPr>
            <w:rStyle w:val="Hyperlink"/>
          </w:rPr>
          <w:t xml:space="preserve">https://gitlab-scm.partners.org/janickweberpals/smdi</w:t>
        </w:r>
      </w:hyperlink>
      <w:r>
        <w:t xml:space="preserve">) and can give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As opposed to clinical trials, which are designed to collect data for research purposes in a harmonized manner, real-world data are typically generated for administrative purposes (e.g., health insurance claims for billing purposes) or clinical documentation (e.g., electronic health records). Hence, confounders and prognostic factors, which need to be balanced between treatment groups in real-world evidence studies, are usually not available for all patients at all necessary time points which leads to missing data. If the underlying missingness mechanisms of such factors is not at random, e.g., patients with higher levels of a prognostic biomarker are more likely to have missing data, this can lead to bias in the resulting effect estimates for the studied treatments if common missing data analysis methods like complete case analysis or imputation are used. Hence, it is of utmost importance to investigate the potential patterns and mechanisms to know if assumptions for common analytic methods hold. Here, we present the smdi R package, which enables researchers to perform such principled missing data investigations on partially observed confounders. The smdi package implements functions to visualize and describe missing data and to infer potential missingness patterns and mechanisms based on available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coming from randomized controlled trials (RCTs)</w:t>
      </w:r>
      <w:r>
        <w:t xml:space="preserve"> </w:t>
      </w:r>
      <w:r>
        <w:t xml:space="preserve">[1,2]</w:t>
      </w:r>
      <w:r>
        <w:t xml:space="preserve">. Due to their detailed capture of clinical parameters such as vital signs, lab measurements, physician assessments and lifestyle factors, EHRs can significantly improve the ability to control for confounding and imbalances in prognostic factors between treatment groups, especially when linked to administrative claims databases</w:t>
      </w:r>
      <w:r>
        <w:t xml:space="preserve"> </w:t>
      </w:r>
      <w:r>
        <w:t xml:space="preserve">[3]</w:t>
      </w:r>
      <w:r>
        <w:t xml:space="preserve">. However, such prognostic factors are often just partially observed which challenges the statistical analysis of the data and can result in severe bias when predicting or estimating treatment effects if not handled appropriately</w:t>
      </w:r>
      <w:r>
        <w:t xml:space="preserve"> </w:t>
      </w:r>
      <w:r>
        <w:t xml:space="preserve">[4–6]</w:t>
      </w:r>
      <w:r>
        <w:t xml:space="preserve">.</w:t>
      </w:r>
    </w:p>
    <w:p>
      <w:pPr>
        <w:pStyle w:val="BodyText"/>
      </w:pPr>
      <w:r>
        <w:t xml:space="preserve">In order to make an informed decision about the most appropriate analytic approach, it is crucial to investigate and understand the potential patterns and mechanisms that underlie the partially observed confounder (POC) data (see definitions box)</w:t>
      </w:r>
      <w:r>
        <w:t xml:space="preserve"> </w:t>
      </w:r>
      <w:r>
        <w:t xml:space="preserve">[7–9]</w:t>
      </w:r>
      <w:r>
        <w:t xml:space="preserve">. Usually these are not known for a given RWE study but general guidance papers and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MCAR</w:t>
            </w:r>
            <w:r>
              <w:t xml:space="preserve">: The missingness does not depend on any other observed or unobserved covariate(s).</w:t>
            </w:r>
          </w:p>
          <w:p>
            <w:pPr>
              <w:numPr>
                <w:ilvl w:val="0"/>
                <w:numId w:val="1002"/>
              </w:numPr>
            </w:pPr>
            <w:r>
              <w:rPr>
                <w:bCs/>
                <w:b/>
              </w:rPr>
              <w:t xml:space="preserve">MAR</w:t>
            </w:r>
            <w:r>
              <w:t xml:space="preserve">: The missingness depends and can be explained by other observed covariates.</w:t>
            </w:r>
          </w:p>
          <w:p>
            <w:pPr>
              <w:numPr>
                <w:ilvl w:val="0"/>
                <w:numId w:val="1002"/>
              </w:numPr>
            </w:pPr>
            <w:r>
              <w:rPr>
                <w:bCs/>
                <w:b/>
              </w:rPr>
              <w:t xml:space="preserve">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In light of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 (e.g., missing data imputation).</w:t>
      </w:r>
    </w:p>
    <w:bookmarkEnd w:id="31"/>
    <w:bookmarkStart w:id="32" w:name="objective"/>
    <w:p>
      <w:pPr>
        <w:pStyle w:val="Heading1"/>
      </w:pPr>
      <w:r>
        <w:t xml:space="preserve">Objective</w:t>
      </w:r>
    </w:p>
    <w:p>
      <w:pPr>
        <w:pStyle w:val="FirstParagraph"/>
      </w:pPr>
      <w:r>
        <w:t xml:space="preserve">To streamline and ease the implementation of these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the quality and robustness of the package,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 under</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a user can specify, the returned results and how these results can be interpreted. Examples are illustrated using a simulated EHR dataset that is part of the package (more details under</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the variables relevant for the study, i.e., exposure, outcome, fully observed covariates and the POCs. Any non-informative columns, such as patient identifiers, date columns or zip codes should be dropped from the dataframe before calling the functions. Throughout all functions, the user has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takes the dataframe as input and returns the amount and proportion of missing observations, which can also be stratified by a grouping variable (e.g., by an exposure or outcome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respectivley. The object also returns a detailed</w:t>
      </w:r>
      <w:r>
        <w:t xml:space="preserve"> </w:t>
      </w:r>
      <w:r>
        <w:t xml:space="preserve">‘</w:t>
      </w:r>
      <w:r>
        <w:t xml:space="preserve">Table 1</w:t>
      </w:r>
      <w:r>
        <w:t xml:space="preserve">’</w:t>
      </w:r>
      <w:r>
        <w:t xml:space="preserve"> </w:t>
      </w:r>
      <w:r>
        <w:t xml:space="preserve">for each POC displaying the distributions of observed patient characteristics and resulting ASMDs between patients with and without an observed value for the POC. For a graphical visualization of this, the function returns a plot for each POC illustrating the ASMD for each compared patient characteristic (example</w:t>
      </w:r>
      <w:r>
        <w:t xml:space="preserve"> </w:t>
      </w:r>
      <w:hyperlink w:anchor="fig-examples">
        <w:r>
          <w:rPr>
            <w:rStyle w:val="Hyperlink"/>
          </w:rPr>
          <w:t xml:space="preserve">Figure 2</w:t>
        </w:r>
      </w:hyperlink>
      <w:r>
        <w:t xml:space="preserve"> </w:t>
      </w:r>
      <w:r>
        <w:t xml:space="preserve">c)</w:t>
      </w:r>
      <w:r>
        <w:t xml:space="preserve"> </w:t>
      </w:r>
      <w:r>
        <w:t xml:space="preserve">[30]</w:t>
      </w:r>
      <w:r>
        <w:t xml:space="preserve">.</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the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The group 2 diagnostics assesses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rather indicate a random prediction and translate to a potential MCAR or MNAR mechanism.</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chosen by the user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will compute both a univariate model and a model adjusted for all other covariates included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one would expect,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a user needs to specify the column name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a user to compute all three group diagnostics with just one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covar =</w:t>
      </w:r>
      <w:r>
        <w:rPr>
          <w:rStyle w:val="NormalTok"/>
        </w:rPr>
        <w:t xml:space="preserve"> </w:t>
      </w:r>
      <w:r>
        <w:rPr>
          <w:rStyle w:val="ConstantTok"/>
        </w:rPr>
        <w:t xml:space="preserve">NULL</w:t>
      </w:r>
      <w:r>
        <w:rPr>
          <w:rStyle w:val="NormalTok"/>
        </w:rPr>
        <w:t xml:space="preserve">, </w:t>
      </w:r>
      <w:r>
        <w:rPr>
          <w:rStyle w:val="CommentTok"/>
        </w:rPr>
        <w:t xml:space="preserve"># NULL includes all covariates with at least one NA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rPr>
          <w:rStyle w:val="NormalTok"/>
        </w:rPr>
        <w:t xml:space="preserve"> </w:t>
      </w:r>
      <w:r>
        <w:rPr>
          <w:rStyle w:val="CommentTok"/>
        </w:rPr>
        <w:t xml:space="preserve"># number of cores to parallelize computations 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smdi_style_gt</w:t>
      </w:r>
      <w:r>
        <w:rPr>
          <w:rStyle w:val="NormalTok"/>
        </w:rPr>
        <w:t xml:space="preserve">()</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The</w:t>
      </w:r>
      <w:r>
        <w:t xml:space="preserve"> </w:t>
      </w:r>
      <w:r>
        <w:rPr>
          <w:rStyle w:val="VerbatimChar"/>
        </w:rPr>
        <w:t xml:space="preserve">smdi_style_gt()</w:t>
      </w:r>
      <w:r>
        <w:t xml:space="preserve"> </w:t>
      </w:r>
      <w:r>
        <w:t xml:space="preserve">function is an ancillary function that takes an object of class</w:t>
      </w:r>
      <w:r>
        <w:t xml:space="preserve"> </w:t>
      </w:r>
      <w:r>
        <w:rPr>
          <w:iCs/>
          <w:i/>
        </w:rPr>
        <w:t xml:space="preserve">smdi</w:t>
      </w:r>
      <w:r>
        <w:t xml:space="preserve"> </w:t>
      </w:r>
      <w:r>
        <w:t xml:space="preserve">and produces a formatted and publication-ready gt table</w:t>
      </w:r>
      <w:r>
        <w:t xml:space="preserve"> </w:t>
      </w:r>
      <w:r>
        <w:t xml:space="preserve">[35]</w:t>
      </w:r>
      <w:r>
        <w:t xml:space="preserve"> </w:t>
      </w:r>
      <w:r>
        <w:t xml:space="preserve">which can be seamlessly exported to different file formats (e.g., .docx, .pdf, etc.) for reports or manuscripts.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EHR and may lead to bias if not handled appropriately. We developed</w:t>
      </w:r>
      <w:r>
        <w:t xml:space="preserve"> </w:t>
      </w:r>
      <w:r>
        <w:rPr>
          <w:rStyle w:val="VerbatimChar"/>
        </w:rPr>
        <w:t xml:space="preserve">smdi</w:t>
      </w:r>
      <w:r>
        <w:t xml:space="preserve"> </w:t>
      </w:r>
      <w:r>
        <w:t xml:space="preserve">to streamline routine diagnostics of missing data. By cross-checking the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patterns and mechanisms and help elucidate if analytic approaches such as imputation analyses are viable options.</w:t>
      </w:r>
    </w:p>
    <w:p>
      <w:pPr>
        <w:pStyle w:val="BodyText"/>
      </w:pPr>
      <w:r>
        <w:t xml:space="preserve">The package also comes with limitations, such that the true underlying missingness generating mechanism can never be inferred with absolute certainty from the observed data. Hence, it’s important to complement diagnostic results with substantive expert knowledge to factor in how covariates are measured in routine care processes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and carry out principled routine missing data diagnostics in RWE studies. This will improve the robustness of studies involving POCs by helping elucidate if certain analytic approaches are viable options for a given dataset.</w:t>
      </w:r>
    </w:p>
    <w:p>
      <w:r>
        <w:br w:type="page"/>
      </w:r>
    </w:p>
    <w:bookmarkEnd w:id="45"/>
    <w:bookmarkEnd w:id="46"/>
    <w:bookmarkStart w:id="129" w:name="references"/>
    <w:p>
      <w:pPr>
        <w:pStyle w:val="Heading1"/>
      </w:pPr>
      <w:r>
        <w:t xml:space="preserve">References</w:t>
      </w:r>
    </w:p>
    <w:bookmarkStart w:id="114"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Start w:id="113" w:name="ref-gt"/>
    <w:p>
      <w:pPr>
        <w:pStyle w:val="Bibliography"/>
      </w:pPr>
      <w:r>
        <w:t xml:space="preserve">35</w:t>
      </w:r>
      <w:r>
        <w:t xml:space="preserve"> </w:t>
      </w:r>
      <w:r>
        <w:t xml:space="preserve">	</w:t>
      </w:r>
      <w:r>
        <w:t xml:space="preserve">Iannone R, Cheng J, Schloerke B,</w:t>
      </w:r>
      <w:r>
        <w:t xml:space="preserve"> </w:t>
      </w:r>
      <w:r>
        <w:rPr>
          <w:iCs/>
          <w:i/>
        </w:rPr>
        <w:t xml:space="preserve">et al.</w:t>
      </w:r>
      <w:r>
        <w:t xml:space="preserve"> Gt: Easily create presentation-ready display tables. Published Online First: 2023.</w:t>
      </w:r>
      <w:hyperlink r:id="rId112">
        <w:r>
          <w:rPr>
            <w:rStyle w:val="Hyperlink"/>
          </w:rPr>
          <w:t xml:space="preserve">https://CRAN.R-project.org/package=gt</w:t>
        </w:r>
      </w:hyperlink>
    </w:p>
    <w:bookmarkEnd w:id="113"/>
    <w:bookmarkEnd w:id="114"/>
    <w:p>
      <w:r>
        <w:br w:type="page"/>
      </w:r>
    </w:p>
    <w:p>
      <w:pPr>
        <w:sectPr/>
      </w:pPr>
    </w:p>
    <w:bookmarkStart w:id="115"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5"/>
    <w:bookmarkStart w:id="12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9" w:name="fig-workflow"/>
          <w:p>
            <w:pPr>
              <w:jc w:val="center"/>
            </w:pPr>
            <w:r>
              <w:drawing>
                <wp:inline>
                  <wp:extent cx="6537960" cy="3677602"/>
                  <wp:effectExtent b="0" l="0" r="0" t="0"/>
                  <wp:docPr descr="" title="" id="117" name="Picture"/>
                  <a:graphic>
                    <a:graphicData uri="http://schemas.openxmlformats.org/drawingml/2006/picture">
                      <pic:pic>
                        <pic:nvPicPr>
                          <pic:cNvPr descr="../figures/Figure_1_workflow.jpg" id="118" name="Picture"/>
                          <pic:cNvPicPr>
                            <a:picLocks noChangeArrowheads="1" noChangeAspect="1"/>
                          </pic:cNvPicPr>
                        </pic:nvPicPr>
                        <pic:blipFill>
                          <a:blip r:embed="rId116"/>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9"/>
        </w:tc>
      </w:tr>
    </w:tbl>
    <w:p>
      <w:r>
        <w:br w:type="page"/>
      </w:r>
    </w:p>
    <w:tbl>
      <w:tblPr>
        <w:tblStyle w:val="Table"/>
        <w:tblW w:type="pct" w:w="5000"/>
        <w:tblLook w:firstRow="0" w:lastRow="0" w:firstColumn="0" w:lastColumn="0" w:noHBand="0" w:noVBand="0" w:val="0000"/>
        <w:jc w:val="start"/>
      </w:tblPr>
      <w:tblGrid>
        <w:gridCol w:w="7920"/>
      </w:tblGrid>
      <w:tr>
        <w:tc>
          <w:tcPr/>
          <w:bookmarkStart w:id="123" w:name="fig-examples"/>
          <w:p>
            <w:pPr>
              <w:jc w:val="center"/>
            </w:pPr>
            <w:r>
              <w:drawing>
                <wp:inline>
                  <wp:extent cx="5943600" cy="3962400"/>
                  <wp:effectExtent b="0" l="0" r="0" t="0"/>
                  <wp:docPr descr="" title="" id="121" name="Picture"/>
                  <a:graphic>
                    <a:graphicData uri="http://schemas.openxmlformats.org/drawingml/2006/picture">
                      <pic:pic>
                        <pic:nvPicPr>
                          <pic:cNvPr descr="manuscript_files/figure-docx/fig-examples-1.png" id="122" name="Picture"/>
                          <pic:cNvPicPr>
                            <a:picLocks noChangeArrowheads="1" noChangeAspect="1"/>
                          </pic:cNvPicPr>
                        </pic:nvPicPr>
                        <pic:blipFill>
                          <a:blip r:embed="rId120"/>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results"/>
          <w:p>
            <w:pPr>
              <w:jc w:val="center"/>
            </w:pPr>
            <w:r>
              <w:drawing>
                <wp:inline>
                  <wp:extent cx="5943600" cy="2698134"/>
                  <wp:effectExtent b="0" l="0" r="0" t="0"/>
                  <wp:docPr descr="" title="" id="125" name="Picture"/>
                  <a:graphic>
                    <a:graphicData uri="http://schemas.openxmlformats.org/drawingml/2006/picture">
                      <pic:pic>
                        <pic:nvPicPr>
                          <pic:cNvPr descr="../figures/Figure_3_results.jpg" id="126" name="Picture"/>
                          <pic:cNvPicPr>
                            <a:picLocks noChangeArrowheads="1" noChangeAspect="1"/>
                          </pic:cNvPicPr>
                        </pic:nvPicPr>
                        <pic:blipFill>
                          <a:blip r:embed="rId124"/>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7"/>
        </w:tc>
      </w:tr>
    </w:tbl>
    <w:p>
      <w:pPr>
        <w:sectPr>
          <w:pgSz w:h="11906" w:w="16838" w:orient="landscape"/>
        </w:sectPr>
      </w:pPr>
    </w:p>
    <w:bookmarkEnd w:id="128"/>
    <w:bookmarkEnd w:id="12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6" Target="media/rId116.jpg" /><Relationship Type="http://schemas.openxmlformats.org/officeDocument/2006/relationships/image" Id="rId124" Target="media/rId124.jpg" /><Relationship Type="http://schemas.openxmlformats.org/officeDocument/2006/relationships/image" Id="rId26" Target="media/rId26.png" /><Relationship Type="http://schemas.openxmlformats.org/officeDocument/2006/relationships/image" Id="rId120" Target="media/rId120.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2"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2"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2023-08-21T19:50:18Z</dcterms:created>
  <dcterms:modified xsi:type="dcterms:W3CDTF">2023-08-21T19:50:18Z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