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116.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words/2000 words</w:t>
      </w:r>
    </w:p>
    <w:p>
      <w:pPr>
        <w:pStyle w:val="BodyText"/>
      </w:pPr>
      <w:r>
        <w:rPr>
          <w:bCs/>
          <w:b/>
          <w:u w:val="single"/>
        </w:rPr>
        <w:t xml:space="preserve">Tables:</w:t>
      </w:r>
      <w:r>
        <w:t xml:space="preserve"> </w:t>
      </w:r>
      <w:r>
        <w:rPr>
          <w:bCs/>
          <w:b/>
        </w:rPr>
        <w:t xml:space="preserve">x/2</w:t>
      </w:r>
    </w:p>
    <w:p>
      <w:pPr>
        <w:pStyle w:val="BodyText"/>
      </w:pPr>
      <w:r>
        <w:rPr>
          <w:bCs/>
          <w:b/>
          <w:u w:val="single"/>
        </w:rPr>
        <w:t xml:space="preserve">Figures:</w:t>
      </w:r>
      <w:r>
        <w:t xml:space="preserve"> </w:t>
      </w:r>
      <w:r>
        <w:rPr>
          <w:bCs/>
          <w:b/>
        </w:rPr>
        <w:t xml:space="preserve">x/3</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 Real-World Evidence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materials and depedency information can be found at</w:t>
      </w:r>
      <w:r>
        <w:t xml:space="preserve"> </w:t>
      </w:r>
      <w:hyperlink r:id="rId22">
        <w:r>
          <w:rPr>
            <w:rStyle w:val="Hyperlink"/>
          </w:rPr>
          <w:t xml:space="preserve">https://gitlab-scm.partners.org/drugepi/smdi-manuscript</w:t>
        </w:r>
      </w:hyperlink>
      <w:r>
        <w:t xml:space="preserve">. The R package presented in this study can be downloaded from CRAN via</w:t>
      </w:r>
      <w:r>
        <w:t xml:space="preserve"> </w:t>
      </w:r>
      <w:r>
        <w:rPr>
          <w:rStyle w:val="VerbatimChar"/>
        </w:rPr>
        <w:t xml:space="preserve">install.packages("smdi")</w:t>
      </w:r>
      <w:r>
        <w:t xml:space="preserve"> </w:t>
      </w:r>
      <w:r>
        <w:t xml:space="preserve">or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pPr>
        <w:pStyle w:val="FirstParagraph"/>
      </w:pPr>
      <w:r>
        <w:t xml:space="preserve">xxx words/150 words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30" w:name="background-and-significance"/>
    <w:p>
      <w:pPr>
        <w:pStyle w:val="Heading1"/>
      </w:pPr>
      <w:r>
        <w:t xml:space="preserve">Background and Significance</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(see definitions box). These methods comprise standard procedures such as comparing baseline characteristics and outcomes between patients with and without the partially observed covariate(s)</w:t>
      </w:r>
      <w:r>
        <w:t xml:space="preserve"> </w:t>
      </w:r>
      <w:r>
        <w:t xml:space="preserve">[10–14]</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[15]</w:t>
      </w:r>
      <w:r>
        <w:t xml:space="preserve"> </w:t>
      </w:r>
      <w:r>
        <w:t xml:space="preserve">guided by directed acyclic graphs</w:t>
      </w:r>
      <w:r>
        <w:t xml:space="preserve"> </w:t>
      </w:r>
      <w:r>
        <w:t xml:space="preserve">[16,17]</w:t>
      </w:r>
      <w:r>
        <w:t xml:space="preserve"> </w:t>
      </w:r>
      <w:r>
        <w:t xml:space="preserve">or M-graphs</w:t>
      </w:r>
      <w:r>
        <w:t xml:space="preserve"> </w:t>
      </w:r>
      <w:r>
        <w:t xml:space="preserve">[18]</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studies</w:t>
      </w:r>
      <w:r>
        <w:t xml:space="preserve"> </w:t>
      </w:r>
      <w:r>
        <w:t xml:space="preserve">[19–21]</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RStudio.app/Contents/Resources/app/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Basic missing data taxonomies.</w:t>
            </w:r>
          </w:p>
        </w:tc>
      </w:tr>
      <w:tr>
        <w:trPr>
          <w:cantSplit/>
        </w:trPr>
        <w:tc>
          <w:tcPr>
            <w:tcMar>
              <w:top w:w="108" w:type="dxa"/>
              <w:bottom w:w="108" w:type="dxa"/>
            </w:tcMar>
          </w:tcPr>
          <w:bookmarkStart w:id="28" w:name="Xc6ed6a340c96d6b3a1152225b78be081073810f"/>
          <w:p>
            <w:pPr>
              <w:pStyle w:val="Heading3"/>
            </w:pPr>
            <w:r>
              <w:t xml:space="preserve">Patterns (taken from Van Buuren</w:t>
            </w:r>
            <w:r>
              <w:t xml:space="preserve"> </w:t>
            </w:r>
            <w:r>
              <w:t xml:space="preserve">[7]</w:t>
            </w:r>
            <w:r>
              <w:t xml:space="preserve">)</w:t>
            </w:r>
          </w:p>
          <w:p>
            <w:pPr>
              <w:numPr>
                <w:ilvl w:val="0"/>
                <w:numId w:val="1002"/>
              </w:numPr>
            </w:pPr>
            <w:r>
              <w:t xml:space="preserve">Monotone pattern: If Y</w:t>
            </w:r>
            <w:r>
              <w:rPr>
                <w:vertAlign w:val="subscript"/>
              </w:rPr>
              <w:t xml:space="preserve">j</w:t>
            </w:r>
            <w:r>
              <w:t xml:space="preserve"> </w:t>
            </w:r>
            <w:r>
              <w:t xml:space="preserve">is the j</w:t>
            </w:r>
            <w:r>
              <w:rPr>
                <w:vertAlign w:val="superscript"/>
              </w:rPr>
              <w:t xml:space="preserve">th</w:t>
            </w:r>
            <w:r>
              <w:t xml:space="preserve"> </w:t>
            </w:r>
            <w:r>
              <w:t xml:space="preserve">column in a dataset</w:t>
            </w:r>
            <w:r>
              <w:t xml:space="preserve"> </w:t>
            </w:r>
            <w:r>
              <w:rPr>
                <w:iCs/>
                <w:i/>
              </w:rPr>
              <w:t xml:space="preserve">Y</w:t>
            </w:r>
            <w:r>
              <w:t xml:space="preserve">, a missing data pattern is said to be</w:t>
            </w:r>
            <w:r>
              <w:t xml:space="preserve"> </w:t>
            </w:r>
            <w:r>
              <w:rPr>
                <w:iCs/>
                <w:i/>
              </w:rPr>
              <w:t xml:space="preserve">monotone</w:t>
            </w:r>
            <w:r>
              <w:t xml:space="preserve"> </w:t>
            </w:r>
            <w:r>
              <w:t xml:space="preserve">if the variables Y</w:t>
            </w:r>
            <w:r>
              <w:rPr>
                <w:vertAlign w:val="subscript"/>
              </w:rPr>
              <w:t xml:space="preserve">j</w:t>
            </w:r>
            <w:r>
              <w:t xml:space="preserve"> </w:t>
            </w:r>
            <w:r>
              <w:t xml:space="preserve">can be ordered such that if Y</w:t>
            </w:r>
            <w:r>
              <w:rPr>
                <w:vertAlign w:val="subscript"/>
              </w:rPr>
              <w:t xml:space="preserve">j</w:t>
            </w:r>
            <w:r>
              <w:t xml:space="preserve"> </w:t>
            </w:r>
            <w:r>
              <w:t xml:space="preserve">is missing then all variables Y</w:t>
            </w:r>
            <w:r>
              <w:rPr>
                <w:vertAlign w:val="subscript"/>
              </w:rPr>
              <w:t xml:space="preserve">k</w:t>
            </w:r>
            <w:r>
              <w:t xml:space="preserve"> </w:t>
            </w:r>
            <w:r>
              <w:t xml:space="preserve">with</w:t>
            </w:r>
            <w:r>
              <w:t xml:space="preserve"> </w:t>
            </w:r>
            <w:r>
              <w:rPr>
                <w:iCs/>
                <w:i/>
              </w:rPr>
              <w:t xml:space="preserve">k &gt; j</w:t>
            </w:r>
            <w:r>
              <w:t xml:space="preserve"> </w:t>
            </w:r>
            <w:r>
              <w:t xml:space="preserve">are also missing. This can occur, for example, in longitudinal studies with drop-out or with clinical labs which are typically measured together as part of a lab panel (e.g., renal or liver panel).</w:t>
            </w:r>
          </w:p>
          <w:p>
            <w:pPr>
              <w:numPr>
                <w:ilvl w:val="0"/>
                <w:numId w:val="1002"/>
              </w:numPr>
            </w:pPr>
            <w:r>
              <w:t xml:space="preserve">Non-monotone pattern: If the pattern is not monotone, it is called</w:t>
            </w:r>
            <w:r>
              <w:t xml:space="preserve"> </w:t>
            </w:r>
            <w:r>
              <w:rPr>
                <w:iCs/>
                <w:i/>
              </w:rPr>
              <w:t xml:space="preserve">non-monotone</w:t>
            </w:r>
            <w:r>
              <w:t xml:space="preserve"> </w:t>
            </w:r>
            <w:r>
              <w:t xml:space="preserve">or</w:t>
            </w:r>
            <w:r>
              <w:t xml:space="preserve"> </w:t>
            </w:r>
            <w:r>
              <w:rPr>
                <w:iCs/>
                <w:i/>
              </w:rPr>
              <w:t xml:space="preserve">general</w:t>
            </w:r>
            <w:r>
              <w:t xml:space="preserve">.</w:t>
            </w:r>
          </w:p>
          <w:bookmarkEnd w:id="28"/>
          <w:bookmarkStart w:id="29" w:name="X0fd4bbc5c4a7f94107974e5068e3d69c572ff83"/>
          <w:p>
            <w:pPr>
              <w:pStyle w:val="Heading3"/>
            </w:pPr>
            <w:r>
              <w:t xml:space="preserve">Mechanisms (taken from Sondhi and Weberpals et al.</w:t>
            </w:r>
            <w:r>
              <w:t xml:space="preserve"> </w:t>
            </w:r>
            <w:r>
              <w:t xml:space="preserve">[11]</w:t>
            </w:r>
            <w:r>
              <w:t xml:space="preserve">)</w:t>
            </w:r>
          </w:p>
          <w:p>
            <w:pPr>
              <w:numPr>
                <w:ilvl w:val="0"/>
                <w:numId w:val="1003"/>
              </w:numPr>
            </w:pPr>
            <w:r>
              <w:rPr>
                <w:bCs/>
                <w:b/>
              </w:rPr>
              <w:t xml:space="preserve">MCAR</w:t>
            </w:r>
            <w:r>
              <w:t xml:space="preserve">: The missingness does not depend on any other observed or unobserved covariate(s).</w:t>
            </w:r>
          </w:p>
          <w:p>
            <w:pPr>
              <w:numPr>
                <w:ilvl w:val="0"/>
                <w:numId w:val="1003"/>
              </w:numPr>
            </w:pPr>
            <w:r>
              <w:rPr>
                <w:bCs/>
                <w:b/>
              </w:rPr>
              <w:t xml:space="preserve">MCAR</w:t>
            </w:r>
            <w:r>
              <w:t xml:space="preserve">: The missingness depends and can be explained by other observed covariates.</w:t>
            </w:r>
          </w:p>
          <w:p>
            <w:pPr>
              <w:numPr>
                <w:ilvl w:val="0"/>
                <w:numId w:val="1003"/>
              </w:numPr>
            </w:pPr>
            <w:r>
              <w:rPr>
                <w:bCs/>
                <w:b/>
              </w:rPr>
              <w:t xml:space="preserve">MNAR</w:t>
            </w:r>
            <w:r>
              <w:t xml:space="preserve">: The missingness depends on unoberserved covariate(s). For example, the missingness may be explained by other covariate(s) which is/are not observed in the underlying dataset (MNAR</w:t>
            </w:r>
            <w:r>
              <w:rPr>
                <w:vertAlign w:val="subscript"/>
              </w:rPr>
              <w:t xml:space="preserve">unmeasured</w:t>
            </w:r>
            <w:r>
              <w:t xml:space="preserve">). The missingness can also just dependent on the actual value of the partially observed covariate itself (MNAR</w:t>
            </w:r>
            <w:r>
              <w:rPr>
                <w:vertAlign w:val="subscript"/>
              </w:rPr>
              <w:t xml:space="preserve">value</w:t>
            </w:r>
            <w:r>
              <w:t xml:space="preserve">).</w:t>
            </w:r>
          </w:p>
        </w:tc>
      </w:tr>
    </w:tbl>
    <w:bookmarkEnd w:id="29"/>
    <w:p>
      <w:pPr>
        <w:pStyle w:val="FirstParagraph"/>
      </w:pPr>
      <w:r>
        <w:t xml:space="preserve">To overcome these shortcomings, we</w:t>
      </w:r>
      <w:r>
        <w:t xml:space="preserve"> </w:t>
      </w:r>
      <w:r>
        <w:t xml:space="preserve">[22]</w:t>
      </w:r>
      <w:r>
        <w:t xml:space="preserve"> </w:t>
      </w:r>
      <w:r>
        <w:t xml:space="preserve">have recently developed and evaluated a principled approach combining a range of missing data diagnostics in an US EHR-claims database linkage</w:t>
      </w:r>
      <w:r>
        <w:t xml:space="preserve"> </w:t>
      </w:r>
      <w:r>
        <w:t xml:space="preserve">[23]</w:t>
      </w:r>
      <w:r>
        <w:t xml:space="preserve">. The results of this large-scale study revealed that the combination of these diagnostics characterized missing data mechanisms well and provided helpful guidance for the appropriate choice of analytic methods to handle the partially observed confounder data (e.g., missing data imputation).</w:t>
      </w:r>
    </w:p>
    <w:bookmarkEnd w:id="30"/>
    <w:bookmarkStart w:id="31" w:name="objective"/>
    <w:p>
      <w:pPr>
        <w:pStyle w:val="Heading1"/>
      </w:pPr>
      <w:r>
        <w:t xml:space="preserve">Objective</w:t>
      </w:r>
    </w:p>
    <w:p>
      <w:pPr>
        <w:pStyle w:val="FirstParagraph"/>
      </w:pPr>
      <w:r>
        <w:t xml:space="preserve">To streamline and ease the implementation of these routine missing data diagnostics for confounder data in RWE studies, we developed the</w:t>
      </w:r>
      <w:r>
        <w:t xml:space="preserve"> </w:t>
      </w:r>
      <w:r>
        <w:rPr>
          <w:rStyle w:val="VerbatimChar"/>
        </w:rPr>
        <w:t xml:space="preserve">smdi</w:t>
      </w:r>
      <w:r>
        <w:t xml:space="preserve"> </w:t>
      </w:r>
      <w:r>
        <w:t xml:space="preserve">(structural missing data investigations) R package</w:t>
      </w:r>
      <w:r>
        <w:t xml:space="preserve"> </w:t>
      </w:r>
      <w:r>
        <w:t xml:space="preserve">[24]</w:t>
      </w:r>
      <w:r>
        <w:t xml:space="preserve">. The goal of</w:t>
      </w:r>
      <w:r>
        <w:t xml:space="preserve"> </w:t>
      </w:r>
      <w:r>
        <w:rPr>
          <w:rStyle w:val="VerbatimChar"/>
        </w:rPr>
        <w:t xml:space="preserve">smdi</w:t>
      </w:r>
      <w:r>
        <w:t xml:space="preserve"> </w:t>
      </w:r>
      <w:r>
        <w:t xml:space="preserve">is to provide a toolbox of different diagnostic analyses to scrutinize partially observed confounder data which had not been implemented elsewhere yet and complement other analytic R packages regularly used in RWE studies.</w:t>
      </w:r>
    </w:p>
    <w:p>
      <w:r>
        <w:br w:type="page"/>
      </w:r>
    </w:p>
    <w:bookmarkEnd w:id="31"/>
    <w:bookmarkStart w:id="42" w:name="methods"/>
    <w:p>
      <w:pPr>
        <w:pStyle w:val="Heading1"/>
      </w:pPr>
      <w:r>
        <w:t xml:space="preserve">Methods</w:t>
      </w:r>
    </w:p>
    <w:bookmarkStart w:id="35" w:name="Xa45075acd15e9640673475eae8745975975447e"/>
    <w:p>
      <w:pPr>
        <w:pStyle w:val="Heading2"/>
      </w:pPr>
      <w:r>
        <w:rPr>
          <w:bCs/>
          <w:b/>
        </w:rPr>
        <w:t xml:space="preserve">Package details and installation instructions</w:t>
      </w:r>
    </w:p>
    <w:p>
      <w:pPr>
        <w:pStyle w:val="FirstParagraph"/>
      </w:pPr>
      <w:r>
        <w:t xml:space="preserve">The</w:t>
      </w:r>
      <w:r>
        <w:t xml:space="preserve"> </w:t>
      </w:r>
      <w:r>
        <w:rPr>
          <w:rStyle w:val="VerbatimChar"/>
        </w:rPr>
        <w:t xml:space="preserve">smdi</w:t>
      </w:r>
      <w:r>
        <w:t xml:space="preserve"> </w:t>
      </w:r>
      <w:r>
        <w:t xml:space="preserve">R package was written in R language (version 4.2.1) and using the devtools</w:t>
      </w:r>
      <w:r>
        <w:t xml:space="preserve"> </w:t>
      </w:r>
      <w:r>
        <w:t xml:space="preserve">[25]</w:t>
      </w:r>
      <w:r>
        <w:t xml:space="preserve"> </w:t>
      </w:r>
      <w:r>
        <w:t xml:space="preserve">and roxygen</w:t>
      </w:r>
      <w:r>
        <w:t xml:space="preserve"> </w:t>
      </w:r>
      <w:r>
        <w:t xml:space="preserve">[26]</w:t>
      </w:r>
      <w:r>
        <w:t xml:space="preserve"> </w:t>
      </w:r>
      <w:r>
        <w:t xml:space="preserve">packages. The package is available on CRAN (</w:t>
      </w:r>
      <w:hyperlink r:id="rId32">
        <w:r>
          <w:rPr>
            <w:rStyle w:val="Hyperlink"/>
          </w:rPr>
          <w:t xml:space="preserve">https://cran.r-project.org/web/packages/smdi)</w:t>
        </w:r>
      </w:hyperlink>
      <w:r>
        <w:t xml:space="preserve">, Posit package manager (</w:t>
      </w:r>
      <w:hyperlink r:id="rId33">
        <w:r>
          <w:rPr>
            <w:rStyle w:val="Hyperlink"/>
          </w:rPr>
          <w:t xml:space="preserve">https://packagemanager.posit.co/client/#/repos/2/packages/smdi</w:t>
        </w:r>
      </w:hyperlink>
      <w:r>
        <w:t xml:space="preserve">) and GitLab (</w:t>
      </w:r>
      <w:hyperlink r:id="rId34">
        <w:r>
          <w:rPr>
            <w:rStyle w:val="Hyperlink"/>
          </w:rPr>
          <w:t xml:space="preserve">https://gitlab-scm.partners.org/janickweberpals/smdi</w:t>
        </w:r>
      </w:hyperlink>
      <w:r>
        <w:t xml:space="preserve">) and can be installed via the</w:t>
      </w:r>
      <w:r>
        <w:t xml:space="preserve"> </w:t>
      </w:r>
      <w:r>
        <w:rPr>
          <w:rStyle w:val="VerbatimChar"/>
        </w:rPr>
        <w:t xml:space="preserve">install.packages("smdi")</w:t>
      </w:r>
      <w:r>
        <w:t xml:space="preserve"> </w:t>
      </w:r>
      <w:r>
        <w:t xml:space="preserve">command. To ensure the quality and robustness of the package and corresponding functions, we implemented comprehensive unit tests with a coverage of 95.81% and established automated R CMD checks</w:t>
      </w:r>
      <w:r>
        <w:t xml:space="preserve"> </w:t>
      </w:r>
      <w:r>
        <w:t xml:space="preserve">[27]</w:t>
      </w:r>
      <w:r>
        <w:t xml:space="preserve"> </w:t>
      </w:r>
      <w:r>
        <w:t xml:space="preserve">via continuous integration and deployment which are scheduled to execute on a daily basis.</w:t>
      </w:r>
    </w:p>
    <w:bookmarkEnd w:id="35"/>
    <w:bookmarkStart w:id="41" w:name="Xcb70a4214cdc3e05c3ba327f4bca43522b795a8"/>
    <w:p>
      <w:pPr>
        <w:pStyle w:val="Heading2"/>
      </w:pPr>
      <w:r>
        <w:t xml:space="preserve">Theoretical Background and Main Package Functions</w:t>
      </w:r>
    </w:p>
    <w:p>
      <w:pPr>
        <w:pStyle w:val="FirstParagraph"/>
      </w:pPr>
      <w:hyperlink w:anchor="fig-workflow">
        <w:r>
          <w:rPr>
            <w:rStyle w:val="Hyperlink"/>
          </w:rPr>
          <w:t xml:space="preserve">Figure 1</w:t>
        </w:r>
      </w:hyperlink>
      <w:r>
        <w:t xml:space="preserve"> </w:t>
      </w:r>
      <w:r>
        <w:t xml:space="preserve">illustrates the recommended workflow and functions that can be used to systematically approach diagnostics on partially observed confounders.</w:t>
      </w:r>
    </w:p>
    <w:p>
      <w:pPr>
        <w:pStyle w:val="BodyText"/>
      </w:pPr>
      <w:r>
        <w:t xml:space="preserve">In general, the workflow comprises two broader diagnostic categories: descriptives and pattern diagnostics and inferential diagnostics on potentially underlying missingness mechanisms. In this section, we will explain the basic ideas behind the main package functions, the parameters a user can specify, the results that are being returned by calling the functions and the interpretation of results. Generally, for all functions in the</w:t>
      </w:r>
      <w:r>
        <w:t xml:space="preserve"> </w:t>
      </w:r>
      <w:r>
        <w:rPr>
          <w:rStyle w:val="VerbatimChar"/>
        </w:rPr>
        <w:t xml:space="preserve">smdi</w:t>
      </w:r>
      <w:r>
        <w:t xml:space="preserve"> </w:t>
      </w:r>
      <w:r>
        <w:t xml:space="preserve">package, a</w:t>
      </w:r>
      <w:r>
        <w:t xml:space="preserve"> </w:t>
      </w:r>
      <w:r>
        <w:rPr>
          <w:iCs/>
          <w:i/>
        </w:rPr>
        <w:t xml:space="preserve">dataframe</w:t>
      </w:r>
      <w:r>
        <w:t xml:space="preserve"> </w:t>
      </w:r>
      <w:r>
        <w:t xml:space="preserve">is expected (</w:t>
      </w:r>
      <w:r>
        <w:rPr>
          <w:rStyle w:val="VerbatimChar"/>
        </w:rPr>
        <w:t xml:space="preserve">data</w:t>
      </w:r>
      <w:r>
        <w:t xml:space="preserve"> </w:t>
      </w:r>
      <w:r>
        <w:t xml:space="preserve">parameter) as input with a format where one row represents one unqiue patient and the columns stand for the variables relevant for the study, i.e., the exposure, outcome, fully observed covariates and the partially observed covariates (one-row-per-patient format). Any non-informative columns, such as patient identifiers, date columns or zip codes should be dropped from the dataframe before calling the functions. Throughout all functions, the user has the option to specify a vector with the column name(s) of the partially observed covariate(s) that should be investigated (</w:t>
      </w:r>
      <w:r>
        <w:rPr>
          <w:rStyle w:val="VerbatimChar"/>
        </w:rPr>
        <w:t xml:space="preserve">covar</w:t>
      </w:r>
      <w:r>
        <w:t xml:space="preserve"> </w:t>
      </w:r>
      <w:r>
        <w:t xml:space="preserve">parameter). If nothing is specified, all functions consider automatically any variable in the dataframe that exhibits at least one missing value.</w:t>
      </w:r>
    </w:p>
    <w:bookmarkStart w:id="36" w:name="descriptives-and-pattern-diagnostics"/>
    <w:p>
      <w:pPr>
        <w:pStyle w:val="Heading3"/>
      </w:pPr>
      <w:r>
        <w:t xml:space="preserve">Descriptives and Pattern Diagnostics</w:t>
      </w:r>
    </w:p>
    <w:bookmarkEnd w:id="36"/>
    <w:bookmarkStart w:id="40" w:name="inferential-three-group-diagnostics"/>
    <w:p>
      <w:pPr>
        <w:pStyle w:val="Heading3"/>
      </w:pPr>
      <w:r>
        <w:t xml:space="preserve">Inferential Three Group Diagnostics</w:t>
      </w:r>
    </w:p>
    <w:p>
      <w:pPr>
        <w:pStyle w:val="FirstParagraph"/>
      </w:pPr>
      <w:r>
        <w:t xml:space="preserve">The main functions used to investigate the potential underlying missing data mechanisms are categorized into three group diagnostics based on their general analytic properties (</w:t>
      </w:r>
      <w:r>
        <w:rPr>
          <w:bCs/>
          <w:b/>
        </w:rPr>
        <w:t xml:space="preserve">Table 1</w:t>
      </w:r>
      <w:r>
        <w:t xml:space="preserve">).</w:t>
      </w:r>
    </w:p>
    <w:bookmarkStart w:id="37" w:name="group-1-diagnostics"/>
    <w:p>
      <w:pPr>
        <w:pStyle w:val="Heading4"/>
      </w:pPr>
      <w:r>
        <w:t xml:space="preserve">Group 1 Diagnostics</w:t>
      </w:r>
    </w:p>
    <w:p>
      <w:pPr>
        <w:pStyle w:val="FirstParagraph"/>
      </w:pPr>
      <w:r>
        <w:t xml:space="preserve">The aim of the</w:t>
      </w:r>
      <w:r>
        <w:t xml:space="preserve"> </w:t>
      </w:r>
      <w:r>
        <w:rPr>
          <w:rStyle w:val="VerbatimChar"/>
        </w:rPr>
        <w:t xml:space="preserve">smdi_asmd()</w:t>
      </w:r>
      <w:r>
        <w:t xml:space="preserv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is to explore dissimilarities in patient characteristics between those with and without observed values for the partially observed covariate. According to Rubin’s framework on inference and missing data</w:t>
      </w:r>
      <w:r>
        <w:t xml:space="preserve"> </w:t>
      </w:r>
      <w:r>
        <w:t xml:space="preserve">[8]</w:t>
      </w:r>
      <w:r>
        <w:t xml:space="preserve">, when missingness is at random (MAR), it can be explained by observed covariates. Consequently, significant differences in patient characteristics would be expected under a MAR mechanism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pPr>
        <w:pStyle w:val="BodyText"/>
      </w:pPr>
      <w:r>
        <w:t xml:space="preserve">To quantify and test such differences, the</w:t>
      </w:r>
      <w:r>
        <w:t xml:space="preserve"> </w:t>
      </w:r>
      <w:r>
        <w:rPr>
          <w:rStyle w:val="VerbatimChar"/>
        </w:rPr>
        <w:t xml:space="preserve">smdi_asmd()</w:t>
      </w:r>
      <w:r>
        <w:t xml:space="preserve"> </w:t>
      </w:r>
      <w:r>
        <w:t xml:space="preserve">function computes absolute standardized mean differences (ASMD) of observed patient characteristics</w:t>
      </w:r>
      <w:r>
        <w:t xml:space="preserve"> </w:t>
      </w:r>
      <w:r>
        <w:t xml:space="preserve">[28–30]</w:t>
      </w:r>
      <w:r>
        <w:t xml:space="preserve">. The function returns an</w:t>
      </w:r>
      <w:r>
        <w:t xml:space="preserve"> </w:t>
      </w:r>
      <w:r>
        <w:rPr>
          <w:iCs/>
          <w:i/>
        </w:rPr>
        <w:t xml:space="preserve">asmd</w:t>
      </w:r>
      <w:r>
        <w:t xml:space="preserve"> </w:t>
      </w:r>
      <w:r>
        <w:t xml:space="preserve">object which displays an aggregated summary of the average or median ASMDs (which can be flexibly chosen using the</w:t>
      </w:r>
      <w:r>
        <w:t xml:space="preserve"> </w:t>
      </w:r>
      <w:r>
        <w:rPr>
          <w:rStyle w:val="VerbatimChar"/>
        </w:rPr>
        <w:t xml:space="preserve">median</w:t>
      </w:r>
      <w:r>
        <w:t xml:space="preserve"> </w:t>
      </w:r>
      <w:r>
        <w:t xml:space="preserve">parameter) along with corresponding minimum and maximum AMSDs observed. The</w:t>
      </w:r>
      <w:r>
        <w:t xml:space="preserve"> </w:t>
      </w:r>
      <w:r>
        <w:rPr>
          <w:iCs/>
          <w:i/>
        </w:rPr>
        <w:t xml:space="preserve">asmd</w:t>
      </w:r>
      <w:r>
        <w:t xml:space="preserve"> </w:t>
      </w:r>
      <w:r>
        <w:t xml:space="preserve">object also returns a detailed</w:t>
      </w:r>
      <w:r>
        <w:t xml:space="preserve"> </w:t>
      </w:r>
      <w:r>
        <w:t xml:space="preserve">‘</w:t>
      </w:r>
      <w:r>
        <w:t xml:space="preserve">Table 1</w:t>
      </w:r>
      <w:r>
        <w:t xml:space="preserve">’</w:t>
      </w:r>
      <w:r>
        <w:t xml:space="preserve"> </w:t>
      </w:r>
      <w:r>
        <w:t xml:space="preserve">for each partially observed covariate displaying the distributions of observed patient characteristics and resulting ASMDs between patients with and without an observed value for the partially observed covariate. For a graphical visualization of this, the function also creates a</w:t>
      </w:r>
      <w:r>
        <w:t xml:space="preserve"> </w:t>
      </w:r>
      <w:r>
        <w:rPr>
          <w:iCs/>
          <w:i/>
        </w:rPr>
        <w:t xml:space="preserve">ggplot2</w:t>
      </w:r>
      <w:r>
        <w:t xml:space="preserve"> </w:t>
      </w:r>
      <w:r>
        <w:t xml:space="preserve">graph</w:t>
      </w:r>
      <w:r>
        <w:t xml:space="preserve"> </w:t>
      </w:r>
      <w:r>
        <w:t xml:space="preserve">[31]</w:t>
      </w:r>
      <w:r>
        <w:t xml:space="preserve"> </w:t>
      </w:r>
      <w:r>
        <w:t xml:space="preserve">illustrating the ASMDs for each compared patient characteristic in descending order.</w:t>
      </w:r>
    </w:p>
    <w:p>
      <w:pPr>
        <w:pStyle w:val="BodyText"/>
      </w:pPr>
      <w:r>
        <w:t xml:space="preserve">The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complement the</w:t>
      </w:r>
      <w:r>
        <w:t xml:space="preserve"> </w:t>
      </w:r>
      <w:r>
        <w:rPr>
          <w:rStyle w:val="VerbatimChar"/>
        </w:rPr>
        <w:t xml:space="preserve">smdi_asmd()</w:t>
      </w:r>
      <w:r>
        <w:t xml:space="preserve"> </w:t>
      </w:r>
      <w:r>
        <w:t xml:space="preserve">function by examining the differences in patient characteristics as a formal statistical hypothesis test. Hotelling’s test</w:t>
      </w:r>
      <w:r>
        <w:t xml:space="preserve"> </w:t>
      </w:r>
      <w:r>
        <w:t xml:space="preserve">[12,32]</w:t>
      </w:r>
      <w:r>
        <w:t xml:space="preserve"> </w:t>
      </w:r>
      <w:r>
        <w:t xml:space="preserve">formalizes this is a multivariate t-test for each partially observed covariate, which means that</w:t>
      </w:r>
      <w:r>
        <w:t xml:space="preserve"> </w:t>
      </w:r>
      <w:r>
        <w:rPr>
          <w:rStyle w:val="VerbatimChar"/>
        </w:rPr>
        <w:t xml:space="preserve">smdi_hotelling()</w:t>
      </w:r>
      <w:r>
        <w:t xml:space="preserve"> </w:t>
      </w:r>
      <w:r>
        <w:t xml:space="preserve">returns a test statistic and a corresponding p-value for each each partially observed covariate individually. In contrast, Little’s test</w:t>
      </w:r>
      <w:r>
        <w:t xml:space="preserve"> </w:t>
      </w:r>
      <w:r>
        <w:t xml:space="preserve">[13,33]</w:t>
      </w:r>
      <w:r>
        <w:t xml:space="preserve"> </w:t>
      </w:r>
      <w:r>
        <w:t xml:space="preserve">(</w:t>
      </w:r>
      <w:r>
        <w:rPr>
          <w:rStyle w:val="VerbatimChar"/>
        </w:rPr>
        <w:t xml:space="preserve">smdi_little()</w:t>
      </w:r>
      <w:r>
        <w:t xml:space="preserve">) computes a single global chi-square test statistic and p-value across all partially observed covariates with the null hypothesis that the data is MCAR.</w:t>
      </w:r>
    </w:p>
    <w:bookmarkEnd w:id="37"/>
    <w:bookmarkStart w:id="38" w:name="group-2-diagnostics"/>
    <w:p>
      <w:pPr>
        <w:pStyle w:val="Heading4"/>
      </w:pPr>
      <w:r>
        <w:t xml:space="preserve">Group 2 Diagnostics</w:t>
      </w:r>
    </w:p>
    <w:p>
      <w:pPr>
        <w:pStyle w:val="FirstParagraph"/>
      </w:pPr>
      <w:r>
        <w:t xml:space="preserve">The group 2 diagnostics assesses the ability to predict missingness based on observed covariates via the</w:t>
      </w:r>
      <w:r>
        <w:t xml:space="preserve"> </w:t>
      </w:r>
      <w:r>
        <w:rPr>
          <w:rStyle w:val="VerbatimChar"/>
        </w:rPr>
        <w:t xml:space="preserve">smdi_rf()</w:t>
      </w:r>
      <w:r>
        <w:t xml:space="preserve"> </w:t>
      </w:r>
      <w:r>
        <w:t xml:space="preserve">functions. This function trains and fits a random forest classification model</w:t>
      </w:r>
      <w:r>
        <w:t xml:space="preserve"> </w:t>
      </w:r>
      <w:r>
        <w:t xml:space="preserve">[11,34]</w:t>
      </w:r>
      <w:r>
        <w:t xml:space="preserve"> </w:t>
      </w:r>
      <w:r>
        <w:t xml:space="preserve">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potential MCAR or MNAR mechanisms.</w:t>
      </w:r>
    </w:p>
    <w:p>
      <w:pPr>
        <w:pStyle w:val="BodyText"/>
      </w:pPr>
      <w:r>
        <w:t xml:space="preserve">The function returns an object of class</w:t>
      </w:r>
      <w:r>
        <w:t xml:space="preserve"> </w:t>
      </w:r>
      <w:r>
        <w:rPr>
          <w:rStyle w:val="VerbatimChar"/>
        </w:rPr>
        <w:t xml:space="preserve">rf</w:t>
      </w:r>
      <w:r>
        <w:t xml:space="preserve"> </w:t>
      </w:r>
      <w:r>
        <w:t xml:space="preserve">which generically displays an overview of the AUC values of all partially observed covariates. The AUC values are based on the prediction made in the respective test datasets. For more details, the</w:t>
      </w:r>
      <w:r>
        <w:t xml:space="preserve"> </w:t>
      </w:r>
      <w:r>
        <w:rPr>
          <w:rStyle w:val="VerbatimChar"/>
        </w:rPr>
        <w:t xml:space="preserve">rf</w:t>
      </w:r>
      <w:r>
        <w:t xml:space="preserve"> </w:t>
      </w:r>
      <w:r>
        <w:t xml:space="preserve">object additionally includes a</w:t>
      </w:r>
      <w:r>
        <w:t xml:space="preserve"> </w:t>
      </w:r>
      <w:r>
        <w:rPr>
          <w:iCs/>
          <w:i/>
        </w:rPr>
        <w:t xml:space="preserve">ggplot2</w:t>
      </w:r>
      <w:r>
        <w:t xml:space="preserve"> </w:t>
      </w:r>
      <w:r>
        <w:t xml:space="preserve">graph for each partially observed covariate displaying the relative importance of the predictors in the training dataset expressed as the mean decrease in accuracy.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For tuning the random forest model, the</w:t>
      </w:r>
      <w:r>
        <w:t xml:space="preserve"> </w:t>
      </w:r>
      <w:r>
        <w:rPr>
          <w:rStyle w:val="VerbatimChar"/>
        </w:rPr>
        <w:t xml:space="preserve">smdi_rf()</w:t>
      </w:r>
      <w:r>
        <w:t xml:space="preserve"> </w:t>
      </w:r>
      <w:r>
        <w:t xml:space="preserve">function has a few parameters that can be specified by the user for optimization such as the number of trees to grow (</w:t>
      </w:r>
      <w:r>
        <w:rPr>
          <w:rStyle w:val="VerbatimChar"/>
        </w:rPr>
        <w:t xml:space="preserve">ntree</w:t>
      </w:r>
      <w:r>
        <w:t xml:space="preserve">; default is 1,000 trees), the ratio of the split between train and test datasets (</w:t>
      </w:r>
      <w:r>
        <w:rPr>
          <w:rStyle w:val="VerbatimChar"/>
        </w:rPr>
        <w:t xml:space="preserve">train_test_ratio</w:t>
      </w:r>
      <w:r>
        <w:t xml:space="preserve">; default is a 70/30 split) and the number of cores to parallelize the computation on (</w:t>
      </w:r>
      <w:r>
        <w:rPr>
          <w:rStyle w:val="VerbatimChar"/>
        </w:rPr>
        <w:t xml:space="preserve">n_cores</w:t>
      </w:r>
      <w:r>
        <w:t xml:space="preserve">, default is 1), since this function can be very time consuming, especially with larger datasets.</w:t>
      </w:r>
    </w:p>
    <w:bookmarkEnd w:id="38"/>
    <w:bookmarkStart w:id="39" w:name="group-3-diagnostics"/>
    <w:p>
      <w:pPr>
        <w:pStyle w:val="Heading4"/>
      </w:pPr>
      <w:r>
        <w:t xml:space="preserve">Group 3 Diagnostics</w:t>
      </w:r>
    </w:p>
    <w:p>
      <w:pPr>
        <w:pStyle w:val="FirstParagraph"/>
      </w:pPr>
      <w:r>
        <w:t xml:space="preserve">Finally, the third group diagnostics with the</w:t>
      </w:r>
      <w:r>
        <w:t xml:space="preserve"> </w:t>
      </w:r>
      <w:r>
        <w:rPr>
          <w:rStyle w:val="VerbatimChar"/>
        </w:rPr>
        <w:t xml:space="preserve">smdi_outcome()</w:t>
      </w:r>
      <w:r>
        <w:t xml:space="preserve"> </w:t>
      </w:r>
      <w:r>
        <w:t xml:space="preserve">function examines the association of the missingness indicator of the partially observed covariate and the outcome under study. The function will compute both a univariate model and a model adjusted for all other covariates included in the dataset. In previous simulations, we observed characteristic patterns for univariate and adjusted associations of the missing indicator and the outcome that matched simulated underlying missingness mechanisms</w:t>
      </w:r>
      <w:r>
        <w:t xml:space="preserve"> </w:t>
      </w:r>
      <w:r>
        <w:t xml:space="preserve">[23]</w:t>
      </w:r>
      <w:r>
        <w:t xml:space="preserve">. As one would expect, under a MCAR mechanism there was no difference in the outcome between patients with and without a value for the partially observed covariate. Under MAR, given that missingness can be explained by observed covariates, a potential spurious association in the univariate model disappeared after adjustment. If the missingness followed any MNAR mechanism, an association was observed in both univariate and adjusted models.</w:t>
      </w:r>
    </w:p>
    <w:p>
      <w:pPr>
        <w:pStyle w:val="BodyText"/>
      </w:pPr>
      <w:r>
        <w:t xml:space="preserve">Currently,</w:t>
      </w:r>
      <w:r>
        <w:t xml:space="preserve"> </w:t>
      </w:r>
      <w:r>
        <w:rPr>
          <w:rStyle w:val="VerbatimChar"/>
        </w:rPr>
        <w:t xml:space="preserve">smdi_outcome()</w:t>
      </w:r>
      <w:r>
        <w:t xml:space="preserve"> </w:t>
      </w:r>
      <w:r>
        <w:t xml:space="preserve">supports three outcome regression types: linear regression (</w:t>
      </w:r>
      <w:r>
        <w:rPr>
          <w:iCs/>
          <w:i/>
        </w:rPr>
        <w:t xml:space="preserve">lm</w:t>
      </w:r>
      <w:r>
        <w:t xml:space="preserve"> </w:t>
      </w:r>
      <w:r>
        <w:t xml:space="preserve">[35]</w:t>
      </w:r>
      <w:r>
        <w:t xml:space="preserve">) for continuous outcomes, logistic regression (</w:t>
      </w:r>
      <w:r>
        <w:rPr>
          <w:iCs/>
          <w:i/>
        </w:rPr>
        <w:t xml:space="preserve">glm</w:t>
      </w:r>
      <w:r>
        <w:t xml:space="preserve"> </w:t>
      </w:r>
      <w:r>
        <w:t xml:space="preserve">[35]</w:t>
      </w:r>
      <w:r>
        <w:t xml:space="preserve">) for binary outcomes and a Cox proportional hazards model (</w:t>
      </w:r>
      <w:r>
        <w:rPr>
          <w:iCs/>
          <w:i/>
        </w:rPr>
        <w:t xml:space="preserve">coxph</w:t>
      </w:r>
      <w:r>
        <w:t xml:space="preserve"> </w:t>
      </w:r>
      <w:r>
        <w:t xml:space="preserve">[36]</w:t>
      </w:r>
      <w:r>
        <w:t xml:space="preserve">) for time-to-event outcomes. Besides the specification of the regression type, the user needs to specify the name of the column that contains the outcome using the</w:t>
      </w:r>
      <w:r>
        <w:t xml:space="preserve"> </w:t>
      </w:r>
      <w:r>
        <w:rPr>
          <w:iCs/>
          <w:i/>
        </w:rPr>
        <w:t xml:space="preserve">form_lhs</w:t>
      </w:r>
      <w:r>
        <w:t xml:space="preserve"> </w:t>
      </w:r>
      <w:r>
        <w:t xml:space="preserve">parameter (e.g.,</w:t>
      </w:r>
      <w:r>
        <w:t xml:space="preserve"> </w:t>
      </w:r>
      <w:r>
        <w:rPr>
          <w:rStyle w:val="VerbatimChar"/>
        </w:rPr>
        <w:t xml:space="preserve">Surv(eventtime, status)</w:t>
      </w:r>
      <w:r>
        <w:t xml:space="preserve"> </w:t>
      </w:r>
      <w:r>
        <w:t xml:space="preserve">in case of a Cox model) and if resulting beta coefficients should be exponentiated or not. The function returns a table with univariate and adjusted beta coefficients and 95% confidence intervals for each partially observed covariate.</w:t>
      </w:r>
    </w:p>
    <w:p>
      <w:r>
        <w:br w:type="page"/>
      </w:r>
    </w:p>
    <w:bookmarkEnd w:id="39"/>
    <w:bookmarkEnd w:id="40"/>
    <w:bookmarkEnd w:id="41"/>
    <w:bookmarkEnd w:id="42"/>
    <w:bookmarkStart w:id="43" w:name="sec-results"/>
    <w:p>
      <w:pPr>
        <w:pStyle w:val="Heading1"/>
      </w:pPr>
      <w:r>
        <w:t xml:space="preserve">Results</w:t>
      </w:r>
    </w:p>
    <w:p>
      <w:r>
        <w:br w:type="page"/>
      </w:r>
    </w:p>
    <w:bookmarkEnd w:id="43"/>
    <w:bookmarkStart w:id="44" w:name="discussion"/>
    <w:p>
      <w:pPr>
        <w:pStyle w:val="Heading1"/>
      </w:pPr>
      <w:r>
        <w:t xml:space="preserve">Discussion</w:t>
      </w:r>
    </w:p>
    <w:p>
      <w:r>
        <w:br w:type="page"/>
      </w:r>
    </w:p>
    <w:bookmarkEnd w:id="44"/>
    <w:bookmarkStart w:id="121" w:name="references"/>
    <w:p>
      <w:pPr>
        <w:pStyle w:val="Heading1"/>
      </w:pPr>
      <w:r>
        <w:t xml:space="preserve">References</w:t>
      </w:r>
    </w:p>
    <w:bookmarkStart w:id="114" w:name="refs"/>
    <w:bookmarkStart w:id="46"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45">
        <w:r>
          <w:rPr>
            <w:rStyle w:val="Hyperlink"/>
          </w:rPr>
          <w:t xml:space="preserve">https://www.fda.gov/downloads/ScienceResearch/SpecialTopics/RealWorldEvidence/UCM627769.pdf</w:t>
        </w:r>
      </w:hyperlink>
      <w:r>
        <w:t xml:space="preserve">.</w:t>
      </w:r>
    </w:p>
    <w:bookmarkEnd w:id="46"/>
    <w:bookmarkStart w:id="48"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47">
        <w:r>
          <w:rPr>
            <w:rStyle w:val="Hyperlink"/>
          </w:rPr>
          <w:t xml:space="preserve">10.1038/s41746-021-00542-0</w:t>
        </w:r>
      </w:hyperlink>
      <w:r>
        <w:t xml:space="preserve">.</w:t>
      </w:r>
    </w:p>
    <w:bookmarkEnd w:id="48"/>
    <w:bookmarkStart w:id="50"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49">
        <w:r>
          <w:rPr>
            <w:rStyle w:val="Hyperlink"/>
          </w:rPr>
          <w:t xml:space="preserve">10.1016/j.jval.2022.09.2421</w:t>
        </w:r>
      </w:hyperlink>
      <w:r>
        <w:t xml:space="preserve">.</w:t>
      </w:r>
    </w:p>
    <w:bookmarkEnd w:id="50"/>
    <w:bookmarkStart w:id="52"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51">
        <w:r>
          <w:rPr>
            <w:rStyle w:val="Hyperlink"/>
          </w:rPr>
          <w:t xml:space="preserve">10.1016/j.jclinepi.2004.11.029</w:t>
        </w:r>
      </w:hyperlink>
      <w:r>
        <w:t xml:space="preserve">.</w:t>
      </w:r>
    </w:p>
    <w:bookmarkEnd w:id="52"/>
    <w:bookmarkStart w:id="54"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53">
        <w:r>
          <w:rPr>
            <w:rStyle w:val="Hyperlink"/>
          </w:rPr>
          <w:t xml:space="preserve">10.1186/s12955-019-1181-2</w:t>
        </w:r>
      </w:hyperlink>
      <w:r>
        <w:t xml:space="preserve">.</w:t>
      </w:r>
    </w:p>
    <w:bookmarkEnd w:id="54"/>
    <w:bookmarkStart w:id="56"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55">
        <w:r>
          <w:rPr>
            <w:rStyle w:val="Hyperlink"/>
          </w:rPr>
          <w:t xml:space="preserve">10.1530/eje-20-0732</w:t>
        </w:r>
      </w:hyperlink>
      <w:r>
        <w:t xml:space="preserve">.</w:t>
      </w:r>
    </w:p>
    <w:bookmarkEnd w:id="56"/>
    <w:bookmarkStart w:id="58" w:name="ref-vanbuuren2018"/>
    <w:p>
      <w:pPr>
        <w:pStyle w:val="Bibliography"/>
      </w:pPr>
      <w:r>
        <w:t xml:space="preserve">[7]</w:t>
      </w:r>
      <w:r>
        <w:t xml:space="preserve"> </w:t>
      </w:r>
      <w:r>
        <w:t xml:space="preserve">	</w:t>
      </w:r>
      <w:r>
        <w:t xml:space="preserve">S. Van Buuren, Flexible imputation of missing data, CRC press, 2018.</w:t>
      </w:r>
      <w:r>
        <w:t xml:space="preserve"> </w:t>
      </w:r>
      <w:hyperlink r:id="rId57">
        <w:r>
          <w:rPr>
            <w:rStyle w:val="Hyperlink"/>
          </w:rPr>
          <w:t xml:space="preserve">https://stefvanbuuren.name/fimd/missing-data-pattern.html</w:t>
        </w:r>
      </w:hyperlink>
      <w:r>
        <w:t xml:space="preserve">.</w:t>
      </w:r>
    </w:p>
    <w:bookmarkEnd w:id="58"/>
    <w:bookmarkStart w:id="60" w:name="ref-rubin1976"/>
    <w:p>
      <w:pPr>
        <w:pStyle w:val="Bibliography"/>
      </w:pPr>
      <w:r>
        <w:t xml:space="preserve">[8]</w:t>
      </w:r>
      <w:r>
        <w:t xml:space="preserve"> </w:t>
      </w:r>
      <w:r>
        <w:t xml:space="preserve">	</w:t>
      </w:r>
      <w:r>
        <w:t xml:space="preserve">D.B. RUBIN, Inference and missing data, Biometrika. 63 (1976) 581–592. https://doi.org/</w:t>
      </w:r>
      <w:hyperlink r:id="rId59">
        <w:r>
          <w:rPr>
            <w:rStyle w:val="Hyperlink"/>
          </w:rPr>
          <w:t xml:space="preserve">10.1093/biomet/63.3.581</w:t>
        </w:r>
      </w:hyperlink>
      <w:r>
        <w:t xml:space="preserve">.</w:t>
      </w:r>
    </w:p>
    <w:bookmarkEnd w:id="60"/>
    <w:bookmarkStart w:id="61" w:name="ref-little2019"/>
    <w:p>
      <w:pPr>
        <w:pStyle w:val="Bibliography"/>
      </w:pPr>
      <w:r>
        <w:t xml:space="preserve">[9]</w:t>
      </w:r>
      <w:r>
        <w:t xml:space="preserve"> </w:t>
      </w:r>
      <w:r>
        <w:t xml:space="preserve">	</w:t>
      </w:r>
      <w:r>
        <w:t xml:space="preserve">R.J. Little, D.B. Rubin, Statistical analysis with missing data, John Wiley &amp; Sons, 2019.</w:t>
      </w:r>
    </w:p>
    <w:bookmarkEnd w:id="61"/>
    <w:bookmarkStart w:id="63"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62">
        <w:r>
          <w:rPr>
            <w:rStyle w:val="Hyperlink"/>
          </w:rPr>
          <w:t xml:space="preserve">10.1016/j.jclinepi.2021.01.008</w:t>
        </w:r>
      </w:hyperlink>
      <w:r>
        <w:t xml:space="preserve">.</w:t>
      </w:r>
    </w:p>
    <w:bookmarkEnd w:id="63"/>
    <w:bookmarkStart w:id="65" w:name="ref-sondhi2023a"/>
    <w:p>
      <w:pPr>
        <w:pStyle w:val="Bibliography"/>
      </w:pPr>
      <w:r>
        <w:t xml:space="preserve">[11]</w:t>
      </w:r>
      <w:r>
        <w:t xml:space="preserve"> </w:t>
      </w:r>
      <w:r>
        <w:t xml:space="preserve">	</w:t>
      </w:r>
      <w:r>
        <w:t xml:space="preserve">A. Sondhi, J. Weberpals, P. Yerram, C. Jiang, M. Taylor, M. Samant, S. Cherng, A systematic approach towards missing lab data in electronic health records: A case study in non</w:t>
      </w:r>
      <w:r>
        <w:t xml:space="preserve">-</w:t>
      </w:r>
      <w:r>
        <w:t xml:space="preserve">small cell lung cancer and multiple myeloma, CPT: Pharmacometrics &amp; Systems Pharmacology. (2023). https://doi.org/</w:t>
      </w:r>
      <w:hyperlink r:id="rId64">
        <w:r>
          <w:rPr>
            <w:rStyle w:val="Hyperlink"/>
          </w:rPr>
          <w:t xml:space="preserve">10.1002/psp4.12998</w:t>
        </w:r>
      </w:hyperlink>
      <w:r>
        <w:t xml:space="preserve">.</w:t>
      </w:r>
    </w:p>
    <w:bookmarkEnd w:id="65"/>
    <w:bookmarkStart w:id="67"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66">
        <w:r>
          <w:rPr>
            <w:rStyle w:val="Hyperlink"/>
          </w:rPr>
          <w:t xml:space="preserve">10.1214/aoms/1177732979</w:t>
        </w:r>
      </w:hyperlink>
      <w:r>
        <w:t xml:space="preserve">.</w:t>
      </w:r>
    </w:p>
    <w:bookmarkEnd w:id="67"/>
    <w:bookmarkStart w:id="69"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68">
        <w:r>
          <w:rPr>
            <w:rStyle w:val="Hyperlink"/>
          </w:rPr>
          <w:t xml:space="preserve">10.1080/01621459.1988.10478722</w:t>
        </w:r>
      </w:hyperlink>
      <w:r>
        <w:t xml:space="preserve">.</w:t>
      </w:r>
    </w:p>
    <w:bookmarkEnd w:id="69"/>
    <w:bookmarkStart w:id="71" w:name="ref-pedersen2017"/>
    <w:p>
      <w:pPr>
        <w:pStyle w:val="Bibliography"/>
      </w:pPr>
      <w:r>
        <w:t xml:space="preserve">[14]</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70">
        <w:r>
          <w:rPr>
            <w:rStyle w:val="Hyperlink"/>
          </w:rPr>
          <w:t xml:space="preserve">10.2147/clep.s129785</w:t>
        </w:r>
      </w:hyperlink>
      <w:r>
        <w:t xml:space="preserve">.</w:t>
      </w:r>
    </w:p>
    <w:bookmarkEnd w:id="71"/>
    <w:bookmarkStart w:id="73" w:name="ref-madley-dowd2019"/>
    <w:p>
      <w:pPr>
        <w:pStyle w:val="Bibliography"/>
      </w:pPr>
      <w:r>
        <w:t xml:space="preserve">[15]</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72">
        <w:r>
          <w:rPr>
            <w:rStyle w:val="Hyperlink"/>
          </w:rPr>
          <w:t xml:space="preserve">10.1016/j.jclinepi.2019.02.016</w:t>
        </w:r>
      </w:hyperlink>
      <w:r>
        <w:t xml:space="preserve">.</w:t>
      </w:r>
    </w:p>
    <w:bookmarkEnd w:id="73"/>
    <w:bookmarkStart w:id="75" w:name="ref-Lee2023"/>
    <w:p>
      <w:pPr>
        <w:pStyle w:val="Bibliography"/>
      </w:pPr>
      <w:r>
        <w:t xml:space="preserve">[16]</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74">
        <w:r>
          <w:rPr>
            <w:rStyle w:val="Hyperlink"/>
          </w:rPr>
          <w:t xml:space="preserve">10.1093/ije/dyad008</w:t>
        </w:r>
      </w:hyperlink>
      <w:r>
        <w:t xml:space="preserve">.</w:t>
      </w:r>
    </w:p>
    <w:bookmarkEnd w:id="75"/>
    <w:bookmarkStart w:id="77" w:name="ref-Moreno-Betancur2018"/>
    <w:p>
      <w:pPr>
        <w:pStyle w:val="Bibliography"/>
      </w:pPr>
      <w:r>
        <w:t xml:space="preserve">[17]</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76">
        <w:r>
          <w:rPr>
            <w:rStyle w:val="Hyperlink"/>
          </w:rPr>
          <w:t xml:space="preserve">10.1093/aje/kwy173</w:t>
        </w:r>
      </w:hyperlink>
      <w:r>
        <w:t xml:space="preserve">.</w:t>
      </w:r>
    </w:p>
    <w:bookmarkEnd w:id="77"/>
    <w:bookmarkStart w:id="79" w:name="ref-mohan2021"/>
    <w:p>
      <w:pPr>
        <w:pStyle w:val="Bibliography"/>
      </w:pPr>
      <w:r>
        <w:t xml:space="preserve">[18]</w:t>
      </w:r>
      <w:r>
        <w:t xml:space="preserve"> </w:t>
      </w:r>
      <w:r>
        <w:t xml:space="preserve">	</w:t>
      </w:r>
      <w:r>
        <w:t xml:space="preserve">K. Mohan, J. Pearl, Graphical Models for Processing Missing Data, Journal of the American Statistical Association. 116 (2021) 1023–1037. https://doi.org/</w:t>
      </w:r>
      <w:hyperlink r:id="rId78">
        <w:r>
          <w:rPr>
            <w:rStyle w:val="Hyperlink"/>
          </w:rPr>
          <w:t xml:space="preserve">10.1080/01621459.2021.1874961</w:t>
        </w:r>
      </w:hyperlink>
      <w:r>
        <w:t xml:space="preserve">.</w:t>
      </w:r>
    </w:p>
    <w:bookmarkEnd w:id="79"/>
    <w:bookmarkStart w:id="81" w:name="ref-carroll2020"/>
    <w:p>
      <w:pPr>
        <w:pStyle w:val="Bibliography"/>
      </w:pPr>
      <w:r>
        <w:t xml:space="preserve">[19]</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80">
        <w:r>
          <w:rPr>
            <w:rStyle w:val="Hyperlink"/>
          </w:rPr>
          <w:t xml:space="preserve">10.1186/s12874-020-01018-7</w:t>
        </w:r>
      </w:hyperlink>
      <w:r>
        <w:t xml:space="preserve">.</w:t>
      </w:r>
    </w:p>
    <w:bookmarkEnd w:id="81"/>
    <w:bookmarkStart w:id="83" w:name="ref-wood2004"/>
    <w:p>
      <w:pPr>
        <w:pStyle w:val="Bibliography"/>
      </w:pPr>
      <w:r>
        <w:t xml:space="preserve">[20]</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82">
        <w:r>
          <w:rPr>
            <w:rStyle w:val="Hyperlink"/>
          </w:rPr>
          <w:t xml:space="preserve">10.1191/1740774504cn032oa</w:t>
        </w:r>
      </w:hyperlink>
      <w:r>
        <w:t xml:space="preserve">.</w:t>
      </w:r>
    </w:p>
    <w:bookmarkEnd w:id="83"/>
    <w:bookmarkStart w:id="85" w:name="ref-harel2012"/>
    <w:p>
      <w:pPr>
        <w:pStyle w:val="Bibliography"/>
      </w:pPr>
      <w:r>
        <w:t xml:space="preserve">[21]</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84">
        <w:r>
          <w:rPr>
            <w:rStyle w:val="Hyperlink"/>
          </w:rPr>
          <w:t xml:space="preserve">10.1007/s10461-011-0125-6</w:t>
        </w:r>
      </w:hyperlink>
      <w:r>
        <w:t xml:space="preserve">.</w:t>
      </w:r>
    </w:p>
    <w:bookmarkEnd w:id="85"/>
    <w:bookmarkStart w:id="87" w:name="ref-SentinelCI3"/>
    <w:p>
      <w:pPr>
        <w:pStyle w:val="Bibliography"/>
      </w:pPr>
      <w:r>
        <w:t xml:space="preserve">[22]</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86">
        <w:r>
          <w:rPr>
            <w:rStyle w:val="Hyperlink"/>
          </w:rPr>
          <w:t xml:space="preserve">https://www.sentinelinitiative.org/methods-data-tools/methods/approaches-handling-partially-observed-confounder-data-electronic-health</w:t>
        </w:r>
      </w:hyperlink>
      <w:r>
        <w:t xml:space="preserve">.</w:t>
      </w:r>
    </w:p>
    <w:bookmarkEnd w:id="87"/>
    <w:bookmarkStart w:id="88" w:name="ref-weberpals2023"/>
    <w:p>
      <w:pPr>
        <w:pStyle w:val="Bibliography"/>
      </w:pPr>
      <w:r>
        <w:t xml:space="preserve">[23]</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88"/>
    <w:bookmarkStart w:id="90" w:name="ref-smdi"/>
    <w:p>
      <w:pPr>
        <w:pStyle w:val="Bibliography"/>
      </w:pPr>
      <w:r>
        <w:t xml:space="preserve">[24]</w:t>
      </w:r>
      <w:r>
        <w:t xml:space="preserve"> </w:t>
      </w:r>
      <w:r>
        <w:t xml:space="preserve">	</w:t>
      </w:r>
      <w:r>
        <w:t xml:space="preserve">J. Weberpals, Smdi: Perform structural missing data investigations, (2023).</w:t>
      </w:r>
      <w:r>
        <w:t xml:space="preserve"> </w:t>
      </w:r>
      <w:hyperlink r:id="rId89">
        <w:r>
          <w:rPr>
            <w:rStyle w:val="Hyperlink"/>
          </w:rPr>
          <w:t xml:space="preserve">https://CRAN.R-project.org/package=smdi</w:t>
        </w:r>
      </w:hyperlink>
      <w:r>
        <w:t xml:space="preserve">.</w:t>
      </w:r>
    </w:p>
    <w:bookmarkEnd w:id="90"/>
    <w:bookmarkStart w:id="92" w:name="ref-devtools"/>
    <w:p>
      <w:pPr>
        <w:pStyle w:val="Bibliography"/>
      </w:pPr>
      <w:r>
        <w:t xml:space="preserve">[25]</w:t>
      </w:r>
      <w:r>
        <w:t xml:space="preserve"> </w:t>
      </w:r>
      <w:r>
        <w:t xml:space="preserve">	</w:t>
      </w:r>
      <w:r>
        <w:t xml:space="preserve">H. Wickham, J. Hester, W. Chang, J. Bryan, Devtools: Tools to make developing r packages easier, (2022).</w:t>
      </w:r>
      <w:r>
        <w:t xml:space="preserve"> </w:t>
      </w:r>
      <w:hyperlink r:id="rId91">
        <w:r>
          <w:rPr>
            <w:rStyle w:val="Hyperlink"/>
          </w:rPr>
          <w:t xml:space="preserve">https://CRAN.R-project.org/package=devtools</w:t>
        </w:r>
      </w:hyperlink>
      <w:r>
        <w:t xml:space="preserve">.</w:t>
      </w:r>
    </w:p>
    <w:bookmarkEnd w:id="92"/>
    <w:bookmarkStart w:id="94" w:name="ref-roxygen2"/>
    <w:p>
      <w:pPr>
        <w:pStyle w:val="Bibliography"/>
      </w:pPr>
      <w:r>
        <w:t xml:space="preserve">[26]</w:t>
      </w:r>
      <w:r>
        <w:t xml:space="preserve"> </w:t>
      </w:r>
      <w:r>
        <w:t xml:space="preserve">	</w:t>
      </w:r>
      <w:r>
        <w:t xml:space="preserve">H. Wickham, P. Danenberg, G. Csárdi, M. Eugster, roxygen2: In-line documentation for r, (2022).</w:t>
      </w:r>
      <w:r>
        <w:t xml:space="preserve"> </w:t>
      </w:r>
      <w:hyperlink r:id="rId93">
        <w:r>
          <w:rPr>
            <w:rStyle w:val="Hyperlink"/>
          </w:rPr>
          <w:t xml:space="preserve">https://CRAN.R-project.org/package=roxygen2</w:t>
        </w:r>
      </w:hyperlink>
      <w:r>
        <w:t xml:space="preserve">.</w:t>
      </w:r>
    </w:p>
    <w:bookmarkEnd w:id="94"/>
    <w:bookmarkStart w:id="95" w:name="ref-wickham2023r"/>
    <w:p>
      <w:pPr>
        <w:pStyle w:val="Bibliography"/>
      </w:pPr>
      <w:r>
        <w:t xml:space="preserve">[27]</w:t>
      </w:r>
      <w:r>
        <w:t xml:space="preserve"> </w:t>
      </w:r>
      <w:r>
        <w:t xml:space="preserve">	</w:t>
      </w:r>
      <w:r>
        <w:t xml:space="preserve">H. Wickham, J. Bryan, R packages, " O’Reilly Media, Inc.", 2023.</w:t>
      </w:r>
    </w:p>
    <w:bookmarkEnd w:id="95"/>
    <w:bookmarkStart w:id="97" w:name="ref-schober2019"/>
    <w:p>
      <w:pPr>
        <w:pStyle w:val="Bibliography"/>
      </w:pPr>
      <w:r>
        <w:t xml:space="preserve">[28]</w:t>
      </w:r>
      <w:r>
        <w:t xml:space="preserve"> </w:t>
      </w:r>
      <w:r>
        <w:t xml:space="preserve">	</w:t>
      </w:r>
      <w:r>
        <w:t xml:space="preserve">P. Schober, T.R. Vetter, Correct Baseline Comparisons in a Randomized Trial, Anesthesia &amp; Analgesia. 129 (2019) 639. https://doi.org/</w:t>
      </w:r>
      <w:hyperlink r:id="rId96">
        <w:r>
          <w:rPr>
            <w:rStyle w:val="Hyperlink"/>
          </w:rPr>
          <w:t xml:space="preserve">10.1213/ane.0000000000004211</w:t>
        </w:r>
      </w:hyperlink>
      <w:r>
        <w:t xml:space="preserve">.</w:t>
      </w:r>
    </w:p>
    <w:bookmarkEnd w:id="97"/>
    <w:bookmarkStart w:id="99" w:name="ref-austin2011"/>
    <w:p>
      <w:pPr>
        <w:pStyle w:val="Bibliography"/>
      </w:pPr>
      <w:r>
        <w:t xml:space="preserve">[29]</w:t>
      </w:r>
      <w:r>
        <w:t xml:space="preserve"> </w:t>
      </w:r>
      <w:r>
        <w:t xml:space="preserve">	</w:t>
      </w:r>
      <w:r>
        <w:t xml:space="preserve">P.C. Austin, An Introduction to Propensity Score Methods for Reducing the Effects of Confounding in Observational Studies, Multivariate Behavioral Research. 46 (2011) 399–424. https://doi.org/</w:t>
      </w:r>
      <w:hyperlink r:id="rId98">
        <w:r>
          <w:rPr>
            <w:rStyle w:val="Hyperlink"/>
          </w:rPr>
          <w:t xml:space="preserve">10.1080/00273171.2011.568786</w:t>
        </w:r>
      </w:hyperlink>
      <w:r>
        <w:t xml:space="preserve">.</w:t>
      </w:r>
    </w:p>
    <w:bookmarkEnd w:id="99"/>
    <w:bookmarkStart w:id="101" w:name="ref-tableone"/>
    <w:p>
      <w:pPr>
        <w:pStyle w:val="Bibliography"/>
      </w:pPr>
      <w:r>
        <w:t xml:space="preserve">[30]</w:t>
      </w:r>
      <w:r>
        <w:t xml:space="preserve"> </w:t>
      </w:r>
      <w:r>
        <w:t xml:space="preserve">	</w:t>
      </w:r>
      <w:r>
        <w:t xml:space="preserve">K. Yoshida, A. Bartel, Tableone: Create ’table 1’ to describe baseline characteristics with or without propensity score weights, (2022).</w:t>
      </w:r>
      <w:r>
        <w:t xml:space="preserve"> </w:t>
      </w:r>
      <w:hyperlink r:id="rId100">
        <w:r>
          <w:rPr>
            <w:rStyle w:val="Hyperlink"/>
          </w:rPr>
          <w:t xml:space="preserve">https://CRAN.R-project.org/package=tableone</w:t>
        </w:r>
      </w:hyperlink>
      <w:r>
        <w:t xml:space="preserve">.</w:t>
      </w:r>
    </w:p>
    <w:bookmarkEnd w:id="101"/>
    <w:bookmarkStart w:id="103" w:name="ref-ggplot2"/>
    <w:p>
      <w:pPr>
        <w:pStyle w:val="Bibliography"/>
      </w:pPr>
      <w:r>
        <w:t xml:space="preserve">[31]</w:t>
      </w:r>
      <w:r>
        <w:t xml:space="preserve"> </w:t>
      </w:r>
      <w:r>
        <w:t xml:space="preserve">	</w:t>
      </w:r>
      <w:r>
        <w:t xml:space="preserve">H. Wickham, ggplot2: Elegant graphics for data analysis, (2016).</w:t>
      </w:r>
      <w:r>
        <w:t xml:space="preserve"> </w:t>
      </w:r>
      <w:hyperlink r:id="rId102">
        <w:r>
          <w:rPr>
            <w:rStyle w:val="Hyperlink"/>
          </w:rPr>
          <w:t xml:space="preserve">https://ggplot2.tidyverse.org</w:t>
        </w:r>
      </w:hyperlink>
      <w:r>
        <w:t xml:space="preserve">.</w:t>
      </w:r>
    </w:p>
    <w:bookmarkEnd w:id="103"/>
    <w:bookmarkStart w:id="105" w:name="ref-Hotelling"/>
    <w:p>
      <w:pPr>
        <w:pStyle w:val="Bibliography"/>
      </w:pPr>
      <w:r>
        <w:t xml:space="preserve">[32]</w:t>
      </w:r>
      <w:r>
        <w:t xml:space="preserve"> </w:t>
      </w:r>
      <w:r>
        <w:t xml:space="preserve">	</w:t>
      </w:r>
      <w:r>
        <w:t xml:space="preserve">J. Curran, T. Hersh, Hotelling: Hotelling’s t</w:t>
      </w:r>
      <w:r>
        <w:t xml:space="preserve">^</w:t>
      </w:r>
      <w:r>
        <w:t xml:space="preserve">2 test and variants, (2021).</w:t>
      </w:r>
      <w:r>
        <w:t xml:space="preserve"> </w:t>
      </w:r>
      <w:hyperlink r:id="rId104">
        <w:r>
          <w:rPr>
            <w:rStyle w:val="Hyperlink"/>
          </w:rPr>
          <w:t xml:space="preserve">https://CRAN.R-project.org/package=Hotelling</w:t>
        </w:r>
      </w:hyperlink>
      <w:r>
        <w:t xml:space="preserve">.</w:t>
      </w:r>
    </w:p>
    <w:bookmarkEnd w:id="105"/>
    <w:bookmarkStart w:id="107" w:name="ref-naniar"/>
    <w:p>
      <w:pPr>
        <w:pStyle w:val="Bibliography"/>
      </w:pPr>
      <w:r>
        <w:t xml:space="preserve">[33]</w:t>
      </w:r>
      <w:r>
        <w:t xml:space="preserve"> </w:t>
      </w:r>
      <w:r>
        <w:t xml:space="preserve">	</w:t>
      </w:r>
      <w:r>
        <w:t xml:space="preserve">N. Tierney, D. Cook, Expanding tidy data principles to facilitate missing data exploration, visualization and assessment of imputations, 105 (2023). https://doi.org/</w:t>
      </w:r>
      <w:hyperlink r:id="rId106">
        <w:r>
          <w:rPr>
            <w:rStyle w:val="Hyperlink"/>
          </w:rPr>
          <w:t xml:space="preserve">10.18637/jss.v105.i07</w:t>
        </w:r>
      </w:hyperlink>
      <w:r>
        <w:t xml:space="preserve">.</w:t>
      </w:r>
    </w:p>
    <w:bookmarkEnd w:id="107"/>
    <w:bookmarkStart w:id="109" w:name="ref-randomForest"/>
    <w:p>
      <w:pPr>
        <w:pStyle w:val="Bibliography"/>
      </w:pPr>
      <w:r>
        <w:t xml:space="preserve">[34]</w:t>
      </w:r>
      <w:r>
        <w:t xml:space="preserve"> </w:t>
      </w:r>
      <w:r>
        <w:t xml:space="preserve">	</w:t>
      </w:r>
      <w:r>
        <w:t xml:space="preserve">A. Liaw, M. Wiener, Classification and regression by randomForest, 2 (2002) 18–22.</w:t>
      </w:r>
      <w:r>
        <w:t xml:space="preserve"> </w:t>
      </w:r>
      <w:hyperlink r:id="rId108">
        <w:r>
          <w:rPr>
            <w:rStyle w:val="Hyperlink"/>
          </w:rPr>
          <w:t xml:space="preserve">https://CRAN.R-project.org/doc/Rnews/</w:t>
        </w:r>
      </w:hyperlink>
      <w:r>
        <w:t xml:space="preserve">.</w:t>
      </w:r>
    </w:p>
    <w:bookmarkEnd w:id="109"/>
    <w:bookmarkStart w:id="111" w:name="ref-stats"/>
    <w:p>
      <w:pPr>
        <w:pStyle w:val="Bibliography"/>
      </w:pPr>
      <w:r>
        <w:t xml:space="preserve">[35]</w:t>
      </w:r>
      <w:r>
        <w:t xml:space="preserve"> </w:t>
      </w:r>
      <w:r>
        <w:t xml:space="preserve">	</w:t>
      </w:r>
      <w:r>
        <w:t xml:space="preserve">R Core Team, R: A language and environment for statistical computing, (2022).</w:t>
      </w:r>
      <w:r>
        <w:t xml:space="preserve"> </w:t>
      </w:r>
      <w:hyperlink r:id="rId110">
        <w:r>
          <w:rPr>
            <w:rStyle w:val="Hyperlink"/>
          </w:rPr>
          <w:t xml:space="preserve">https://www.R-project.org/</w:t>
        </w:r>
      </w:hyperlink>
      <w:r>
        <w:t xml:space="preserve">.</w:t>
      </w:r>
    </w:p>
    <w:bookmarkEnd w:id="111"/>
    <w:bookmarkStart w:id="113" w:name="ref-survival"/>
    <w:p>
      <w:pPr>
        <w:pStyle w:val="Bibliography"/>
      </w:pPr>
      <w:r>
        <w:t xml:space="preserve">[36]</w:t>
      </w:r>
      <w:r>
        <w:t xml:space="preserve"> </w:t>
      </w:r>
      <w:r>
        <w:t xml:space="preserve">	</w:t>
      </w:r>
      <w:r>
        <w:t xml:space="preserve">T.M. Therneau, A package for survival analysis in r, (2023).</w:t>
      </w:r>
      <w:r>
        <w:t xml:space="preserve"> </w:t>
      </w:r>
      <w:hyperlink r:id="rId112">
        <w:r>
          <w:rPr>
            <w:rStyle w:val="Hyperlink"/>
          </w:rPr>
          <w:t xml:space="preserve">https://CRAN.R-project.org/package=survival</w:t>
        </w:r>
      </w:hyperlink>
      <w:r>
        <w:t xml:space="preserve">.</w:t>
      </w:r>
    </w:p>
    <w:bookmarkEnd w:id="113"/>
    <w:bookmarkEnd w:id="114"/>
    <w:p>
      <w:r>
        <w:br w:type="page"/>
      </w:r>
    </w:p>
    <w:p>
      <w:pPr>
        <w:sectPr/>
      </w:pPr>
    </w:p>
    <w:bookmarkStart w:id="115" w:name="tables"/>
    <w:p>
      <w:pPr>
        <w:pStyle w:val="Heading1"/>
      </w:pPr>
      <w:r>
        <w:t xml:space="preserve">Tables</w:t>
      </w:r>
    </w:p>
    <w:p>
      <w:pPr>
        <w:pStyle w:val="FirstParagraph"/>
      </w:pPr>
      <w:r>
        <w:t xml:space="preserve">Table 1: Overview of the main functions in smdi to characterize potential underlying missingness mechanisms.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predict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r>
        <w:br w:type="page"/>
      </w:r>
    </w:p>
    <w:bookmarkEnd w:id="115"/>
    <w:bookmarkStart w:id="120"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119" w:name="fig-workflow"/>
          <w:p>
            <w:pPr>
              <w:jc w:val="center"/>
            </w:pPr>
            <w:r>
              <w:drawing>
                <wp:inline>
                  <wp:extent cx="6537960" cy="3677602"/>
                  <wp:effectExtent b="0" l="0" r="0" t="0"/>
                  <wp:docPr descr="" title="" id="117" name="Picture"/>
                  <a:graphic>
                    <a:graphicData uri="http://schemas.openxmlformats.org/drawingml/2006/picture">
                      <pic:pic>
                        <pic:nvPicPr>
                          <pic:cNvPr descr="../figures/workflow.jpg" id="118" name="Picture"/>
                          <pic:cNvPicPr>
                            <a:picLocks noChangeArrowheads="1" noChangeAspect="1"/>
                          </pic:cNvPicPr>
                        </pic:nvPicPr>
                        <pic:blipFill>
                          <a:blip r:embed="rId116"/>
                          <a:stretch>
                            <a:fillRect/>
                          </a:stretch>
                        </pic:blipFill>
                        <pic:spPr bwMode="auto">
                          <a:xfrm>
                            <a:off x="0" y="0"/>
                            <a:ext cx="6537960" cy="36776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Overview of all</w:t>
            </w:r>
            <w:r>
              <w:t xml:space="preserve"> </w:t>
            </w:r>
            <w:r>
              <w:rPr>
                <w:rStyle w:val="VerbatimChar"/>
              </w:rPr>
              <w:t xml:space="preserve">smdi</w:t>
            </w:r>
            <w:r>
              <w:t xml:space="preserve"> </w:t>
            </w:r>
            <w:r>
              <w:t xml:space="preserve">functions and suggested workflow to conduct missing data diagnostics. *gg_miss_upset() and md.pattern() are re-exports of the naniar and mice package, respectively.</w:t>
            </w:r>
          </w:p>
          <w:bookmarkEnd w:id="119"/>
        </w:tc>
      </w:tr>
    </w:tbl>
    <w:p>
      <w:pPr>
        <w:sectPr>
          <w:pgSz w:h="11906" w:w="16838" w:orient="landscape"/>
        </w:sectPr>
      </w:pPr>
    </w:p>
    <w:bookmarkEnd w:id="120"/>
    <w:bookmarkEnd w:id="121"/>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116" Target="media/rId116.jpg" /><Relationship Type="http://schemas.openxmlformats.org/officeDocument/2006/relationships/image" Id="rId25" Target="media/rId25.png" /><Relationship Type="http://schemas.openxmlformats.org/officeDocument/2006/relationships/hyperlink" Id="rId108" Target="https://CRAN.R-project.org/doc/Rnews/" TargetMode="External" /><Relationship Type="http://schemas.openxmlformats.org/officeDocument/2006/relationships/hyperlink" Id="rId104" Target="https://CRAN.R-project.org/package=Hotelling" TargetMode="External" /><Relationship Type="http://schemas.openxmlformats.org/officeDocument/2006/relationships/hyperlink" Id="rId91" Target="https://CRAN.R-project.org/package=devtools" TargetMode="External" /><Relationship Type="http://schemas.openxmlformats.org/officeDocument/2006/relationships/hyperlink" Id="rId93" Target="https://CRAN.R-project.org/package=roxygen2" TargetMode="External" /><Relationship Type="http://schemas.openxmlformats.org/officeDocument/2006/relationships/hyperlink" Id="rId89" Target="https://CRAN.R-project.org/package=smdi" TargetMode="External" /><Relationship Type="http://schemas.openxmlformats.org/officeDocument/2006/relationships/hyperlink" Id="rId112" Target="https://CRAN.R-project.org/package=survival" TargetMode="External" /><Relationship Type="http://schemas.openxmlformats.org/officeDocument/2006/relationships/hyperlink" Id="rId100" Target="https://CRAN.R-project.org/package=tableone" TargetMode="External" /><Relationship Type="http://schemas.openxmlformats.org/officeDocument/2006/relationships/hyperlink" Id="rId32" Target="https://cran.r-project.org/web/packages/smdi)" TargetMode="External" /><Relationship Type="http://schemas.openxmlformats.org/officeDocument/2006/relationships/hyperlink" Id="rId64" Target="https://doi.org/10.1002/psp4.12998" TargetMode="External" /><Relationship Type="http://schemas.openxmlformats.org/officeDocument/2006/relationships/hyperlink" Id="rId84" Target="https://doi.org/10.1007/s10461-011-0125-6" TargetMode="External" /><Relationship Type="http://schemas.openxmlformats.org/officeDocument/2006/relationships/hyperlink" Id="rId51" Target="https://doi.org/10.1016/j.jclinepi.2004.11.029" TargetMode="External" /><Relationship Type="http://schemas.openxmlformats.org/officeDocument/2006/relationships/hyperlink" Id="rId72" Target="https://doi.org/10.1016/j.jclinepi.2019.02.016" TargetMode="External" /><Relationship Type="http://schemas.openxmlformats.org/officeDocument/2006/relationships/hyperlink" Id="rId62" Target="https://doi.org/10.1016/j.jclinepi.2021.01.008" TargetMode="External" /><Relationship Type="http://schemas.openxmlformats.org/officeDocument/2006/relationships/hyperlink" Id="rId49" Target="https://doi.org/10.1016/j.jval.2022.09.2421" TargetMode="External" /><Relationship Type="http://schemas.openxmlformats.org/officeDocument/2006/relationships/hyperlink" Id="rId47" Target="https://doi.org/10.1038/s41746-021-00542-0" TargetMode="External" /><Relationship Type="http://schemas.openxmlformats.org/officeDocument/2006/relationships/hyperlink" Id="rId98" Target="https://doi.org/10.1080/00273171.2011.568786" TargetMode="External" /><Relationship Type="http://schemas.openxmlformats.org/officeDocument/2006/relationships/hyperlink" Id="rId68" Target="https://doi.org/10.1080/01621459.1988.10478722" TargetMode="External" /><Relationship Type="http://schemas.openxmlformats.org/officeDocument/2006/relationships/hyperlink" Id="rId78" Target="https://doi.org/10.1080/01621459.2021.1874961" TargetMode="External" /><Relationship Type="http://schemas.openxmlformats.org/officeDocument/2006/relationships/hyperlink" Id="rId76" Target="https://doi.org/10.1093/aje/kwy173" TargetMode="External" /><Relationship Type="http://schemas.openxmlformats.org/officeDocument/2006/relationships/hyperlink" Id="rId59" Target="https://doi.org/10.1093/biomet/63.3.581" TargetMode="External" /><Relationship Type="http://schemas.openxmlformats.org/officeDocument/2006/relationships/hyperlink" Id="rId74" Target="https://doi.org/10.1093/ije/dyad008" TargetMode="External" /><Relationship Type="http://schemas.openxmlformats.org/officeDocument/2006/relationships/hyperlink" Id="rId80" Target="https://doi.org/10.1186/s12874-020-01018-7" TargetMode="External" /><Relationship Type="http://schemas.openxmlformats.org/officeDocument/2006/relationships/hyperlink" Id="rId53" Target="https://doi.org/10.1186/s12955-019-1181-2" TargetMode="External" /><Relationship Type="http://schemas.openxmlformats.org/officeDocument/2006/relationships/hyperlink" Id="rId82" Target="https://doi.org/10.1191/1740774504cn032oa" TargetMode="External" /><Relationship Type="http://schemas.openxmlformats.org/officeDocument/2006/relationships/hyperlink" Id="rId96" Target="https://doi.org/10.1213/ane.0000000000004211" TargetMode="External" /><Relationship Type="http://schemas.openxmlformats.org/officeDocument/2006/relationships/hyperlink" Id="rId66" Target="https://doi.org/10.1214/aoms/1177732979" TargetMode="External" /><Relationship Type="http://schemas.openxmlformats.org/officeDocument/2006/relationships/hyperlink" Id="rId55" Target="https://doi.org/10.1530/eje-20-0732" TargetMode="External" /><Relationship Type="http://schemas.openxmlformats.org/officeDocument/2006/relationships/hyperlink" Id="rId106" Target="https://doi.org/10.18637/jss.v105.i07" TargetMode="External" /><Relationship Type="http://schemas.openxmlformats.org/officeDocument/2006/relationships/hyperlink" Id="rId70" Target="https://doi.org/10.2147/clep.s129785" TargetMode="External" /><Relationship Type="http://schemas.openxmlformats.org/officeDocument/2006/relationships/hyperlink" Id="rId102"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34" Target="https://gitlab-scm.partners.org/janickweberpals/smdi" TargetMode="External" /><Relationship Type="http://schemas.openxmlformats.org/officeDocument/2006/relationships/hyperlink" Id="rId23" Target="https://janickweberpals.gitlab-pages.partners.org/smdi/" TargetMode="External" /><Relationship Type="http://schemas.openxmlformats.org/officeDocument/2006/relationships/hyperlink" Id="rId33" Target="https://packagemanager.posit.co/client/#/repos/2/packages/smdi" TargetMode="External" /><Relationship Type="http://schemas.openxmlformats.org/officeDocument/2006/relationships/hyperlink" Id="rId21" Target="https://quarto.org/" TargetMode="External" /><Relationship Type="http://schemas.openxmlformats.org/officeDocument/2006/relationships/hyperlink" Id="rId57" Target="https://stefvanbuuren.name/fimd/missing-data-pattern.html" TargetMode="External" /><Relationship Type="http://schemas.openxmlformats.org/officeDocument/2006/relationships/hyperlink" Id="rId110" Target="https://www.R-project.org/" TargetMode="External" /><Relationship Type="http://schemas.openxmlformats.org/officeDocument/2006/relationships/hyperlink" Id="rId45" Target="https://www.fda.gov/downloads/ScienceResearch/SpecialTopics/RealWorldEvidence/UCM627769.pdf" TargetMode="External" /><Relationship Type="http://schemas.openxmlformats.org/officeDocument/2006/relationships/hyperlink" Id="rId86"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108" Target="https://CRAN.R-project.org/doc/Rnews/" TargetMode="External" /><Relationship Type="http://schemas.openxmlformats.org/officeDocument/2006/relationships/hyperlink" Id="rId104" Target="https://CRAN.R-project.org/package=Hotelling" TargetMode="External" /><Relationship Type="http://schemas.openxmlformats.org/officeDocument/2006/relationships/hyperlink" Id="rId91" Target="https://CRAN.R-project.org/package=devtools" TargetMode="External" /><Relationship Type="http://schemas.openxmlformats.org/officeDocument/2006/relationships/hyperlink" Id="rId93" Target="https://CRAN.R-project.org/package=roxygen2" TargetMode="External" /><Relationship Type="http://schemas.openxmlformats.org/officeDocument/2006/relationships/hyperlink" Id="rId89" Target="https://CRAN.R-project.org/package=smdi" TargetMode="External" /><Relationship Type="http://schemas.openxmlformats.org/officeDocument/2006/relationships/hyperlink" Id="rId112" Target="https://CRAN.R-project.org/package=survival" TargetMode="External" /><Relationship Type="http://schemas.openxmlformats.org/officeDocument/2006/relationships/hyperlink" Id="rId100" Target="https://CRAN.R-project.org/package=tableone" TargetMode="External" /><Relationship Type="http://schemas.openxmlformats.org/officeDocument/2006/relationships/hyperlink" Id="rId32" Target="https://cran.r-project.org/web/packages/smdi)" TargetMode="External" /><Relationship Type="http://schemas.openxmlformats.org/officeDocument/2006/relationships/hyperlink" Id="rId64" Target="https://doi.org/10.1002/psp4.12998" TargetMode="External" /><Relationship Type="http://schemas.openxmlformats.org/officeDocument/2006/relationships/hyperlink" Id="rId84" Target="https://doi.org/10.1007/s10461-011-0125-6" TargetMode="External" /><Relationship Type="http://schemas.openxmlformats.org/officeDocument/2006/relationships/hyperlink" Id="rId51" Target="https://doi.org/10.1016/j.jclinepi.2004.11.029" TargetMode="External" /><Relationship Type="http://schemas.openxmlformats.org/officeDocument/2006/relationships/hyperlink" Id="rId72" Target="https://doi.org/10.1016/j.jclinepi.2019.02.016" TargetMode="External" /><Relationship Type="http://schemas.openxmlformats.org/officeDocument/2006/relationships/hyperlink" Id="rId62" Target="https://doi.org/10.1016/j.jclinepi.2021.01.008" TargetMode="External" /><Relationship Type="http://schemas.openxmlformats.org/officeDocument/2006/relationships/hyperlink" Id="rId49" Target="https://doi.org/10.1016/j.jval.2022.09.2421" TargetMode="External" /><Relationship Type="http://schemas.openxmlformats.org/officeDocument/2006/relationships/hyperlink" Id="rId47" Target="https://doi.org/10.1038/s41746-021-00542-0" TargetMode="External" /><Relationship Type="http://schemas.openxmlformats.org/officeDocument/2006/relationships/hyperlink" Id="rId98" Target="https://doi.org/10.1080/00273171.2011.568786" TargetMode="External" /><Relationship Type="http://schemas.openxmlformats.org/officeDocument/2006/relationships/hyperlink" Id="rId68" Target="https://doi.org/10.1080/01621459.1988.10478722" TargetMode="External" /><Relationship Type="http://schemas.openxmlformats.org/officeDocument/2006/relationships/hyperlink" Id="rId78" Target="https://doi.org/10.1080/01621459.2021.1874961" TargetMode="External" /><Relationship Type="http://schemas.openxmlformats.org/officeDocument/2006/relationships/hyperlink" Id="rId76" Target="https://doi.org/10.1093/aje/kwy173" TargetMode="External" /><Relationship Type="http://schemas.openxmlformats.org/officeDocument/2006/relationships/hyperlink" Id="rId59" Target="https://doi.org/10.1093/biomet/63.3.581" TargetMode="External" /><Relationship Type="http://schemas.openxmlformats.org/officeDocument/2006/relationships/hyperlink" Id="rId74" Target="https://doi.org/10.1093/ije/dyad008" TargetMode="External" /><Relationship Type="http://schemas.openxmlformats.org/officeDocument/2006/relationships/hyperlink" Id="rId80" Target="https://doi.org/10.1186/s12874-020-01018-7" TargetMode="External" /><Relationship Type="http://schemas.openxmlformats.org/officeDocument/2006/relationships/hyperlink" Id="rId53" Target="https://doi.org/10.1186/s12955-019-1181-2" TargetMode="External" /><Relationship Type="http://schemas.openxmlformats.org/officeDocument/2006/relationships/hyperlink" Id="rId82" Target="https://doi.org/10.1191/1740774504cn032oa" TargetMode="External" /><Relationship Type="http://schemas.openxmlformats.org/officeDocument/2006/relationships/hyperlink" Id="rId96" Target="https://doi.org/10.1213/ane.0000000000004211" TargetMode="External" /><Relationship Type="http://schemas.openxmlformats.org/officeDocument/2006/relationships/hyperlink" Id="rId66" Target="https://doi.org/10.1214/aoms/1177732979" TargetMode="External" /><Relationship Type="http://schemas.openxmlformats.org/officeDocument/2006/relationships/hyperlink" Id="rId55" Target="https://doi.org/10.1530/eje-20-0732" TargetMode="External" /><Relationship Type="http://schemas.openxmlformats.org/officeDocument/2006/relationships/hyperlink" Id="rId106" Target="https://doi.org/10.18637/jss.v105.i07" TargetMode="External" /><Relationship Type="http://schemas.openxmlformats.org/officeDocument/2006/relationships/hyperlink" Id="rId70" Target="https://doi.org/10.2147/clep.s129785" TargetMode="External" /><Relationship Type="http://schemas.openxmlformats.org/officeDocument/2006/relationships/hyperlink" Id="rId102"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34" Target="https://gitlab-scm.partners.org/janickweberpals/smdi" TargetMode="External" /><Relationship Type="http://schemas.openxmlformats.org/officeDocument/2006/relationships/hyperlink" Id="rId23" Target="https://janickweberpals.gitlab-pages.partners.org/smdi/" TargetMode="External" /><Relationship Type="http://schemas.openxmlformats.org/officeDocument/2006/relationships/hyperlink" Id="rId33" Target="https://packagemanager.posit.co/client/#/repos/2/packages/smdi" TargetMode="External" /><Relationship Type="http://schemas.openxmlformats.org/officeDocument/2006/relationships/hyperlink" Id="rId21" Target="https://quarto.org/" TargetMode="External" /><Relationship Type="http://schemas.openxmlformats.org/officeDocument/2006/relationships/hyperlink" Id="rId57" Target="https://stefvanbuuren.name/fimd/missing-data-pattern.html" TargetMode="External" /><Relationship Type="http://schemas.openxmlformats.org/officeDocument/2006/relationships/hyperlink" Id="rId110" Target="https://www.R-project.org/" TargetMode="External" /><Relationship Type="http://schemas.openxmlformats.org/officeDocument/2006/relationships/hyperlink" Id="rId45" Target="https://www.fda.gov/downloads/ScienceResearch/SpecialTopics/RealWorldEvidence/UCM627769.pdf" TargetMode="External" /><Relationship Type="http://schemas.openxmlformats.org/officeDocument/2006/relationships/hyperlink" Id="rId86"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2023-08-02T19:53:04Z</dcterms:created>
  <dcterms:modified xsi:type="dcterms:W3CDTF">2023-08-02T19:53:04Z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