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005D4" w14:textId="77777777" w:rsidR="00D17FF2" w:rsidRPr="0081761B" w:rsidRDefault="00D17FF2" w:rsidP="00D17FF2">
      <w:pPr>
        <w:rPr>
          <w:rFonts w:ascii="Aptos" w:hAnsi="Aptos"/>
          <w:b/>
          <w:bCs/>
        </w:rPr>
      </w:pPr>
      <w:r w:rsidRPr="00D17FF2">
        <w:rPr>
          <w:rFonts w:ascii="Aptos" w:hAnsi="Aptos"/>
          <w:b/>
          <w:bCs/>
        </w:rPr>
        <w:t>Data-Driven Health Guardian</w:t>
      </w:r>
      <w:r w:rsidRPr="0081761B">
        <w:rPr>
          <w:rFonts w:ascii="Aptos" w:hAnsi="Aptos"/>
          <w:b/>
          <w:bCs/>
        </w:rPr>
        <w:t xml:space="preserve"> (guardian de la salud impulsado por datos)</w:t>
      </w:r>
    </w:p>
    <w:p w14:paraId="38863B1E" w14:textId="256B29D1" w:rsidR="00D17FF2" w:rsidRPr="0081761B" w:rsidRDefault="00D17FF2" w:rsidP="00D17FF2">
      <w:pPr>
        <w:rPr>
          <w:rFonts w:ascii="Aptos" w:hAnsi="Aptos"/>
          <w:b/>
          <w:bCs/>
        </w:rPr>
      </w:pPr>
      <w:r w:rsidRPr="00D17FF2">
        <w:rPr>
          <w:rFonts w:ascii="Aptos" w:hAnsi="Aptos"/>
          <w:b/>
          <w:bCs/>
        </w:rPr>
        <w:t>Arquitectura de Micro-Segmentación Predictiva Orientada al Cliente Institucional del Sistema de Salud</w:t>
      </w:r>
    </w:p>
    <w:p w14:paraId="000F96A7" w14:textId="4093A135" w:rsidR="00D17FF2" w:rsidRPr="00D17FF2" w:rsidRDefault="00D17FF2" w:rsidP="00D17FF2">
      <w:pPr>
        <w:rPr>
          <w:rFonts w:ascii="Aptos" w:hAnsi="Aptos"/>
          <w:b/>
          <w:bCs/>
        </w:rPr>
      </w:pPr>
      <w:r w:rsidRPr="0081761B">
        <w:rPr>
          <w:rFonts w:ascii="Aptos" w:hAnsi="Aptos"/>
          <w:b/>
          <w:bCs/>
        </w:rPr>
        <w:t>Janier Adrian Chindoy Jamioy</w:t>
      </w:r>
    </w:p>
    <w:p w14:paraId="3BB91FA0" w14:textId="7FFF064A" w:rsidR="00D17FF2" w:rsidRPr="00D17FF2" w:rsidRDefault="00D17FF2" w:rsidP="00D17FF2">
      <w:pPr>
        <w:rPr>
          <w:rFonts w:ascii="Aptos" w:hAnsi="Aptos"/>
          <w:b/>
          <w:bCs/>
        </w:rPr>
      </w:pPr>
      <w:r w:rsidRPr="00D17FF2">
        <w:rPr>
          <w:rFonts w:ascii="Aptos" w:hAnsi="Aptos"/>
          <w:b/>
          <w:bCs/>
        </w:rPr>
        <w:t>El presente documento desarrolla una propuesta de arquitectura de ingeniería de datos enfocada explícitamente en el cliente institucional del sistema de salud colombiano: las Gestoras de Salud y Vida, los Centros de Atención Primaria en Salud (CAPS) y las Secretarías de Salud. El proyecto plantea cómo estas entidades pueden utilizar de forma estratégica sus datos para cumplir el enfoque preventivo y resolutivo exigido por la reforma al sistema de salud y el Decreto 0858</w:t>
      </w:r>
      <w:r w:rsidR="0081761B">
        <w:rPr>
          <w:rFonts w:ascii="Aptos" w:hAnsi="Aptos"/>
          <w:b/>
          <w:bCs/>
        </w:rPr>
        <w:t xml:space="preserve"> donde l</w:t>
      </w:r>
      <w:r w:rsidRPr="00D17FF2">
        <w:rPr>
          <w:rFonts w:ascii="Aptos" w:hAnsi="Aptos"/>
          <w:b/>
          <w:bCs/>
        </w:rPr>
        <w:t>a propuesta se centra en la integración de flujos de datos clínicos, farmacológicos y sociales en una arquitectura de tipo Data Lakehouse con Feature Store, permitiendo a las instituciones anticipar el riesgo de descompensación poblacional y tomar decisiones operativas oportunas. El resultado es un Semáforo de Riesgo Territorial que actúa como herramienta de gestión para el cliente institucional, optimizando la asignación de recursos, la priorización de citas y la intervención preventiva.</w:t>
      </w:r>
    </w:p>
    <w:p w14:paraId="47FF06A1" w14:textId="1B339261" w:rsidR="00D17FF2" w:rsidRPr="00D17FF2" w:rsidRDefault="00D17FF2" w:rsidP="00D17FF2">
      <w:pPr>
        <w:rPr>
          <w:rFonts w:ascii="Aptos" w:hAnsi="Aptos"/>
          <w:b/>
          <w:bCs/>
        </w:rPr>
      </w:pPr>
      <w:r w:rsidRPr="00D17FF2">
        <w:rPr>
          <w:rFonts w:ascii="Aptos" w:hAnsi="Aptos"/>
          <w:b/>
          <w:bCs/>
        </w:rPr>
        <w:t>Introducción</w:t>
      </w:r>
    </w:p>
    <w:p w14:paraId="3E64C3A5" w14:textId="64EC4DB6" w:rsidR="00D17FF2" w:rsidRPr="00D17FF2" w:rsidRDefault="00D17FF2" w:rsidP="00D17FF2">
      <w:pPr>
        <w:rPr>
          <w:rFonts w:ascii="Aptos" w:hAnsi="Aptos"/>
          <w:b/>
          <w:bCs/>
        </w:rPr>
      </w:pPr>
      <w:r w:rsidRPr="00D17FF2">
        <w:rPr>
          <w:rFonts w:ascii="Aptos" w:hAnsi="Aptos"/>
          <w:b/>
          <w:bCs/>
        </w:rPr>
        <w:t>La reforma al sistema de salud colombiano redefine el rol de los actores institucionales, trasladando la responsabilidad de la gestión del riesgo desde un enfoque reactivo hacia uno preventivo, territorial y resolutivo. En este nuevo contexto, las Gestoras de Salud y Vida y los CAPS dejan de ser simples administradores de servicios para convertirse en gestores activos de la salud poblacional</w:t>
      </w:r>
      <w:r w:rsidRPr="0081761B">
        <w:rPr>
          <w:rFonts w:ascii="Aptos" w:hAnsi="Aptos"/>
          <w:b/>
          <w:bCs/>
        </w:rPr>
        <w:t xml:space="preserve"> en donde p</w:t>
      </w:r>
      <w:r w:rsidRPr="00D17FF2">
        <w:rPr>
          <w:rFonts w:ascii="Aptos" w:hAnsi="Aptos"/>
          <w:b/>
          <w:bCs/>
        </w:rPr>
        <w:t>ara cumplir este rol, dichas entidades requieren capacidades analíticas avanzadas que les permitan identificar de manera temprana a los pacientes con mayor riesgo de descompensación. No obstante, aunque las instituciones poseen grandes volúmenes de datos, estos no están organizados ni integrados de forma que faciliten la toma de decisiones estratégicas. Este proyecto aborda dicha brecha desde la perspectiva del cliente institucional.</w:t>
      </w:r>
    </w:p>
    <w:p w14:paraId="3AB25A39" w14:textId="586E27A4" w:rsidR="00D17FF2" w:rsidRPr="00D17FF2" w:rsidRDefault="00D17FF2" w:rsidP="00D17FF2">
      <w:pPr>
        <w:rPr>
          <w:rFonts w:ascii="Aptos" w:hAnsi="Aptos"/>
          <w:b/>
          <w:bCs/>
        </w:rPr>
      </w:pPr>
    </w:p>
    <w:p w14:paraId="673C08E8" w14:textId="77777777" w:rsidR="00D17FF2" w:rsidRPr="00D17FF2" w:rsidRDefault="00D17FF2" w:rsidP="00D17FF2">
      <w:pPr>
        <w:rPr>
          <w:rFonts w:ascii="Aptos" w:hAnsi="Aptos"/>
          <w:b/>
          <w:bCs/>
        </w:rPr>
      </w:pPr>
      <w:r w:rsidRPr="00D17FF2">
        <w:rPr>
          <w:rFonts w:ascii="Aptos" w:hAnsi="Aptos"/>
          <w:b/>
          <w:bCs/>
        </w:rPr>
        <w:t>2. Caracterización del Cliente y del Problema Institucional</w:t>
      </w:r>
    </w:p>
    <w:p w14:paraId="052EA213" w14:textId="77777777" w:rsidR="00D17FF2" w:rsidRPr="00D17FF2" w:rsidRDefault="00D17FF2" w:rsidP="00D17FF2">
      <w:pPr>
        <w:rPr>
          <w:rFonts w:ascii="Aptos" w:hAnsi="Aptos"/>
          <w:b/>
          <w:bCs/>
        </w:rPr>
      </w:pPr>
      <w:r w:rsidRPr="00D17FF2">
        <w:rPr>
          <w:rFonts w:ascii="Aptos" w:hAnsi="Aptos"/>
          <w:b/>
          <w:bCs/>
        </w:rPr>
        <w:t>2.1 El cliente institucional</w:t>
      </w:r>
    </w:p>
    <w:p w14:paraId="690C54B1" w14:textId="77777777" w:rsidR="00D17FF2" w:rsidRPr="00D17FF2" w:rsidRDefault="00D17FF2" w:rsidP="00D17FF2">
      <w:pPr>
        <w:rPr>
          <w:rFonts w:ascii="Aptos" w:hAnsi="Aptos"/>
          <w:b/>
          <w:bCs/>
        </w:rPr>
      </w:pPr>
      <w:r w:rsidRPr="00D17FF2">
        <w:rPr>
          <w:rFonts w:ascii="Aptos" w:hAnsi="Aptos"/>
          <w:b/>
          <w:bCs/>
        </w:rPr>
        <w:t>El cliente directo de esta propuesta está conformado por:</w:t>
      </w:r>
    </w:p>
    <w:p w14:paraId="191A076F" w14:textId="77777777" w:rsidR="00D17FF2" w:rsidRPr="00D17FF2" w:rsidRDefault="00D17FF2" w:rsidP="00D17FF2">
      <w:pPr>
        <w:rPr>
          <w:rFonts w:ascii="Aptos" w:hAnsi="Aptos"/>
          <w:b/>
          <w:bCs/>
        </w:rPr>
      </w:pPr>
      <w:r w:rsidRPr="00D17FF2">
        <w:rPr>
          <w:rFonts w:ascii="Aptos" w:hAnsi="Aptos"/>
          <w:b/>
          <w:bCs/>
        </w:rPr>
        <w:lastRenderedPageBreak/>
        <w:t>Gestoras de Salud y Vida, responsables de la gestión integral del riesgo en su población afiliada.</w:t>
      </w:r>
    </w:p>
    <w:p w14:paraId="169BEDD7" w14:textId="77777777" w:rsidR="00D17FF2" w:rsidRPr="00D17FF2" w:rsidRDefault="00D17FF2" w:rsidP="00D17FF2">
      <w:pPr>
        <w:rPr>
          <w:rFonts w:ascii="Aptos" w:hAnsi="Aptos"/>
          <w:b/>
          <w:bCs/>
        </w:rPr>
      </w:pPr>
      <w:r w:rsidRPr="00D17FF2">
        <w:rPr>
          <w:rFonts w:ascii="Aptos" w:hAnsi="Aptos"/>
          <w:b/>
          <w:bCs/>
        </w:rPr>
        <w:t>Centros de Atención Primaria en Salud (CAPS), encargados de la atención resolutiva en el territorio.</w:t>
      </w:r>
    </w:p>
    <w:p w14:paraId="770013A4" w14:textId="77777777" w:rsidR="00D17FF2" w:rsidRPr="00D17FF2" w:rsidRDefault="00D17FF2" w:rsidP="00D17FF2">
      <w:pPr>
        <w:rPr>
          <w:rFonts w:ascii="Aptos" w:hAnsi="Aptos"/>
          <w:b/>
          <w:bCs/>
        </w:rPr>
      </w:pPr>
      <w:r w:rsidRPr="00D17FF2">
        <w:rPr>
          <w:rFonts w:ascii="Aptos" w:hAnsi="Aptos"/>
          <w:b/>
          <w:bCs/>
        </w:rPr>
        <w:t>Secretarías Departamentales y Distritales de Salud, como entes de planeación, vigilancia y control.</w:t>
      </w:r>
    </w:p>
    <w:p w14:paraId="58FE5FCE" w14:textId="23B24FB0" w:rsidR="00D17FF2" w:rsidRPr="00D17FF2" w:rsidRDefault="00D17FF2" w:rsidP="00D17FF2">
      <w:pPr>
        <w:rPr>
          <w:rFonts w:ascii="Aptos" w:hAnsi="Aptos"/>
          <w:b/>
          <w:bCs/>
        </w:rPr>
      </w:pPr>
      <w:r w:rsidRPr="00D17FF2">
        <w:rPr>
          <w:rFonts w:ascii="Aptos" w:hAnsi="Aptos"/>
          <w:b/>
          <w:bCs/>
        </w:rPr>
        <w:t xml:space="preserve">Estas entidades </w:t>
      </w:r>
      <w:r w:rsidRPr="0081761B">
        <w:rPr>
          <w:rFonts w:ascii="Aptos" w:hAnsi="Aptos"/>
          <w:b/>
          <w:bCs/>
        </w:rPr>
        <w:t xml:space="preserve">se </w:t>
      </w:r>
      <w:r w:rsidRPr="00D17FF2">
        <w:rPr>
          <w:rFonts w:ascii="Aptos" w:hAnsi="Aptos"/>
          <w:b/>
          <w:bCs/>
        </w:rPr>
        <w:t>comparten una necesidad común: contar con información integrada, confiable y oportuna que respalde decisiones preventivas y operativas.</w:t>
      </w:r>
    </w:p>
    <w:p w14:paraId="31AE4AF6" w14:textId="77777777" w:rsidR="00D17FF2" w:rsidRPr="00D17FF2" w:rsidRDefault="00D17FF2" w:rsidP="00D17FF2">
      <w:pPr>
        <w:rPr>
          <w:rFonts w:ascii="Aptos" w:hAnsi="Aptos"/>
          <w:b/>
          <w:bCs/>
        </w:rPr>
      </w:pPr>
      <w:r w:rsidRPr="00D17FF2">
        <w:rPr>
          <w:rFonts w:ascii="Aptos" w:hAnsi="Aptos"/>
          <w:b/>
          <w:bCs/>
        </w:rPr>
        <w:t>2.2 Problema institucional</w:t>
      </w:r>
    </w:p>
    <w:p w14:paraId="067E9324" w14:textId="2BAEE2B9" w:rsidR="00D17FF2" w:rsidRPr="0081761B" w:rsidRDefault="00D17FF2" w:rsidP="00D17FF2">
      <w:pPr>
        <w:rPr>
          <w:rFonts w:ascii="Aptos" w:hAnsi="Aptos"/>
          <w:b/>
          <w:bCs/>
        </w:rPr>
      </w:pPr>
      <w:r w:rsidRPr="00D17FF2">
        <w:rPr>
          <w:rFonts w:ascii="Aptos" w:hAnsi="Aptos"/>
          <w:b/>
          <w:bCs/>
        </w:rPr>
        <w:t xml:space="preserve">Desde la perspectiva del cliente, el problema no es la ausencia de datos, sino su inutilización efectiva. Los sistemas de información actuales operan en silos, impidiendo que las instituciones respondan de forma anticipada a los riesgos en salud. </w:t>
      </w:r>
      <w:r w:rsidRPr="0081761B">
        <w:rPr>
          <w:rFonts w:ascii="Aptos" w:hAnsi="Aptos"/>
          <w:b/>
          <w:bCs/>
        </w:rPr>
        <w:t>Como resultado, una proporción significativa de las citas prioritarias se asigna cuando el paciente ya se encuentra descompensado, lo que incrementa costos, reduce la resolutividad y sobrecarga los servicios de urgencias.</w:t>
      </w:r>
    </w:p>
    <w:p w14:paraId="04262EB7" w14:textId="77777777" w:rsidR="00D17FF2" w:rsidRPr="00D17FF2" w:rsidRDefault="00D17FF2" w:rsidP="00D17FF2">
      <w:pPr>
        <w:rPr>
          <w:rFonts w:ascii="Aptos" w:hAnsi="Aptos"/>
          <w:b/>
          <w:bCs/>
        </w:rPr>
      </w:pPr>
      <w:r w:rsidRPr="00D17FF2">
        <w:rPr>
          <w:rFonts w:ascii="Aptos" w:hAnsi="Aptos"/>
          <w:b/>
          <w:bCs/>
        </w:rPr>
        <w:t>3. Pregunta de Investigación</w:t>
      </w:r>
    </w:p>
    <w:p w14:paraId="316308C6" w14:textId="56F2CCE0" w:rsidR="00D17FF2" w:rsidRPr="00D17FF2" w:rsidRDefault="00D17FF2" w:rsidP="00D17FF2">
      <w:pPr>
        <w:rPr>
          <w:rFonts w:ascii="Aptos" w:hAnsi="Aptos"/>
          <w:b/>
          <w:bCs/>
        </w:rPr>
      </w:pPr>
      <w:r w:rsidRPr="00D17FF2">
        <w:rPr>
          <w:rFonts w:ascii="Aptos" w:hAnsi="Aptos"/>
          <w:b/>
          <w:bCs/>
        </w:rPr>
        <w:t>¿Cómo pueden las Gestoras de Salud y Vida y los CAPS integrar sus flujos de datos clínicos, farmacológicos y sociales en una arquitectura de Feature Store que les permita predecir el riesgo de descompensación poblacional y mejorar la toma de decisiones preventivas?</w:t>
      </w:r>
    </w:p>
    <w:p w14:paraId="3F545079" w14:textId="77777777" w:rsidR="00D17FF2" w:rsidRPr="00D17FF2" w:rsidRDefault="00D17FF2" w:rsidP="00D17FF2">
      <w:pPr>
        <w:rPr>
          <w:rFonts w:ascii="Aptos" w:hAnsi="Aptos"/>
          <w:b/>
          <w:bCs/>
        </w:rPr>
      </w:pPr>
      <w:r w:rsidRPr="00D17FF2">
        <w:rPr>
          <w:rFonts w:ascii="Aptos" w:hAnsi="Aptos"/>
          <w:b/>
          <w:bCs/>
        </w:rPr>
        <w:t>4. Objetivos</w:t>
      </w:r>
    </w:p>
    <w:p w14:paraId="20A002CF" w14:textId="77777777" w:rsidR="00D17FF2" w:rsidRPr="00D17FF2" w:rsidRDefault="00D17FF2" w:rsidP="00D17FF2">
      <w:pPr>
        <w:rPr>
          <w:rFonts w:ascii="Aptos" w:hAnsi="Aptos"/>
          <w:b/>
          <w:bCs/>
        </w:rPr>
      </w:pPr>
      <w:r w:rsidRPr="00D17FF2">
        <w:rPr>
          <w:rFonts w:ascii="Aptos" w:hAnsi="Aptos"/>
          <w:b/>
          <w:bCs/>
        </w:rPr>
        <w:t>4.1 Objetivo General</w:t>
      </w:r>
    </w:p>
    <w:p w14:paraId="3598724D" w14:textId="77777777" w:rsidR="00D17FF2" w:rsidRPr="00D17FF2" w:rsidRDefault="00D17FF2" w:rsidP="00D17FF2">
      <w:pPr>
        <w:rPr>
          <w:rFonts w:ascii="Aptos" w:hAnsi="Aptos"/>
          <w:b/>
          <w:bCs/>
        </w:rPr>
      </w:pPr>
      <w:r w:rsidRPr="00D17FF2">
        <w:rPr>
          <w:rFonts w:ascii="Aptos" w:hAnsi="Aptos"/>
          <w:b/>
          <w:bCs/>
        </w:rPr>
        <w:t>Diseñar una arquitectura de ingeniería de datos orientada al cliente institucional del sistema de salud que facilite la gestión predictiva del riesgo poblacional.</w:t>
      </w:r>
    </w:p>
    <w:p w14:paraId="3465C92B" w14:textId="77777777" w:rsidR="00D17FF2" w:rsidRPr="00D17FF2" w:rsidRDefault="00D17FF2" w:rsidP="00D17FF2">
      <w:pPr>
        <w:rPr>
          <w:rFonts w:ascii="Aptos" w:hAnsi="Aptos"/>
          <w:b/>
          <w:bCs/>
        </w:rPr>
      </w:pPr>
      <w:r w:rsidRPr="00D17FF2">
        <w:rPr>
          <w:rFonts w:ascii="Aptos" w:hAnsi="Aptos"/>
          <w:b/>
          <w:bCs/>
        </w:rPr>
        <w:t>4.2 Objetivos Específicos</w:t>
      </w:r>
    </w:p>
    <w:p w14:paraId="3FE33E41" w14:textId="77777777" w:rsidR="00D17FF2" w:rsidRPr="00D17FF2" w:rsidRDefault="00D17FF2" w:rsidP="0081761B">
      <w:pPr>
        <w:rPr>
          <w:rFonts w:ascii="Aptos" w:hAnsi="Aptos"/>
          <w:b/>
          <w:bCs/>
        </w:rPr>
      </w:pPr>
      <w:r w:rsidRPr="00D17FF2">
        <w:rPr>
          <w:rFonts w:ascii="Aptos" w:hAnsi="Aptos"/>
          <w:b/>
          <w:bCs/>
        </w:rPr>
        <w:t>Analizar las necesidades de información de las Gestoras de Salud y Vida y los CAPS en el marco del modelo preventivo.</w:t>
      </w:r>
    </w:p>
    <w:p w14:paraId="0BD80FF8" w14:textId="77777777" w:rsidR="00D17FF2" w:rsidRPr="00D17FF2" w:rsidRDefault="00D17FF2" w:rsidP="0081761B">
      <w:pPr>
        <w:rPr>
          <w:rFonts w:ascii="Aptos" w:hAnsi="Aptos"/>
          <w:b/>
          <w:bCs/>
        </w:rPr>
      </w:pPr>
      <w:r w:rsidRPr="00D17FF2">
        <w:rPr>
          <w:rFonts w:ascii="Aptos" w:hAnsi="Aptos"/>
          <w:b/>
          <w:bCs/>
        </w:rPr>
        <w:t>Integrar datos de farmacia, laboratorio y atención territorial en un flujo unificado y gobernado.</w:t>
      </w:r>
    </w:p>
    <w:p w14:paraId="7AE95416" w14:textId="77777777" w:rsidR="00D17FF2" w:rsidRPr="00D17FF2" w:rsidRDefault="00D17FF2" w:rsidP="0081761B">
      <w:pPr>
        <w:rPr>
          <w:rFonts w:ascii="Aptos" w:hAnsi="Aptos"/>
          <w:b/>
          <w:bCs/>
        </w:rPr>
      </w:pPr>
      <w:r w:rsidRPr="00D17FF2">
        <w:rPr>
          <w:rFonts w:ascii="Aptos" w:hAnsi="Aptos"/>
          <w:b/>
          <w:bCs/>
        </w:rPr>
        <w:lastRenderedPageBreak/>
        <w:t>Construir una Feature Store que represente variables clave para la toma de decisiones institucionales.</w:t>
      </w:r>
    </w:p>
    <w:p w14:paraId="4D5C0A71" w14:textId="187D67DE" w:rsidR="00D17FF2" w:rsidRPr="00D17FF2" w:rsidRDefault="00D17FF2" w:rsidP="00D17FF2">
      <w:pPr>
        <w:rPr>
          <w:rFonts w:ascii="Aptos" w:hAnsi="Aptos"/>
          <w:b/>
          <w:bCs/>
        </w:rPr>
      </w:pPr>
      <w:r w:rsidRPr="00D17FF2">
        <w:rPr>
          <w:rFonts w:ascii="Aptos" w:hAnsi="Aptos"/>
          <w:b/>
          <w:bCs/>
        </w:rPr>
        <w:t>Proponer un sistema de clasificación poblacional que apoye la asignación eficiente de recursos.</w:t>
      </w:r>
    </w:p>
    <w:p w14:paraId="6D69BC08" w14:textId="77777777" w:rsidR="00D17FF2" w:rsidRPr="00D17FF2" w:rsidRDefault="00D17FF2" w:rsidP="00D17FF2">
      <w:pPr>
        <w:rPr>
          <w:rFonts w:ascii="Aptos" w:hAnsi="Aptos"/>
          <w:b/>
          <w:bCs/>
        </w:rPr>
      </w:pPr>
    </w:p>
    <w:p w14:paraId="660326F2" w14:textId="77777777" w:rsidR="00D17FF2" w:rsidRPr="0081761B" w:rsidRDefault="00D17FF2" w:rsidP="00D17FF2">
      <w:pPr>
        <w:rPr>
          <w:rFonts w:ascii="Aptos" w:hAnsi="Aptos"/>
          <w:b/>
          <w:bCs/>
        </w:rPr>
      </w:pPr>
    </w:p>
    <w:p w14:paraId="6FBDB414" w14:textId="6307D8B7" w:rsidR="00D17FF2" w:rsidRPr="00D17FF2" w:rsidRDefault="00D17FF2" w:rsidP="00D17FF2">
      <w:pPr>
        <w:rPr>
          <w:rFonts w:ascii="Aptos" w:hAnsi="Aptos"/>
          <w:b/>
          <w:bCs/>
        </w:rPr>
      </w:pPr>
      <w:r w:rsidRPr="00D17FF2">
        <w:rPr>
          <w:rFonts w:ascii="Aptos" w:hAnsi="Aptos"/>
          <w:b/>
          <w:bCs/>
        </w:rPr>
        <w:t>Referencias</w:t>
      </w:r>
    </w:p>
    <w:p w14:paraId="5BB24918" w14:textId="77777777" w:rsidR="00D17FF2" w:rsidRPr="00D17FF2" w:rsidRDefault="00D17FF2" w:rsidP="00D17FF2">
      <w:pPr>
        <w:rPr>
          <w:rFonts w:ascii="Aptos" w:hAnsi="Aptos"/>
        </w:rPr>
      </w:pPr>
      <w:r w:rsidRPr="00D17FF2">
        <w:rPr>
          <w:rFonts w:ascii="Aptos" w:hAnsi="Aptos"/>
        </w:rPr>
        <w:t xml:space="preserve">Forrester, J. W. (1961). </w:t>
      </w:r>
      <w:r w:rsidRPr="00D17FF2">
        <w:rPr>
          <w:rFonts w:ascii="Aptos" w:hAnsi="Aptos"/>
          <w:i/>
          <w:iCs/>
        </w:rPr>
        <w:t>Industrial Dynamics</w:t>
      </w:r>
      <w:r w:rsidRPr="00D17FF2">
        <w:rPr>
          <w:rFonts w:ascii="Aptos" w:hAnsi="Aptos"/>
        </w:rPr>
        <w:t>. MIT Press.</w:t>
      </w:r>
    </w:p>
    <w:p w14:paraId="61AAF1DD" w14:textId="77777777" w:rsidR="00D17FF2" w:rsidRPr="00D17FF2" w:rsidRDefault="00D17FF2" w:rsidP="00D17FF2">
      <w:pPr>
        <w:rPr>
          <w:rFonts w:ascii="Aptos" w:hAnsi="Aptos"/>
        </w:rPr>
      </w:pPr>
      <w:r w:rsidRPr="00D17FF2">
        <w:rPr>
          <w:rFonts w:ascii="Aptos" w:hAnsi="Aptos"/>
        </w:rPr>
        <w:t xml:space="preserve">World Health Organization. (2022). </w:t>
      </w:r>
      <w:r w:rsidRPr="00D17FF2">
        <w:rPr>
          <w:rFonts w:ascii="Aptos" w:hAnsi="Aptos"/>
          <w:i/>
          <w:iCs/>
        </w:rPr>
        <w:t>Primary Health Care Measurement Framework</w:t>
      </w:r>
      <w:r w:rsidRPr="00D17FF2">
        <w:rPr>
          <w:rFonts w:ascii="Aptos" w:hAnsi="Aptos"/>
        </w:rPr>
        <w:t>.</w:t>
      </w:r>
    </w:p>
    <w:p w14:paraId="760D8472" w14:textId="77777777" w:rsidR="00D17FF2" w:rsidRPr="00D17FF2" w:rsidRDefault="00D17FF2" w:rsidP="00D17FF2">
      <w:pPr>
        <w:rPr>
          <w:rFonts w:ascii="Aptos" w:hAnsi="Aptos"/>
        </w:rPr>
      </w:pPr>
      <w:r w:rsidRPr="00D17FF2">
        <w:rPr>
          <w:rFonts w:ascii="Aptos" w:hAnsi="Aptos"/>
        </w:rPr>
        <w:t xml:space="preserve">NHS England. (2021). </w:t>
      </w:r>
      <w:r w:rsidRPr="00D17FF2">
        <w:rPr>
          <w:rFonts w:ascii="Aptos" w:hAnsi="Aptos"/>
          <w:i/>
          <w:iCs/>
        </w:rPr>
        <w:t>Population Health Management Case Studies</w:t>
      </w:r>
      <w:r w:rsidRPr="00D17FF2">
        <w:rPr>
          <w:rFonts w:ascii="Aptos" w:hAnsi="Aptos"/>
        </w:rPr>
        <w:t>.</w:t>
      </w:r>
    </w:p>
    <w:p w14:paraId="27E5F297" w14:textId="77777777" w:rsidR="00D17FF2" w:rsidRPr="0081761B" w:rsidRDefault="00D17FF2">
      <w:pPr>
        <w:rPr>
          <w:rFonts w:ascii="Aptos" w:hAnsi="Aptos"/>
        </w:rPr>
      </w:pPr>
    </w:p>
    <w:sectPr w:rsidR="00D17FF2" w:rsidRPr="008176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F7CF1"/>
    <w:multiLevelType w:val="multilevel"/>
    <w:tmpl w:val="FBF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26DBC"/>
    <w:multiLevelType w:val="multilevel"/>
    <w:tmpl w:val="1B7E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315DC"/>
    <w:multiLevelType w:val="multilevel"/>
    <w:tmpl w:val="89F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BC432C"/>
    <w:multiLevelType w:val="multilevel"/>
    <w:tmpl w:val="5F6C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646434">
    <w:abstractNumId w:val="2"/>
  </w:num>
  <w:num w:numId="2" w16cid:durableId="1269123052">
    <w:abstractNumId w:val="3"/>
  </w:num>
  <w:num w:numId="3" w16cid:durableId="1432969835">
    <w:abstractNumId w:val="0"/>
  </w:num>
  <w:num w:numId="4" w16cid:durableId="463155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FF2"/>
    <w:rsid w:val="0081761B"/>
    <w:rsid w:val="00D17FF2"/>
    <w:rsid w:val="00E900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25B9D"/>
  <w15:chartTrackingRefBased/>
  <w15:docId w15:val="{D6A9946A-1AAF-4238-A9F8-03E4BD3FF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7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7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7F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7F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7F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7F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7F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7F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7F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7F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7F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7F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7F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7F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7F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7F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7F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7FF2"/>
    <w:rPr>
      <w:rFonts w:eastAsiaTheme="majorEastAsia" w:cstheme="majorBidi"/>
      <w:color w:val="272727" w:themeColor="text1" w:themeTint="D8"/>
    </w:rPr>
  </w:style>
  <w:style w:type="paragraph" w:styleId="Ttulo">
    <w:name w:val="Title"/>
    <w:basedOn w:val="Normal"/>
    <w:next w:val="Normal"/>
    <w:link w:val="TtuloCar"/>
    <w:uiPriority w:val="10"/>
    <w:qFormat/>
    <w:rsid w:val="00D17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7F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7F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7F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7FF2"/>
    <w:pPr>
      <w:spacing w:before="160"/>
      <w:jc w:val="center"/>
    </w:pPr>
    <w:rPr>
      <w:i/>
      <w:iCs/>
      <w:color w:val="404040" w:themeColor="text1" w:themeTint="BF"/>
    </w:rPr>
  </w:style>
  <w:style w:type="character" w:customStyle="1" w:styleId="CitaCar">
    <w:name w:val="Cita Car"/>
    <w:basedOn w:val="Fuentedeprrafopredeter"/>
    <w:link w:val="Cita"/>
    <w:uiPriority w:val="29"/>
    <w:rsid w:val="00D17FF2"/>
    <w:rPr>
      <w:i/>
      <w:iCs/>
      <w:color w:val="404040" w:themeColor="text1" w:themeTint="BF"/>
    </w:rPr>
  </w:style>
  <w:style w:type="paragraph" w:styleId="Prrafodelista">
    <w:name w:val="List Paragraph"/>
    <w:basedOn w:val="Normal"/>
    <w:uiPriority w:val="34"/>
    <w:qFormat/>
    <w:rsid w:val="00D17FF2"/>
    <w:pPr>
      <w:ind w:left="720"/>
      <w:contextualSpacing/>
    </w:pPr>
  </w:style>
  <w:style w:type="character" w:styleId="nfasisintenso">
    <w:name w:val="Intense Emphasis"/>
    <w:basedOn w:val="Fuentedeprrafopredeter"/>
    <w:uiPriority w:val="21"/>
    <w:qFormat/>
    <w:rsid w:val="00D17FF2"/>
    <w:rPr>
      <w:i/>
      <w:iCs/>
      <w:color w:val="0F4761" w:themeColor="accent1" w:themeShade="BF"/>
    </w:rPr>
  </w:style>
  <w:style w:type="paragraph" w:styleId="Citadestacada">
    <w:name w:val="Intense Quote"/>
    <w:basedOn w:val="Normal"/>
    <w:next w:val="Normal"/>
    <w:link w:val="CitadestacadaCar"/>
    <w:uiPriority w:val="30"/>
    <w:qFormat/>
    <w:rsid w:val="00D17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7FF2"/>
    <w:rPr>
      <w:i/>
      <w:iCs/>
      <w:color w:val="0F4761" w:themeColor="accent1" w:themeShade="BF"/>
    </w:rPr>
  </w:style>
  <w:style w:type="character" w:styleId="Referenciaintensa">
    <w:name w:val="Intense Reference"/>
    <w:basedOn w:val="Fuentedeprrafopredeter"/>
    <w:uiPriority w:val="32"/>
    <w:qFormat/>
    <w:rsid w:val="00D17F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33093">
      <w:bodyDiv w:val="1"/>
      <w:marLeft w:val="0"/>
      <w:marRight w:val="0"/>
      <w:marTop w:val="0"/>
      <w:marBottom w:val="0"/>
      <w:divBdr>
        <w:top w:val="none" w:sz="0" w:space="0" w:color="auto"/>
        <w:left w:val="none" w:sz="0" w:space="0" w:color="auto"/>
        <w:bottom w:val="none" w:sz="0" w:space="0" w:color="auto"/>
        <w:right w:val="none" w:sz="0" w:space="0" w:color="auto"/>
      </w:divBdr>
    </w:div>
    <w:div w:id="854004160">
      <w:bodyDiv w:val="1"/>
      <w:marLeft w:val="0"/>
      <w:marRight w:val="0"/>
      <w:marTop w:val="0"/>
      <w:marBottom w:val="0"/>
      <w:divBdr>
        <w:top w:val="none" w:sz="0" w:space="0" w:color="auto"/>
        <w:left w:val="none" w:sz="0" w:space="0" w:color="auto"/>
        <w:bottom w:val="none" w:sz="0" w:space="0" w:color="auto"/>
        <w:right w:val="none" w:sz="0" w:space="0" w:color="auto"/>
      </w:divBdr>
      <w:divsChild>
        <w:div w:id="2026010280">
          <w:marLeft w:val="0"/>
          <w:marRight w:val="0"/>
          <w:marTop w:val="0"/>
          <w:marBottom w:val="0"/>
          <w:divBdr>
            <w:top w:val="none" w:sz="0" w:space="0" w:color="auto"/>
            <w:left w:val="none" w:sz="0" w:space="0" w:color="auto"/>
            <w:bottom w:val="none" w:sz="0" w:space="0" w:color="auto"/>
            <w:right w:val="none" w:sz="0" w:space="0" w:color="auto"/>
          </w:divBdr>
        </w:div>
        <w:div w:id="467863307">
          <w:marLeft w:val="0"/>
          <w:marRight w:val="0"/>
          <w:marTop w:val="0"/>
          <w:marBottom w:val="0"/>
          <w:divBdr>
            <w:top w:val="none" w:sz="0" w:space="0" w:color="auto"/>
            <w:left w:val="none" w:sz="0" w:space="0" w:color="auto"/>
            <w:bottom w:val="none" w:sz="0" w:space="0" w:color="auto"/>
            <w:right w:val="none" w:sz="0" w:space="0" w:color="auto"/>
          </w:divBdr>
        </w:div>
      </w:divsChild>
    </w:div>
    <w:div w:id="1619215188">
      <w:bodyDiv w:val="1"/>
      <w:marLeft w:val="0"/>
      <w:marRight w:val="0"/>
      <w:marTop w:val="0"/>
      <w:marBottom w:val="0"/>
      <w:divBdr>
        <w:top w:val="none" w:sz="0" w:space="0" w:color="auto"/>
        <w:left w:val="none" w:sz="0" w:space="0" w:color="auto"/>
        <w:bottom w:val="none" w:sz="0" w:space="0" w:color="auto"/>
        <w:right w:val="none" w:sz="0" w:space="0" w:color="auto"/>
      </w:divBdr>
      <w:divsChild>
        <w:div w:id="133647836">
          <w:marLeft w:val="0"/>
          <w:marRight w:val="0"/>
          <w:marTop w:val="0"/>
          <w:marBottom w:val="0"/>
          <w:divBdr>
            <w:top w:val="none" w:sz="0" w:space="0" w:color="auto"/>
            <w:left w:val="none" w:sz="0" w:space="0" w:color="auto"/>
            <w:bottom w:val="none" w:sz="0" w:space="0" w:color="auto"/>
            <w:right w:val="none" w:sz="0" w:space="0" w:color="auto"/>
          </w:divBdr>
        </w:div>
        <w:div w:id="469134896">
          <w:marLeft w:val="0"/>
          <w:marRight w:val="0"/>
          <w:marTop w:val="0"/>
          <w:marBottom w:val="0"/>
          <w:divBdr>
            <w:top w:val="none" w:sz="0" w:space="0" w:color="auto"/>
            <w:left w:val="none" w:sz="0" w:space="0" w:color="auto"/>
            <w:bottom w:val="none" w:sz="0" w:space="0" w:color="auto"/>
            <w:right w:val="none" w:sz="0" w:space="0" w:color="auto"/>
          </w:divBdr>
        </w:div>
      </w:divsChild>
    </w:div>
    <w:div w:id="1707098928">
      <w:bodyDiv w:val="1"/>
      <w:marLeft w:val="0"/>
      <w:marRight w:val="0"/>
      <w:marTop w:val="0"/>
      <w:marBottom w:val="0"/>
      <w:divBdr>
        <w:top w:val="none" w:sz="0" w:space="0" w:color="auto"/>
        <w:left w:val="none" w:sz="0" w:space="0" w:color="auto"/>
        <w:bottom w:val="none" w:sz="0" w:space="0" w:color="auto"/>
        <w:right w:val="none" w:sz="0" w:space="0" w:color="auto"/>
      </w:divBdr>
    </w:div>
    <w:div w:id="1845049252">
      <w:bodyDiv w:val="1"/>
      <w:marLeft w:val="0"/>
      <w:marRight w:val="0"/>
      <w:marTop w:val="0"/>
      <w:marBottom w:val="0"/>
      <w:divBdr>
        <w:top w:val="none" w:sz="0" w:space="0" w:color="auto"/>
        <w:left w:val="none" w:sz="0" w:space="0" w:color="auto"/>
        <w:bottom w:val="none" w:sz="0" w:space="0" w:color="auto"/>
        <w:right w:val="none" w:sz="0" w:space="0" w:color="auto"/>
      </w:divBdr>
    </w:div>
    <w:div w:id="202035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658</Words>
  <Characters>3622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Prestamo Estudiantes</dc:creator>
  <cp:keywords/>
  <dc:description/>
  <cp:lastModifiedBy>Prestamo Estudiantes</cp:lastModifiedBy>
  <cp:revision>2</cp:revision>
  <dcterms:created xsi:type="dcterms:W3CDTF">2026-02-05T17:48:00Z</dcterms:created>
  <dcterms:modified xsi:type="dcterms:W3CDTF">2026-02-05T18:01:00Z</dcterms:modified>
</cp:coreProperties>
</file>