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D5 Research Note: How a Personal Loan Gets Approved in an Indian Bank</w:t>
      </w:r>
    </w:p>
    <w:p>
      <w:pPr/>
      <w:r>
        <w:rPr>
          <w:i/>
        </w:rPr>
        <w:t xml:space="preserve">Prepared by Janif Shaikh for the Data &amp; AI Presales assignment. Scope: salaried, unsecured personal loans of ₹1–15 lakh, 12–60 months, at a mid-sized Indian bank.</w:t>
      </w:r>
    </w:p>
    <w:p>
      <w:pPr>
        <w:pStyle w:val="Heading2"/>
      </w:pPr>
      <w:r>
        <w:t xml:space="preserve">1. Why personal loans</w:t>
      </w:r>
    </w:p>
    <w:p>
      <w:pPr/>
      <w:r>
        <w:t xml:space="preserve">A personal loan has no collateral, so the bank decides almost entirely on data: income, bureau history and account behaviour. That makes it high volume, small ticket and heavily contested by fintechs that promise instant approval. Slow turnaround is a direct revenue leak. RBI raised the risk weight on unsecured consumer credit in November 2023, so banks also face a capital cost for getting these decisions wrong. </w:t>
      </w:r>
      <w:r>
        <w:rPr>
          <w:i/>
        </w:rPr>
        <w:t xml:space="preserve">(RBI circular RBI/2023-24/85, 16 November 2023: risk weight on consumer credit, including personal loans, raised from 100% to 125% for banks.)</w:t>
      </w:r>
    </w:p>
    <w:p>
      <w:pPr>
        <w:pStyle w:val="Heading2"/>
      </w:pPr>
      <w:r>
        <w:t xml:space="preserve">2. The process, stage by stage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6"/>
        <w:gridCol w:w="4733"/>
        <w:gridCol w:w="1861"/>
      </w:tblGrid>
      <w:tr>
        <w:trPr>
          <w:tblHeader/>
        </w:trPr>
        <w:tc>
          <w:tcPr>
            <w:tcW w:w="2766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4733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1861" w:type="dxa"/>
            <w:shd w:val="clear" w:color="auto" w:fill="F2F2F2"/>
          </w:tcPr>
          <w:p>
            <w:pPr/>
            <w:r>
              <w:t xml:space="preserve">Who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Lead and application</w:t>
            </w:r>
          </w:p>
        </w:tc>
        <w:tc>
          <w:tcPr>
            <w:tcW w:w="4733" w:type="dxa"/>
          </w:tcPr>
          <w:p>
            <w:pPr/>
            <w:r>
              <w:t xml:space="preserve">Branch, app, DSA or pre-approved offer</w:t>
            </w:r>
          </w:p>
        </w:tc>
        <w:tc>
          <w:tcPr>
            <w:tcW w:w="1861" w:type="dxa"/>
          </w:tcPr>
          <w:p>
            <w:pPr/>
            <w:r>
              <w:t xml:space="preserve">Sales / RM, DSA, digital channel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KYC</w:t>
            </w:r>
          </w:p>
        </w:tc>
        <w:tc>
          <w:tcPr>
            <w:tcW w:w="4733" w:type="dxa"/>
          </w:tcPr>
          <w:p>
            <w:pPr/>
            <w:r>
              <w:t xml:space="preserve">PAN, Aadhaar e-KYC or OTP, CKYC lookup, V-CIP where needed</w:t>
            </w:r>
          </w:p>
        </w:tc>
        <w:tc>
          <w:tcPr>
            <w:tcW w:w="1861" w:type="dxa"/>
          </w:tcPr>
          <w:p>
            <w:pPr/>
            <w:r>
              <w:t xml:space="preserve">Operations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Documents</w:t>
            </w:r>
          </w:p>
        </w:tc>
        <w:tc>
          <w:tcPr>
            <w:tcW w:w="4733" w:type="dxa"/>
          </w:tcPr>
          <w:p>
            <w:pPr/>
            <w:r>
              <w:t xml:space="preserve">3 salary slips, 3–6 months of statements, Form 16 / ITR, employment proof</w:t>
            </w:r>
          </w:p>
        </w:tc>
        <w:tc>
          <w:tcPr>
            <w:tcW w:w="1861" w:type="dxa"/>
          </w:tcPr>
          <w:p>
            <w:pPr/>
            <w:r>
              <w:t xml:space="preserve">RM, customer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Bureau pull</w:t>
            </w:r>
          </w:p>
        </w:tc>
        <w:tc>
          <w:tcPr>
            <w:tcW w:w="4733" w:type="dxa"/>
          </w:tcPr>
          <w:p>
            <w:pPr/>
            <w:r>
              <w:t xml:space="preserve">CIBIL / Experian / Equifax / CRIF, with consent</w:t>
            </w:r>
          </w:p>
        </w:tc>
        <w:tc>
          <w:tcPr>
            <w:tcW w:w="1861" w:type="dxa"/>
          </w:tcPr>
          <w:p>
            <w:pPr/>
            <w:r>
              <w:t xml:space="preserve">System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Verification</w:t>
            </w:r>
          </w:p>
        </w:tc>
        <w:tc>
          <w:tcPr>
            <w:tcW w:w="4733" w:type="dxa"/>
          </w:tcPr>
          <w:p>
            <w:pPr/>
            <w:r>
              <w:t xml:space="preserve">Income, employer, address, penny-drop, fraud and negative-list checks</w:t>
            </w:r>
          </w:p>
        </w:tc>
        <w:tc>
          <w:tcPr>
            <w:tcW w:w="1861" w:type="dxa"/>
          </w:tcPr>
          <w:p>
            <w:pPr/>
            <w:r>
              <w:t xml:space="preserve">Credit operations, fraud risk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Credit appraisal</w:t>
            </w:r>
          </w:p>
        </w:tc>
        <w:tc>
          <w:tcPr>
            <w:tcW w:w="4733" w:type="dxa"/>
          </w:tcPr>
          <w:p>
            <w:pPr/>
            <w:r>
              <w:t xml:space="preserve">FOIR, bureau behaviour, policy rules, risk grade</w:t>
            </w:r>
          </w:p>
        </w:tc>
        <w:tc>
          <w:tcPr>
            <w:tcW w:w="1861" w:type="dxa"/>
          </w:tcPr>
          <w:p>
            <w:pPr/>
            <w:r>
              <w:t xml:space="preserve">Credit analyst / underwriter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Sanction</w:t>
            </w:r>
          </w:p>
        </w:tc>
        <w:tc>
          <w:tcPr>
            <w:tcW w:w="4733" w:type="dxa"/>
          </w:tcPr>
          <w:p>
            <w:pPr/>
            <w:r>
              <w:t xml:space="preserve">Decision within the delegated authority matrix; exceptions escalate</w:t>
            </w:r>
          </w:p>
        </w:tc>
        <w:tc>
          <w:tcPr>
            <w:tcW w:w="1861" w:type="dxa"/>
          </w:tcPr>
          <w:p>
            <w:pPr/>
            <w:r>
              <w:t xml:space="preserve">Credit manager, credit head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Sanction letter and KFS</w:t>
            </w:r>
          </w:p>
        </w:tc>
        <w:tc>
          <w:tcPr>
            <w:tcW w:w="4733" w:type="dxa"/>
          </w:tcPr>
          <w:p>
            <w:pPr/>
            <w:r>
              <w:t xml:space="preserve">Terms, APR and charges disclosed</w:t>
            </w:r>
          </w:p>
        </w:tc>
        <w:tc>
          <w:tcPr>
            <w:tcW w:w="1861" w:type="dxa"/>
          </w:tcPr>
          <w:p>
            <w:pPr/>
            <w:r>
              <w:t xml:space="preserve">Operations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Documentation</w:t>
            </w:r>
          </w:p>
        </w:tc>
        <w:tc>
          <w:tcPr>
            <w:tcW w:w="4733" w:type="dxa"/>
          </w:tcPr>
          <w:p>
            <w:pPr/>
            <w:r>
              <w:t xml:space="preserve">Agreement, e-sign, e-NACH mandate</w:t>
            </w:r>
          </w:p>
        </w:tc>
        <w:tc>
          <w:tcPr>
            <w:tcW w:w="1861" w:type="dxa"/>
          </w:tcPr>
          <w:p>
            <w:pPr/>
            <w:r>
              <w:t xml:space="preserve">Operations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Disbursement</w:t>
            </w:r>
          </w:p>
        </w:tc>
        <w:tc>
          <w:tcPr>
            <w:tcW w:w="4733" w:type="dxa"/>
          </w:tcPr>
          <w:p>
            <w:pPr/>
            <w:r>
              <w:t xml:space="preserve">Direct credit to the borrower’s account</w:t>
            </w:r>
          </w:p>
        </w:tc>
        <w:tc>
          <w:tcPr>
            <w:tcW w:w="1861" w:type="dxa"/>
          </w:tcPr>
          <w:p>
            <w:pPr/>
            <w:r>
              <w:t xml:space="preserve">Loan operations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Post-disbursal</w:t>
            </w:r>
          </w:p>
        </w:tc>
        <w:tc>
          <w:tcPr>
            <w:tcW w:w="4733" w:type="dxa"/>
          </w:tcPr>
          <w:p>
            <w:pPr/>
            <w:r>
              <w:t xml:space="preserve">Quality check, monitoring, collections if delinquent</w:t>
            </w:r>
          </w:p>
        </w:tc>
        <w:tc>
          <w:tcPr>
            <w:tcW w:w="1861" w:type="dxa"/>
          </w:tcPr>
          <w:p>
            <w:pPr/>
            <w:r>
              <w:t xml:space="preserve">Operations, collections</w:t>
            </w:r>
          </w:p>
        </w:tc>
      </w:tr>
    </w:tbl>
    <w:p>
      <w:pPr>
        <w:pStyle w:val="Heading2"/>
      </w:pPr>
      <w:r>
        <w:t xml:space="preserve">3. Key checks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FOIR:</w:t>
      </w:r>
      <w:r>
        <w:t xml:space="preserve"> (existing EMIs + proposed EMI) ÷ net monthly income. Banks commonly cap it between about 40% and 55%, rising with income.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Bureau:</w:t>
      </w:r>
      <w:r>
        <w:t xml:space="preserve"> score (300–900), days past due, recent enquiries, card utilisation, settled or written-off accounts, number of unsecured loans.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Bank statement analysis:</w:t>
      </w:r>
      <w:r>
        <w:t xml:space="preserve"> salary regularity, average balance, EMI or cheque bounces, cash deposits, betting transactions.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Employer category:</w:t>
      </w:r>
      <w:r>
        <w:t xml:space="preserve"> approved employer lists treat listed, MNC and government employers more favourably.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Fraud signals:</w:t>
      </w:r>
      <w:r>
        <w:t xml:space="preserve"> name mismatches across documents, edited PDFs, shared phone or address across applications.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CERSAI</w:t>
      </w:r>
      <w:r>
        <w:t xml:space="preserve"> records charges on property and is </w:t>
      </w:r>
      <w:r>
        <w:rPr>
          <w:b/>
        </w:rPr>
        <w:t xml:space="preserve">not relevant</w:t>
      </w:r>
      <w:r>
        <w:t xml:space="preserve"> to an unsecured loan. It becomes relevant if the platform extends to home loans or loans against property.</w:t>
      </w:r>
    </w:p>
    <w:p>
      <w:pPr>
        <w:pStyle w:val="Heading2"/>
      </w:pPr>
      <w:r>
        <w:t xml:space="preserve">4. Regulations that shape the design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RBI Master Direction on KYC (2016, as amended):</w:t>
      </w:r>
      <w:r>
        <w:t xml:space="preserve"> customer due diligence, V-CIP, periodic updates.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PMLA, 2002:</w:t>
      </w:r>
      <w:r>
        <w:t xml:space="preserve"> anti-money-laundering and reporting duties.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RBI digital lending guidelines (2022), consolidated in the 2025 Directions:</w:t>
      </w:r>
      <w:r>
        <w:t xml:space="preserve"> disbursal and repayment directly between borrower and regulated entity, Key Fact Statement with APR, cooling-off period, disclosure of lending service providers, limits on data collection.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Fair Practices Code:</w:t>
      </w:r>
      <w:r>
        <w:t xml:space="preserve"> transparent terms and communication, no unfair charges, clear reasons for rejection.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Credit Information Companies (Regulation) Act, 2005:</w:t>
      </w:r>
      <w:r>
        <w:t xml:space="preserve"> consent for bureau pulls.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DPDP Act, 2023:</w:t>
      </w:r>
      <w:r>
        <w:t xml:space="preserve"> consent, purpose limitation and data minimisation.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Account Aggregator framework:</w:t>
      </w:r>
      <w:r>
        <w:t xml:space="preserve"> consent-based sharing of financial data.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RBI FREE-AI committee report (13 August 2025, non-binding):</w:t>
      </w:r>
      <w:r>
        <w:t xml:space="preserve"> seven guiding principles ("sutras") and 26 recommendations on trust, fairness, accountability, explainability and resilience of AI in financial services. It is a committee report, not a binding regulation, and a useful reference for the human-in-the-loop design.</w:t>
      </w:r>
    </w:p>
    <w:p>
      <w:pPr>
        <w:pStyle w:val="Heading2"/>
      </w:pPr>
      <w:r>
        <w:t xml:space="preserve">5. Turnaround time</w:t>
      </w:r>
    </w:p>
    <w:p>
      <w:pPr/>
      <w:r>
        <w:t xml:space="preserve">Branch-led journeys are commonly reported to take roughly </w:t>
      </w:r>
      <w:r>
        <w:rPr>
          <w:b/>
        </w:rPr>
        <w:t xml:space="preserve">2–7 working days</w:t>
      </w:r>
      <w:r>
        <w:t xml:space="preserve">, while pre-approved or digital journeys can finish in minutes to a day. These figures are indicative and come from AI-assisted synthesis of public material, not from a bank. They are not validated, so the demo presents its turnaround claims as targets for a pilot.</w:t>
      </w:r>
    </w:p>
    <w:p>
      <w:pPr>
        <w:pStyle w:val="Heading2"/>
      </w:pPr>
      <w:r>
        <w:t xml:space="preserve">6. Pain points the demo targets</w:t>
      </w:r>
    </w:p>
    <w:p>
      <w:pPr>
        <w:pStyle w:val="ListParagraph"/>
        <w:numPr>
          <w:ilvl w:val="0"/>
          <w:numId w:val="4"/>
        </w:numPr>
      </w:pPr>
      <w:r>
        <w:t xml:space="preserve">Manual reading and re-keying of salary slips and statements.</w:t>
      </w:r>
    </w:p>
    <w:p>
      <w:pPr>
        <w:pStyle w:val="ListParagraph"/>
        <w:numPr>
          <w:ilvl w:val="0"/>
          <w:numId w:val="4"/>
        </w:numPr>
      </w:pPr>
      <w:r>
        <w:t xml:space="preserve">Inconsistent decisions across branches and officers.</w:t>
      </w:r>
    </w:p>
    <w:p>
      <w:pPr>
        <w:pStyle w:val="ListParagraph"/>
        <w:numPr>
          <w:ilvl w:val="0"/>
          <w:numId w:val="4"/>
        </w:numPr>
      </w:pPr>
      <w:r>
        <w:t xml:space="preserve">Policy changes that reach staff late or unevenly.</w:t>
      </w:r>
    </w:p>
    <w:p>
      <w:pPr>
        <w:pStyle w:val="ListParagraph"/>
        <w:numPr>
          <w:ilvl w:val="0"/>
          <w:numId w:val="4"/>
        </w:numPr>
      </w:pPr>
      <w:r>
        <w:t xml:space="preserve">Bureau, core banking and documents sitting in separate systems.</w:t>
      </w:r>
    </w:p>
    <w:p>
      <w:pPr>
        <w:pStyle w:val="ListParagraph"/>
        <w:numPr>
          <w:ilvl w:val="0"/>
          <w:numId w:val="4"/>
        </w:numPr>
      </w:pPr>
      <w:r>
        <w:t xml:space="preserve">Rework and customer chasing for missing or mismatched documents.</w:t>
      </w:r>
    </w:p>
    <w:p>
      <w:pPr>
        <w:pStyle w:val="ListParagraph"/>
        <w:numPr>
          <w:ilvl w:val="0"/>
          <w:numId w:val="4"/>
        </w:numPr>
      </w:pPr>
      <w:r>
        <w:t xml:space="preserve">Weak audit trail for why a decision was made.</w:t>
      </w:r>
    </w:p>
    <w:p>
      <w:pPr>
        <w:pStyle w:val="ListParagraph"/>
        <w:numPr>
          <w:ilvl w:val="0"/>
          <w:numId w:val="4"/>
        </w:numPr>
      </w:pPr>
      <w:r>
        <w:t xml:space="preserve">Document forgery risk.</w:t>
      </w:r>
    </w:p>
    <w:p>
      <w:pPr>
        <w:pStyle w:val="ListParagraph"/>
        <w:numPr>
          <w:ilvl w:val="0"/>
          <w:numId w:val="4"/>
        </w:numPr>
      </w:pPr>
      <w:r>
        <w:t xml:space="preserve">High cost per loan on a small ticket.</w:t>
      </w:r>
    </w:p>
    <w:p>
      <w:pPr>
        <w:pStyle w:val="Heading2"/>
      </w:pPr>
      <w:r>
        <w:t xml:space="preserve">7. Conversations with banking professionals</w:t>
      </w:r>
    </w:p>
    <w:p>
      <w:pPr/>
      <w:r>
        <w:t xml:space="preserve">I could not secure a conversation with a banking practitioner within the assignment timeline. This note therefore relies on RBI regulations, public product pages of SBI, HDFC Bank and ICICI Bank, and AI-assisted synthesis using Claude. It contains no interview findings.</w:t>
      </w:r>
    </w:p>
    <w:p>
      <w:pPr/>
      <w:r>
        <w:t xml:space="preserve">The points below are common industry observations, held as hypotheses to test with credit practitioners rather than as facts:</w:t>
      </w:r>
    </w:p>
    <w:p>
      <w:pPr>
        <w:pStyle w:val="ListParagraph"/>
        <w:numPr>
          <w:ilvl w:val="0"/>
          <w:numId w:val="5"/>
        </w:numPr>
      </w:pPr>
      <w:r>
        <w:t xml:space="preserve">Delays tend to come from document rework (mismatched names, unreadable statements, missing pages) more than from the credit decision itself.</w:t>
      </w:r>
    </w:p>
    <w:p>
      <w:pPr>
        <w:pStyle w:val="ListParagraph"/>
        <w:numPr>
          <w:ilvl w:val="0"/>
          <w:numId w:val="5"/>
        </w:numPr>
      </w:pPr>
      <w:r>
        <w:t xml:space="preserve">Income assessment and bank statement review are among the most manual steps.</w:t>
      </w:r>
    </w:p>
    <w:p>
      <w:pPr>
        <w:pStyle w:val="ListParagraph"/>
        <w:numPr>
          <w:ilvl w:val="0"/>
          <w:numId w:val="5"/>
        </w:numPr>
      </w:pPr>
      <w:r>
        <w:t xml:space="preserve">Policy exceptions and larger amounts escalate up the delegated authority matrix, which adds days.</w:t>
      </w:r>
    </w:p>
    <w:p>
      <w:pPr>
        <w:pStyle w:val="ListParagraph"/>
        <w:numPr>
          <w:ilvl w:val="0"/>
          <w:numId w:val="5"/>
        </w:numPr>
      </w:pPr>
      <w:r>
        <w:t xml:space="preserve">Salary-account customers and pre-approved offers move much faster than walk-in and DSA-sourced files.</w:t>
      </w:r>
    </w:p>
    <w:p>
      <w:pPr>
        <w:pStyle w:val="ListParagraph"/>
        <w:numPr>
          <w:ilvl w:val="0"/>
          <w:numId w:val="5"/>
        </w:numPr>
      </w:pPr>
      <w:r>
        <w:t xml:space="preserve">Credit teams are likely to accept automation for checks and calculations but to want a named human owning the sanction.</w:t>
      </w:r>
    </w:p>
    <w:p>
      <w:pPr/>
      <w:r>
        <w:t xml:space="preserve">First step in a pilot: validate turnaround times, exception rates and escalation rules with credit operations and risk teams before committing to any numbers.</w:t>
      </w:r>
    </w:p>
    <w:p>
      <w:pPr>
        <w:pStyle w:val="Heading2"/>
      </w:pPr>
      <w:r>
        <w:t xml:space="preserve">8. What this research changed in my design</w:t>
      </w:r>
    </w:p>
    <w:p>
      <w:pPr>
        <w:pStyle w:val="ListParagraph"/>
        <w:numPr>
          <w:ilvl w:val="0"/>
          <w:numId w:val="6"/>
        </w:numPr>
      </w:pPr>
      <w:r>
        <w:t xml:space="preserve">Calculations and hard policy rules run as deterministic code, so the AI reads and explains but never does the maths.</w:t>
      </w:r>
    </w:p>
    <w:p>
      <w:pPr>
        <w:pStyle w:val="ListParagraph"/>
        <w:numPr>
          <w:ilvl w:val="0"/>
          <w:numId w:val="6"/>
        </w:numPr>
      </w:pPr>
      <w:r>
        <w:t xml:space="preserve">Every reason cites a policy clause or data point, to support Fair Practices Code–style rejection reasons.</w:t>
      </w:r>
    </w:p>
    <w:p>
      <w:pPr>
        <w:pStyle w:val="ListParagraph"/>
        <w:numPr>
          <w:ilvl w:val="0"/>
          <w:numId w:val="6"/>
        </w:numPr>
      </w:pPr>
      <w:r>
        <w:t xml:space="preserve">The officer is the only sanctioning authority. Flagged, low-confidence and exception cases route to a human.</w:t>
      </w:r>
    </w:p>
    <w:p>
      <w:pPr>
        <w:pStyle w:val="ListParagraph"/>
        <w:numPr>
          <w:ilvl w:val="0"/>
          <w:numId w:val="6"/>
        </w:numPr>
      </w:pPr>
      <w:r>
        <w:t xml:space="preserve">CERSAI is excluded for this product and shown as a future extension.</w:t>
      </w:r>
    </w:p>
    <w:p>
      <w:pPr>
        <w:pStyle w:val="ListParagraph"/>
        <w:numPr>
          <w:ilvl w:val="0"/>
          <w:numId w:val="6"/>
        </w:numPr>
      </w:pPr>
      <w:r>
        <w:t xml:space="preserve">Turnaround and exception figures are treated as pilot targets, because they are not validated with practitioners.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7"/>
        </w:numPr>
      </w:pPr>
      <w:hyperlink r:id="rId3" w:history="1">
        <w:r>
          <w:rPr>
            <w:rStyle w:val="Hyperlink"/>
          </w:rPr>
          <w:t xml:space="preserve">Reserve Bank of India (Digital Lending) Directions, 2025, RBI/2025-26/36, 8 May 2025</w:t>
        </w:r>
      </w:hyperlink>
      <w:r>
        <w:t xml:space="preserve"> (para 6 effective 1 November 2025, para 17 effective 15 June 2025)</w:t>
      </w:r>
    </w:p>
    <w:p>
      <w:pPr>
        <w:pStyle w:val="ListParagraph"/>
        <w:numPr>
          <w:ilvl w:val="0"/>
          <w:numId w:val="7"/>
        </w:numPr>
      </w:pPr>
      <w:hyperlink r:id="rId4" w:history="1">
        <w:r>
          <w:rPr>
            <w:rStyle w:val="Hyperlink"/>
          </w:rPr>
          <w:t xml:space="preserve">RBI press release 2025-2026/288 on the Digital Lending Directions</w:t>
        </w:r>
      </w:hyperlink>
    </w:p>
    <w:p>
      <w:pPr>
        <w:pStyle w:val="ListParagraph"/>
        <w:numPr>
          <w:ilvl w:val="0"/>
          <w:numId w:val="7"/>
        </w:numPr>
      </w:pPr>
      <w:r>
        <w:t xml:space="preserve">RBI Master Direction, Know Your Customer (KYC) Direction, 2016, RBI/DBR/2015-16/18 (version indexed on rbi.org.in updated 12 July 2018; later amendments exist), rbi.org.in/Scripts/NotificationUser.aspx?Id=10292</w:t>
      </w:r>
    </w:p>
    <w:p>
      <w:pPr>
        <w:pStyle w:val="ListParagraph"/>
        <w:numPr>
          <w:ilvl w:val="0"/>
          <w:numId w:val="7"/>
        </w:numPr>
      </w:pPr>
      <w:r>
        <w:t xml:space="preserve">RBI circular RBI/2023-24/85, Regulatory measures towards consumer credit and bank credit to NBFCs, 16 November 2023, rbi.org.in/Scripts/NotificationUser.aspx?Id=12567</w:t>
      </w:r>
    </w:p>
    <w:p>
      <w:pPr>
        <w:pStyle w:val="ListParagraph"/>
        <w:numPr>
          <w:ilvl w:val="0"/>
          <w:numId w:val="7"/>
        </w:numPr>
      </w:pPr>
      <w:r>
        <w:t xml:space="preserve">Report of the FREE-AI Committee, RBI, 13 August 2025 (press release 2025-2026/902), rbi.org.in/scripts/BS_PressReleaseDisplay.aspx?prid=61018</w:t>
      </w:r>
    </w:p>
    <w:p>
      <w:pPr>
        <w:pStyle w:val="ListParagraph"/>
        <w:numPr>
          <w:ilvl w:val="0"/>
          <w:numId w:val="7"/>
        </w:numPr>
      </w:pPr>
      <w:r>
        <w:t xml:space="preserve">Credit Information Companies (Regulation) Act, 2005; Digital Personal Data Protection Act, 2023</w:t>
      </w:r>
    </w:p>
    <w:p>
      <w:pPr>
        <w:pStyle w:val="ListParagraph"/>
        <w:numPr>
          <w:ilvl w:val="0"/>
          <w:numId w:val="7"/>
        </w:numPr>
      </w:pPr>
      <w:r>
        <w:t xml:space="preserve">Sahamati, Account Aggregator ecosystem documentation</w:t>
      </w:r>
    </w:p>
    <w:p>
      <w:pPr>
        <w:pStyle w:val="ListParagraph"/>
        <w:numPr>
          <w:ilvl w:val="0"/>
          <w:numId w:val="7"/>
        </w:numPr>
      </w:pPr>
      <w:r>
        <w:t xml:space="preserve">Public product pages of SBI, HDFC Bank and ICICI Bank personal loans (eligibility, fees, documents)</w:t>
      </w:r>
    </w:p>
    <w:p>
      <w:pPr>
        <w:pStyle w:val="ListParagraph"/>
        <w:numPr>
          <w:ilvl w:val="0"/>
          <w:numId w:val="7"/>
        </w:numPr>
      </w:pPr>
      <w:r>
        <w:t xml:space="preserve">Claude (AI assistant) for synthesis of the above. The status of the older Fair Practices Code instructions after the 2025 consolidation should be checked against the Directions' repeal list.</w:t>
      </w:r>
    </w:p>
    <w:p>
      <w:pPr/>
      <w:r>
        <w:rPr>
          <w:i/>
        </w:rPr>
        <w:t xml:space="preserve">Drafted with Claude’s help; regulatory details to be verified against the primary sources above.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rbi.org.in/Scripts/NotificationUser.aspx?Id=12848" TargetMode="External"/><Relationship Id="rId4" Type="http://schemas.openxmlformats.org/officeDocument/2006/relationships/hyperlink" Target="https://rbi.org.in/Scripts/BS_PressReleaseDisplay.aspx?prid=60403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D5 Research Note How a Personal Loan Gets Approved in an Indian Bank</dc:title>
  <dc:description>Claude Docs node/2f997669-356b@10 docx-w7</dc:description>
  <cp:revision>10</cp:revision>
</cp:coreProperties>
</file>